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01" w:rsidRPr="00A97DCA" w:rsidRDefault="00876801" w:rsidP="00876801">
      <w:pPr>
        <w:outlineLvl w:val="2"/>
        <w:rPr>
          <w:rFonts w:ascii="標楷體" w:eastAsia="標楷體" w:hAnsi="標楷體"/>
          <w:lang w:eastAsia="zh-TW"/>
        </w:rPr>
      </w:pPr>
      <w:bookmarkStart w:id="0" w:name="_GoBack"/>
      <w:bookmarkEnd w:id="0"/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1116"/>
        <w:gridCol w:w="3260"/>
        <w:gridCol w:w="3261"/>
      </w:tblGrid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outlineLvl w:val="2"/>
              <w:rPr>
                <w:rFonts w:eastAsia="標楷體"/>
                <w:lang w:eastAsia="zh-TW"/>
              </w:rPr>
            </w:pPr>
            <w:bookmarkStart w:id="1" w:name="_Toc26790916"/>
            <w:bookmarkStart w:id="2" w:name="_Toc31794793"/>
            <w:r w:rsidRPr="00A97DCA">
              <w:rPr>
                <w:rFonts w:eastAsia="標楷體"/>
                <w:lang w:eastAsia="zh-TW"/>
              </w:rPr>
              <w:t>科目名稱：</w:t>
            </w:r>
            <w:proofErr w:type="gramStart"/>
            <w:r w:rsidRPr="00A97DCA">
              <w:rPr>
                <w:rFonts w:eastAsia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eastAsia="標楷體" w:hint="eastAsia"/>
                <w:lang w:eastAsia="zh-TW"/>
              </w:rPr>
              <w:t>族的語言與文化</w:t>
            </w:r>
            <w:bookmarkEnd w:id="1"/>
            <w:bookmarkEnd w:id="2"/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科目英文名稱：</w:t>
            </w:r>
            <w:r w:rsidRPr="00A97DCA">
              <w:rPr>
                <w:rFonts w:eastAsia="標楷體"/>
                <w:lang w:eastAsia="zh-TW"/>
              </w:rPr>
              <w:t>The Language and Culture of Tsou</w:t>
            </w:r>
          </w:p>
        </w:tc>
      </w:tr>
      <w:tr w:rsidR="00876801" w:rsidRPr="00A97DCA" w:rsidTr="00125FDF">
        <w:trPr>
          <w:jc w:val="center"/>
        </w:trPr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選修別：</w:t>
            </w:r>
            <w:proofErr w:type="spellStart"/>
            <w:r w:rsidRPr="00A97DCA">
              <w:rPr>
                <w:rFonts w:eastAsia="標楷體" w:hint="eastAsia"/>
              </w:rPr>
              <w:t>選修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學分數：</w:t>
            </w:r>
            <w:r w:rsidRPr="00A97DCA">
              <w:rPr>
                <w:rFonts w:eastAsia="標楷體" w:hint="eastAsia"/>
                <w:lang w:eastAsia="zh-TW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任課教師：</w:t>
            </w:r>
            <w:proofErr w:type="spellStart"/>
            <w:r w:rsidRPr="00A97DCA">
              <w:rPr>
                <w:rFonts w:eastAsia="標楷體" w:hint="eastAsia"/>
              </w:rPr>
              <w:t>溫英傑</w:t>
            </w:r>
            <w:proofErr w:type="spellEnd"/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b/>
                <w:lang w:eastAsia="zh-TW"/>
              </w:rPr>
              <w:t>＜課程綱要＞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6801" w:rsidRPr="00A97DCA" w:rsidRDefault="00876801" w:rsidP="00125FDF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 w:hint="eastAsia"/>
                <w:lang w:eastAsia="zh-TW"/>
              </w:rPr>
              <w:t>語言是一種思維模式、一種價值觀、一種看待世界的方式，對於長期受到壓迫的民族而言，語言更是乘載文化的橋樑。本課程是藉著語言現象探討原住民的社會文化，這是屬於「社會語言學」（sociolinguistics）的範疇。社會語言學，是從社會功能的角度去觀察語言實際使用的各種現象與問題。包括語言與文化、語言與人際關係、語言與思想</w:t>
            </w:r>
            <w:proofErr w:type="gramStart"/>
            <w:r w:rsidRPr="00A97DCA">
              <w:rPr>
                <w:rFonts w:ascii="標楷體" w:eastAsia="標楷體" w:hAnsi="標楷體" w:hint="eastAsia"/>
                <w:lang w:eastAsia="zh-TW"/>
              </w:rPr>
              <w:t>﹑</w:t>
            </w:r>
            <w:proofErr w:type="gramEnd"/>
            <w:r w:rsidRPr="00A97DCA">
              <w:rPr>
                <w:rFonts w:ascii="標楷體" w:eastAsia="標楷體" w:hAnsi="標楷體" w:hint="eastAsia"/>
                <w:lang w:eastAsia="zh-TW"/>
              </w:rPr>
              <w:t>語言與地理環境</w:t>
            </w:r>
            <w:proofErr w:type="gramStart"/>
            <w:r w:rsidRPr="00A97DCA">
              <w:rPr>
                <w:rFonts w:ascii="標楷體" w:eastAsia="標楷體" w:hAnsi="標楷體" w:hint="eastAsia"/>
                <w:lang w:eastAsia="zh-TW"/>
              </w:rPr>
              <w:t>﹑</w:t>
            </w:r>
            <w:proofErr w:type="gramEnd"/>
            <w:r w:rsidRPr="00A97DCA">
              <w:rPr>
                <w:rFonts w:ascii="標楷體" w:eastAsia="標楷體" w:hAnsi="標楷體" w:hint="eastAsia"/>
                <w:lang w:eastAsia="zh-TW"/>
              </w:rPr>
              <w:t>語言與信仰、語言政策與規範等等。原住民的語言表達，常因性別、年齡、族群、階級、情境以及個人的差異而有所變動。而此些差異，</w:t>
            </w:r>
            <w:proofErr w:type="gramStart"/>
            <w:r w:rsidRPr="00A97DCA">
              <w:rPr>
                <w:rFonts w:ascii="標楷體" w:eastAsia="標楷體" w:hAnsi="標楷體" w:hint="eastAsia"/>
                <w:lang w:eastAsia="zh-TW"/>
              </w:rPr>
              <w:t>均為社會</w:t>
            </w:r>
            <w:proofErr w:type="gramEnd"/>
            <w:r w:rsidRPr="00A97DCA">
              <w:rPr>
                <w:rFonts w:ascii="標楷體" w:eastAsia="標楷體" w:hAnsi="標楷體" w:hint="eastAsia"/>
                <w:lang w:eastAsia="zh-TW"/>
              </w:rPr>
              <w:t>語言學的研究課題。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b/>
                <w:lang w:eastAsia="zh-TW"/>
              </w:rPr>
              <w:t>＜教學目標＞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lang w:eastAsia="zh-TW"/>
              </w:rPr>
            </w:pPr>
            <w:r w:rsidRPr="00A97DCA">
              <w:rPr>
                <w:rFonts w:eastAsia="標楷體" w:hint="eastAsia"/>
                <w:lang w:eastAsia="zh-TW"/>
              </w:rPr>
              <w:t>一、認識</w:t>
            </w:r>
            <w:proofErr w:type="gramStart"/>
            <w:r w:rsidRPr="00A97DCA">
              <w:rPr>
                <w:rFonts w:eastAsia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eastAsia="標楷體" w:hint="eastAsia"/>
                <w:lang w:eastAsia="zh-TW"/>
              </w:rPr>
              <w:t>族的神話傳說</w:t>
            </w:r>
          </w:p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lang w:eastAsia="zh-TW"/>
              </w:rPr>
            </w:pPr>
            <w:r w:rsidRPr="00A97DCA">
              <w:rPr>
                <w:rFonts w:eastAsia="標楷體" w:hint="eastAsia"/>
                <w:lang w:eastAsia="zh-TW"/>
              </w:rPr>
              <w:t>二、藉由觀察</w:t>
            </w:r>
            <w:proofErr w:type="gramStart"/>
            <w:r w:rsidRPr="00A97DCA">
              <w:rPr>
                <w:rFonts w:eastAsia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eastAsia="標楷體" w:hint="eastAsia"/>
                <w:lang w:eastAsia="zh-TW"/>
              </w:rPr>
              <w:t>族對於空間、祭儀、農耕、狩獵及漁撈、植物、建築、服飾、歌謠的表現形式來了解其傳統文化。</w:t>
            </w:r>
          </w:p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lang w:eastAsia="zh-TW"/>
              </w:rPr>
            </w:pPr>
            <w:r w:rsidRPr="00A97DCA">
              <w:rPr>
                <w:rFonts w:eastAsia="標楷體" w:hint="eastAsia"/>
                <w:lang w:eastAsia="zh-TW"/>
              </w:rPr>
              <w:t>三、認識</w:t>
            </w:r>
            <w:proofErr w:type="gramStart"/>
            <w:r w:rsidRPr="00A97DCA">
              <w:rPr>
                <w:rFonts w:eastAsia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eastAsia="標楷體" w:hint="eastAsia"/>
                <w:lang w:eastAsia="zh-TW"/>
              </w:rPr>
              <w:t>族的外來語以及</w:t>
            </w:r>
            <w:proofErr w:type="gramStart"/>
            <w:r w:rsidRPr="00A97DCA">
              <w:rPr>
                <w:rFonts w:eastAsia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eastAsia="標楷體" w:hint="eastAsia"/>
                <w:lang w:eastAsia="zh-TW"/>
              </w:rPr>
              <w:t>族現今的語言的傳承狀況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b/>
                <w:lang w:eastAsia="zh-TW"/>
              </w:rPr>
              <w:t>＜課程規劃＞</w:t>
            </w:r>
          </w:p>
        </w:tc>
      </w:tr>
      <w:tr w:rsidR="00876801" w:rsidRPr="00A97DCA" w:rsidTr="00125FDF">
        <w:trPr>
          <w:trHeight w:val="278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第一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</w:rPr>
            </w:pPr>
            <w:r w:rsidRPr="00A97DCA">
              <w:rPr>
                <w:rFonts w:ascii="標楷體" w:eastAsia="標楷體" w:hAnsi="標楷體"/>
                <w:szCs w:val="28"/>
                <w:lang w:eastAsia="zh-HK"/>
              </w:rPr>
              <w:t>課程導論</w:t>
            </w:r>
          </w:p>
        </w:tc>
      </w:tr>
      <w:tr w:rsidR="00876801" w:rsidRPr="00A97DCA" w:rsidTr="00125FDF">
        <w:trPr>
          <w:trHeight w:val="451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第二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  <w:b/>
                <w:lang w:eastAsia="zh-TW"/>
              </w:rPr>
            </w:pPr>
            <w:r w:rsidRPr="00A97DCA">
              <w:rPr>
                <w:rFonts w:ascii="標楷體" w:eastAsia="標楷體" w:hAnsi="標楷體"/>
                <w:b/>
                <w:bCs/>
                <w:iCs/>
                <w:szCs w:val="28"/>
                <w:lang w:eastAsia="zh-TW"/>
              </w:rPr>
              <w:t>臺灣原住民族</w:t>
            </w:r>
            <w:r w:rsidRPr="00A97DCA">
              <w:rPr>
                <w:rFonts w:ascii="標楷體" w:eastAsia="標楷體" w:hAnsi="標楷體" w:hint="eastAsia"/>
                <w:b/>
                <w:bCs/>
                <w:iCs/>
                <w:szCs w:val="28"/>
                <w:lang w:eastAsia="zh-TW"/>
              </w:rPr>
              <w:t xml:space="preserve">文化資產概論 </w:t>
            </w:r>
            <w:r w:rsidRPr="00A97DCA">
              <w:rPr>
                <w:rFonts w:ascii="標楷體" w:eastAsia="標楷體" w:hAnsi="標楷體" w:hint="eastAsia"/>
                <w:bCs/>
                <w:iCs/>
                <w:szCs w:val="28"/>
                <w:u w:val="single"/>
                <w:lang w:eastAsia="zh-TW"/>
              </w:rPr>
              <w:t>(雲科大學文化資產維護系</w:t>
            </w:r>
            <w:r w:rsidRPr="00A97DCA">
              <w:rPr>
                <w:rFonts w:ascii="標楷體" w:eastAsia="標楷體" w:hAnsi="標楷體"/>
                <w:iCs/>
                <w:szCs w:val="28"/>
                <w:u w:val="single"/>
                <w:lang w:eastAsia="zh-TW"/>
              </w:rPr>
              <w:t>陳逸君</w:t>
            </w:r>
            <w:r w:rsidRPr="00A97DCA">
              <w:rPr>
                <w:rFonts w:ascii="標楷體" w:eastAsia="標楷體" w:hAnsi="標楷體" w:hint="eastAsia"/>
                <w:iCs/>
                <w:szCs w:val="28"/>
                <w:u w:val="single"/>
                <w:lang w:eastAsia="zh-TW"/>
              </w:rPr>
              <w:t>老師)</w:t>
            </w:r>
          </w:p>
        </w:tc>
      </w:tr>
      <w:tr w:rsidR="00876801" w:rsidRPr="00A97DCA" w:rsidTr="00125FDF">
        <w:trPr>
          <w:trHeight w:val="365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第三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族的語言特色</w:t>
            </w:r>
          </w:p>
        </w:tc>
      </w:tr>
      <w:tr w:rsidR="00876801" w:rsidRPr="00A97DCA" w:rsidTr="00125FDF">
        <w:trPr>
          <w:trHeight w:val="345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第四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</w:t>
            </w:r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的</w:t>
            </w: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神話</w:t>
            </w:r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與</w:t>
            </w: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傳說</w:t>
            </w:r>
          </w:p>
        </w:tc>
      </w:tr>
      <w:tr w:rsidR="00876801" w:rsidRPr="00A97DCA" w:rsidTr="00125FDF">
        <w:trPr>
          <w:trHeight w:val="330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第五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親屬</w:t>
            </w:r>
            <w:proofErr w:type="spell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稱謂</w:t>
            </w:r>
          </w:p>
        </w:tc>
      </w:tr>
      <w:tr w:rsidR="00876801" w:rsidRPr="00A97DCA" w:rsidTr="00125FDF">
        <w:trPr>
          <w:trHeight w:val="365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第六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族的空間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347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第七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族的祭儀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347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第八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族的農耕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364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第九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族的狩獵及漁撈</w:t>
            </w:r>
            <w:r w:rsidRPr="00A97DCA">
              <w:rPr>
                <w:rFonts w:ascii="標楷體" w:eastAsia="標楷體" w:hAnsi="標楷體" w:hint="eastAsia"/>
                <w:bCs/>
                <w:iCs/>
                <w:szCs w:val="28"/>
                <w:lang w:eastAsia="zh-TW"/>
              </w:rPr>
              <w:t>文化</w:t>
            </w:r>
          </w:p>
        </w:tc>
      </w:tr>
      <w:tr w:rsidR="00876801" w:rsidRPr="00A97DCA" w:rsidTr="00125FDF">
        <w:trPr>
          <w:trHeight w:val="417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族的植物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312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第十一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族的建築</w:t>
            </w:r>
            <w:proofErr w:type="spellStart"/>
            <w:r w:rsidRPr="00A97DCA">
              <w:rPr>
                <w:rFonts w:ascii="標楷體" w:eastAsia="標楷體" w:hAnsi="標楷體" w:hint="eastAsia"/>
                <w:bCs/>
                <w:iCs/>
                <w:szCs w:val="28"/>
              </w:rPr>
              <w:t>工藝</w:t>
            </w:r>
            <w:proofErr w:type="spellEnd"/>
          </w:p>
        </w:tc>
      </w:tr>
      <w:tr w:rsidR="00876801" w:rsidRPr="00A97DCA" w:rsidTr="00125FDF">
        <w:trPr>
          <w:trHeight w:val="382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第十二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szCs w:val="28"/>
                <w:lang w:eastAsia="zh-HK"/>
              </w:rPr>
              <w:t>族的服飾</w:t>
            </w:r>
            <w:proofErr w:type="spellStart"/>
            <w:r w:rsidRPr="00A97DCA">
              <w:rPr>
                <w:rFonts w:ascii="標楷體" w:eastAsia="標楷體" w:hAnsi="標楷體" w:hint="eastAsia"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295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第十三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97DCA">
              <w:rPr>
                <w:rFonts w:ascii="標楷體" w:eastAsia="標楷體" w:hAnsi="標楷體"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szCs w:val="28"/>
                <w:lang w:eastAsia="zh-HK"/>
              </w:rPr>
              <w:t>族的歌謠</w:t>
            </w:r>
            <w:proofErr w:type="spellStart"/>
            <w:r w:rsidRPr="00A97DCA">
              <w:rPr>
                <w:rFonts w:ascii="標楷體" w:eastAsia="標楷體" w:hAnsi="標楷體" w:hint="eastAsia"/>
                <w:szCs w:val="28"/>
              </w:rPr>
              <w:t>文化</w:t>
            </w:r>
            <w:proofErr w:type="spellEnd"/>
          </w:p>
        </w:tc>
      </w:tr>
      <w:tr w:rsidR="00876801" w:rsidRPr="00A97DCA" w:rsidTr="00125FDF">
        <w:trPr>
          <w:trHeight w:val="400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第十四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7DCA">
              <w:rPr>
                <w:rFonts w:ascii="標楷體" w:eastAsia="標楷體" w:hAnsi="標楷體"/>
                <w:szCs w:val="28"/>
                <w:lang w:eastAsia="zh-HK"/>
              </w:rPr>
              <w:t>鄒語中的外來語</w:t>
            </w:r>
          </w:p>
        </w:tc>
      </w:tr>
      <w:tr w:rsidR="00876801" w:rsidRPr="00A97DCA" w:rsidTr="00125FDF">
        <w:trPr>
          <w:trHeight w:val="347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第十五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綜論當代</w:t>
            </w: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族語言的傳承狀況</w:t>
            </w:r>
          </w:p>
        </w:tc>
      </w:tr>
      <w:tr w:rsidR="00876801" w:rsidRPr="00A97DCA" w:rsidTr="00125FDF">
        <w:trPr>
          <w:trHeight w:val="382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第十六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綜論當代</w:t>
            </w: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族語言的傳承狀況</w:t>
            </w:r>
          </w:p>
        </w:tc>
      </w:tr>
      <w:tr w:rsidR="00876801" w:rsidRPr="00A97DCA" w:rsidTr="00125FDF">
        <w:trPr>
          <w:trHeight w:val="243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第十七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綜論當代</w:t>
            </w:r>
            <w:proofErr w:type="gramStart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鄒</w:t>
            </w:r>
            <w:proofErr w:type="gramEnd"/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族語言的傳承狀況</w:t>
            </w:r>
          </w:p>
        </w:tc>
      </w:tr>
      <w:tr w:rsidR="00876801" w:rsidRPr="00A97DCA" w:rsidTr="00125FDF">
        <w:trPr>
          <w:trHeight w:val="70"/>
          <w:jc w:val="center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97DCA">
              <w:rPr>
                <w:rFonts w:eastAsia="標楷體"/>
                <w:lang w:eastAsia="zh-TW"/>
              </w:rPr>
              <w:t>第十八</w:t>
            </w:r>
            <w:proofErr w:type="gramStart"/>
            <w:r w:rsidRPr="00A97DCA">
              <w:rPr>
                <w:rFonts w:eastAsia="標楷體"/>
                <w:lang w:eastAsia="zh-TW"/>
              </w:rPr>
              <w:t>週</w:t>
            </w:r>
            <w:proofErr w:type="gramEnd"/>
          </w:p>
        </w:tc>
        <w:tc>
          <w:tcPr>
            <w:tcW w:w="7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7DCA">
              <w:rPr>
                <w:rFonts w:ascii="標楷體" w:eastAsia="標楷體" w:hAnsi="標楷體"/>
                <w:bCs/>
                <w:iCs/>
                <w:szCs w:val="28"/>
                <w:lang w:eastAsia="zh-HK"/>
              </w:rPr>
              <w:t>期末考試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b/>
                <w:lang w:eastAsia="zh-TW"/>
              </w:rPr>
              <w:t>＜授課方式＞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A97DCA">
              <w:rPr>
                <w:rFonts w:ascii="標楷體" w:eastAsia="標楷體" w:hAnsi="標楷體" w:hint="eastAsia"/>
                <w:lang w:eastAsia="zh-TW"/>
              </w:rPr>
              <w:lastRenderedPageBreak/>
              <w:t>1.</w:t>
            </w:r>
            <w:r w:rsidRPr="00A97DCA">
              <w:rPr>
                <w:rFonts w:ascii="標楷體" w:eastAsia="標楷體" w:hAnsi="標楷體"/>
                <w:bCs/>
                <w:lang w:eastAsia="zh-TW"/>
              </w:rPr>
              <w:t>課堂講授</w:t>
            </w:r>
            <w:r w:rsidRPr="00A97DCA">
              <w:rPr>
                <w:rFonts w:ascii="標楷體" w:eastAsia="標楷體" w:hAnsi="標楷體" w:hint="eastAsia"/>
                <w:bCs/>
                <w:lang w:eastAsia="zh-TW"/>
              </w:rPr>
              <w:t>。2.</w:t>
            </w:r>
            <w:r w:rsidRPr="00A97DCA">
              <w:rPr>
                <w:rFonts w:ascii="標楷體" w:eastAsia="標楷體" w:hAnsi="標楷體"/>
                <w:bCs/>
                <w:lang w:eastAsia="zh-TW"/>
              </w:rPr>
              <w:t>報告與討論</w:t>
            </w:r>
            <w:r w:rsidRPr="00A97DCA">
              <w:rPr>
                <w:rFonts w:ascii="標楷體" w:eastAsia="標楷體" w:hAnsi="標楷體" w:hint="eastAsia"/>
                <w:bCs/>
                <w:lang w:eastAsia="zh-TW"/>
              </w:rPr>
              <w:t>。</w:t>
            </w:r>
            <w:r w:rsidRPr="00A97DCA">
              <w:rPr>
                <w:rFonts w:ascii="標楷體" w:eastAsia="標楷體" w:hAnsi="標楷體" w:hint="eastAsia"/>
                <w:bCs/>
              </w:rPr>
              <w:t>3.</w:t>
            </w:r>
            <w:r w:rsidRPr="00A97DCA">
              <w:rPr>
                <w:rFonts w:ascii="標楷體" w:eastAsia="標楷體" w:hAnsi="標楷體"/>
                <w:bCs/>
              </w:rPr>
              <w:t>專題演講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97DCA">
              <w:rPr>
                <w:rFonts w:eastAsia="標楷體"/>
                <w:b/>
                <w:lang w:eastAsia="zh-TW"/>
              </w:rPr>
              <w:t>＜評量方式＞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1.引導學員</w:t>
            </w:r>
            <w:r w:rsidRPr="00A97DCA">
              <w:rPr>
                <w:rFonts w:ascii="標楷體" w:eastAsia="標楷體" w:hAnsi="標楷體" w:hint="eastAsia"/>
                <w:lang w:eastAsia="zh-TW"/>
              </w:rPr>
              <w:t>認識</w:t>
            </w:r>
            <w:proofErr w:type="gramStart"/>
            <w:r w:rsidRPr="00A97DCA">
              <w:rPr>
                <w:rFonts w:ascii="標楷體" w:eastAsia="標楷體" w:hAnsi="標楷體" w:hint="eastAsia"/>
                <w:lang w:eastAsia="zh-TW"/>
              </w:rPr>
              <w:t>鄒</w:t>
            </w:r>
            <w:proofErr w:type="gramEnd"/>
            <w:r w:rsidRPr="00A97DCA">
              <w:rPr>
                <w:rFonts w:ascii="標楷體" w:eastAsia="標楷體" w:hAnsi="標楷體" w:hint="eastAsia"/>
                <w:lang w:eastAsia="zh-TW"/>
              </w:rPr>
              <w:t>族文化，並開口說鄒語。</w:t>
            </w:r>
            <w:r w:rsidRPr="00A97DCA">
              <w:rPr>
                <w:rFonts w:ascii="標楷體" w:eastAsia="標楷體" w:hAnsi="標楷體"/>
                <w:lang w:eastAsia="zh-TW"/>
              </w:rPr>
              <w:t>2.以文字記錄採錄之原住民文化與心得。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lang w:eastAsia="zh-TW"/>
              </w:rPr>
            </w:pPr>
            <w:r w:rsidRPr="00A97DCA">
              <w:rPr>
                <w:rFonts w:eastAsia="標楷體"/>
                <w:b/>
                <w:lang w:eastAsia="zh-TW"/>
              </w:rPr>
              <w:t>＜指定及參考書目＞【請遵守智慧財產權，不得非法列印】</w:t>
            </w:r>
          </w:p>
        </w:tc>
      </w:tr>
      <w:tr w:rsidR="00876801" w:rsidRPr="00A97DCA" w:rsidTr="00125FDF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6801" w:rsidRPr="00A97DCA" w:rsidRDefault="00876801" w:rsidP="00125FDF">
            <w:pPr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祝畹瑾（2013）。《新編社會語言學概論》。五南出版。</w:t>
            </w:r>
          </w:p>
          <w:p w:rsidR="00876801" w:rsidRPr="00A97DCA" w:rsidRDefault="00876801" w:rsidP="00125FDF">
            <w:pPr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鄒嘉彥（2015）。《社會語言學教程》。五南出版。</w:t>
            </w:r>
          </w:p>
          <w:p w:rsidR="00876801" w:rsidRPr="00A97DCA" w:rsidRDefault="00876801" w:rsidP="00125FDF">
            <w:pPr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汪明輝，浦忠勇（1995）。〈鄒語使用現況之初步調查分析〉《臺灣南島民族母語研討會論文集》。李壬</w:t>
            </w:r>
            <w:proofErr w:type="gramStart"/>
            <w:r w:rsidRPr="00A97DCA">
              <w:rPr>
                <w:rFonts w:ascii="標楷體" w:eastAsia="標楷體" w:hAnsi="標楷體"/>
                <w:lang w:eastAsia="zh-TW"/>
              </w:rPr>
              <w:t>癸</w:t>
            </w:r>
            <w:proofErr w:type="gramEnd"/>
            <w:r w:rsidRPr="00A97DCA">
              <w:rPr>
                <w:rFonts w:ascii="標楷體" w:eastAsia="標楷體" w:hAnsi="標楷體"/>
                <w:lang w:eastAsia="zh-TW"/>
              </w:rPr>
              <w:t>、林英津編。 中研院歷史語言研究所，頁131-177。</w:t>
            </w:r>
          </w:p>
          <w:p w:rsidR="00876801" w:rsidRPr="00A97DCA" w:rsidRDefault="00876801" w:rsidP="00125FDF">
            <w:pPr>
              <w:rPr>
                <w:rFonts w:ascii="標楷體" w:eastAsia="標楷體" w:hAnsi="標楷體"/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黃宣範（1993）。《語言、社會與族群意識--臺灣語言社會學的研究》。台北：</w:t>
            </w:r>
            <w:proofErr w:type="gramStart"/>
            <w:r w:rsidRPr="00A97DCA">
              <w:rPr>
                <w:rFonts w:ascii="標楷體" w:eastAsia="標楷體" w:hAnsi="標楷體"/>
                <w:lang w:eastAsia="zh-TW"/>
              </w:rPr>
              <w:t>文鶴出版社</w:t>
            </w:r>
            <w:proofErr w:type="gramEnd"/>
            <w:r w:rsidRPr="00A97DCA">
              <w:rPr>
                <w:rFonts w:ascii="標楷體" w:eastAsia="標楷體" w:hAnsi="標楷體"/>
                <w:lang w:eastAsia="zh-TW"/>
              </w:rPr>
              <w:t>。</w:t>
            </w:r>
          </w:p>
          <w:p w:rsidR="00876801" w:rsidRPr="00A97DCA" w:rsidRDefault="00876801" w:rsidP="00125FDF">
            <w:pPr>
              <w:ind w:firstLineChars="9" w:firstLine="22"/>
              <w:rPr>
                <w:lang w:eastAsia="zh-TW"/>
              </w:rPr>
            </w:pPr>
            <w:r w:rsidRPr="00A97DCA">
              <w:rPr>
                <w:rFonts w:ascii="標楷體" w:eastAsia="標楷體" w:hAnsi="標楷體"/>
                <w:lang w:eastAsia="zh-TW"/>
              </w:rPr>
              <w:t>宋偉航譯（2001）。《語言的死亡》。原作者David Crystal, Language Death.台北:貓頭鷹。</w:t>
            </w:r>
          </w:p>
        </w:tc>
      </w:tr>
    </w:tbl>
    <w:p w:rsidR="00D5294F" w:rsidRDefault="00D5294F"/>
    <w:sectPr w:rsidR="00D5294F" w:rsidSect="008768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01"/>
    <w:rsid w:val="00876801"/>
    <w:rsid w:val="00D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7391"/>
  <w15:chartTrackingRefBased/>
  <w15:docId w15:val="{EA1F9231-2039-4349-8E49-0EA81F9F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01"/>
    <w:pPr>
      <w:widowControl w:val="0"/>
      <w:suppressAutoHyphens/>
      <w:autoSpaceDN w:val="0"/>
      <w:textAlignment w:val="baseline"/>
    </w:pPr>
    <w:rPr>
      <w:rFonts w:ascii="Times New Roman" w:hAnsi="Times New Roman" w:cs="F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2020-06-04T01:21:00Z</dcterms:created>
  <dcterms:modified xsi:type="dcterms:W3CDTF">2020-06-04T01:22:00Z</dcterms:modified>
</cp:coreProperties>
</file>