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jc w:val="center"/>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1980"/>
        <w:gridCol w:w="8460"/>
      </w:tblGrid>
      <w:tr w:rsidR="00F4231E" w:rsidTr="00F4231E">
        <w:trPr>
          <w:trHeight w:val="527"/>
          <w:jc w:val="center"/>
        </w:trPr>
        <w:tc>
          <w:tcPr>
            <w:tcW w:w="1980" w:type="dxa"/>
            <w:tcBorders>
              <w:top w:val="single" w:sz="4" w:space="0" w:color="auto"/>
              <w:left w:val="single" w:sz="12" w:space="0" w:color="auto"/>
              <w:bottom w:val="single" w:sz="4" w:space="0" w:color="auto"/>
              <w:right w:val="single" w:sz="4" w:space="0" w:color="auto"/>
            </w:tcBorders>
            <w:vAlign w:val="center"/>
            <w:hideMark/>
          </w:tcPr>
          <w:p w:rsidR="00F4231E" w:rsidRDefault="00F4231E">
            <w:pPr>
              <w:spacing w:line="0" w:lineRule="atLeast"/>
              <w:jc w:val="center"/>
              <w:rPr>
                <w:rFonts w:eastAsia="標楷體"/>
              </w:rPr>
            </w:pPr>
            <w:r>
              <w:rPr>
                <w:rFonts w:eastAsia="標楷體" w:hint="eastAsia"/>
              </w:rPr>
              <w:t>課程名稱</w:t>
            </w:r>
            <w:r>
              <w:rPr>
                <w:rFonts w:eastAsia="標楷體"/>
              </w:rPr>
              <w:t>(</w:t>
            </w:r>
            <w:r>
              <w:rPr>
                <w:rFonts w:eastAsia="標楷體" w:hint="eastAsia"/>
              </w:rPr>
              <w:t>中文</w:t>
            </w:r>
            <w:r>
              <w:rPr>
                <w:rFonts w:eastAsia="標楷體"/>
              </w:rPr>
              <w:t>)</w:t>
            </w:r>
          </w:p>
        </w:tc>
        <w:tc>
          <w:tcPr>
            <w:tcW w:w="8460" w:type="dxa"/>
            <w:tcBorders>
              <w:top w:val="single" w:sz="4" w:space="0" w:color="auto"/>
              <w:left w:val="single" w:sz="4" w:space="0" w:color="auto"/>
              <w:bottom w:val="single" w:sz="4" w:space="0" w:color="auto"/>
              <w:right w:val="single" w:sz="12" w:space="0" w:color="auto"/>
            </w:tcBorders>
            <w:vAlign w:val="center"/>
            <w:hideMark/>
          </w:tcPr>
          <w:p w:rsidR="00F4231E" w:rsidRDefault="00F4231E">
            <w:pPr>
              <w:spacing w:line="0" w:lineRule="atLeast"/>
              <w:jc w:val="center"/>
              <w:rPr>
                <w:rFonts w:eastAsia="標楷體"/>
              </w:rPr>
            </w:pPr>
            <w:r>
              <w:rPr>
                <w:rFonts w:eastAsia="標楷體" w:hint="eastAsia"/>
              </w:rPr>
              <w:t>經濟與國家發展</w:t>
            </w:r>
          </w:p>
        </w:tc>
      </w:tr>
      <w:tr w:rsidR="00F4231E" w:rsidTr="00F4231E">
        <w:trPr>
          <w:trHeight w:val="521"/>
          <w:jc w:val="center"/>
        </w:trPr>
        <w:tc>
          <w:tcPr>
            <w:tcW w:w="1980" w:type="dxa"/>
            <w:tcBorders>
              <w:top w:val="single" w:sz="4" w:space="0" w:color="auto"/>
              <w:left w:val="single" w:sz="12" w:space="0" w:color="auto"/>
              <w:bottom w:val="single" w:sz="4" w:space="0" w:color="auto"/>
              <w:right w:val="single" w:sz="4" w:space="0" w:color="auto"/>
            </w:tcBorders>
            <w:vAlign w:val="center"/>
            <w:hideMark/>
          </w:tcPr>
          <w:p w:rsidR="00F4231E" w:rsidRDefault="00F4231E">
            <w:pPr>
              <w:spacing w:line="0" w:lineRule="atLeast"/>
              <w:jc w:val="center"/>
              <w:rPr>
                <w:rFonts w:eastAsia="標楷體"/>
              </w:rPr>
            </w:pPr>
            <w:r>
              <w:rPr>
                <w:rFonts w:eastAsia="標楷體" w:hint="eastAsia"/>
              </w:rPr>
              <w:t>課程名稱</w:t>
            </w:r>
            <w:r>
              <w:rPr>
                <w:rFonts w:eastAsia="標楷體"/>
              </w:rPr>
              <w:t>(</w:t>
            </w:r>
            <w:r>
              <w:rPr>
                <w:rFonts w:eastAsia="標楷體" w:hint="eastAsia"/>
              </w:rPr>
              <w:t>英文</w:t>
            </w:r>
            <w:r>
              <w:rPr>
                <w:rFonts w:eastAsia="標楷體"/>
              </w:rPr>
              <w:t>)</w:t>
            </w:r>
          </w:p>
        </w:tc>
        <w:tc>
          <w:tcPr>
            <w:tcW w:w="8460" w:type="dxa"/>
            <w:tcBorders>
              <w:top w:val="single" w:sz="4" w:space="0" w:color="auto"/>
              <w:left w:val="single" w:sz="4" w:space="0" w:color="auto"/>
              <w:bottom w:val="single" w:sz="4" w:space="0" w:color="auto"/>
              <w:right w:val="single" w:sz="12" w:space="0" w:color="auto"/>
            </w:tcBorders>
            <w:vAlign w:val="center"/>
            <w:hideMark/>
          </w:tcPr>
          <w:p w:rsidR="00F4231E" w:rsidRDefault="00F4231E">
            <w:pPr>
              <w:spacing w:line="0" w:lineRule="atLeast"/>
              <w:jc w:val="center"/>
              <w:rPr>
                <w:rFonts w:eastAsia="標楷體"/>
              </w:rPr>
            </w:pPr>
            <w:r>
              <w:rPr>
                <w:rFonts w:eastAsia="標楷體"/>
              </w:rPr>
              <w:t>Economy and National Development</w:t>
            </w:r>
          </w:p>
        </w:tc>
      </w:tr>
      <w:tr w:rsidR="00F4231E" w:rsidTr="00F4231E">
        <w:trPr>
          <w:trHeight w:val="892"/>
          <w:jc w:val="center"/>
        </w:trPr>
        <w:tc>
          <w:tcPr>
            <w:tcW w:w="1980" w:type="dxa"/>
            <w:tcBorders>
              <w:top w:val="single" w:sz="4" w:space="0" w:color="auto"/>
              <w:left w:val="single" w:sz="12" w:space="0" w:color="auto"/>
              <w:bottom w:val="single" w:sz="4" w:space="0" w:color="auto"/>
              <w:right w:val="single" w:sz="4" w:space="0" w:color="auto"/>
            </w:tcBorders>
            <w:vAlign w:val="center"/>
            <w:hideMark/>
          </w:tcPr>
          <w:p w:rsidR="00F4231E" w:rsidRDefault="00F4231E">
            <w:pPr>
              <w:spacing w:line="0" w:lineRule="atLeast"/>
              <w:jc w:val="center"/>
              <w:rPr>
                <w:rFonts w:eastAsia="標楷體"/>
              </w:rPr>
            </w:pPr>
            <w:r>
              <w:rPr>
                <w:rFonts w:eastAsia="標楷體" w:hint="eastAsia"/>
              </w:rPr>
              <w:t>教學目標及範圍</w:t>
            </w:r>
          </w:p>
        </w:tc>
        <w:tc>
          <w:tcPr>
            <w:tcW w:w="8460" w:type="dxa"/>
            <w:tcBorders>
              <w:top w:val="single" w:sz="4" w:space="0" w:color="auto"/>
              <w:left w:val="single" w:sz="4" w:space="0" w:color="auto"/>
              <w:bottom w:val="single" w:sz="4" w:space="0" w:color="auto"/>
              <w:right w:val="single" w:sz="12" w:space="0" w:color="auto"/>
            </w:tcBorders>
            <w:hideMark/>
          </w:tcPr>
          <w:p w:rsidR="00F4231E" w:rsidRDefault="00F4231E">
            <w:pPr>
              <w:spacing w:line="0" w:lineRule="atLeast"/>
              <w:rPr>
                <w:rFonts w:eastAsia="標楷體"/>
              </w:rPr>
            </w:pPr>
            <w:r>
              <w:rPr>
                <w:rFonts w:eastAsia="標楷體"/>
              </w:rPr>
              <w:t>Cultivating an analytical perspective for understanding the development and wellbeing of a country; help students think about how to improve the harmony and prosperity of a society.</w:t>
            </w:r>
          </w:p>
        </w:tc>
      </w:tr>
      <w:tr w:rsidR="00F4231E" w:rsidTr="00F4231E">
        <w:trPr>
          <w:trHeight w:val="1400"/>
          <w:jc w:val="center"/>
        </w:trPr>
        <w:tc>
          <w:tcPr>
            <w:tcW w:w="1980" w:type="dxa"/>
            <w:tcBorders>
              <w:top w:val="single" w:sz="4" w:space="0" w:color="auto"/>
              <w:left w:val="single" w:sz="12" w:space="0" w:color="auto"/>
              <w:bottom w:val="single" w:sz="4" w:space="0" w:color="auto"/>
              <w:right w:val="single" w:sz="4" w:space="0" w:color="auto"/>
            </w:tcBorders>
            <w:vAlign w:val="center"/>
            <w:hideMark/>
          </w:tcPr>
          <w:p w:rsidR="00F4231E" w:rsidRDefault="00F4231E">
            <w:pPr>
              <w:spacing w:line="0" w:lineRule="atLeast"/>
              <w:jc w:val="center"/>
              <w:rPr>
                <w:rFonts w:eastAsia="標楷體"/>
              </w:rPr>
            </w:pPr>
            <w:r>
              <w:rPr>
                <w:rFonts w:ascii="標楷體" w:eastAsia="標楷體" w:hAnsi="標楷體" w:hint="eastAsia"/>
                <w:bCs/>
              </w:rPr>
              <w:t>與通識教育核心精神之關聯性</w:t>
            </w:r>
          </w:p>
        </w:tc>
        <w:tc>
          <w:tcPr>
            <w:tcW w:w="8460" w:type="dxa"/>
            <w:tcBorders>
              <w:top w:val="single" w:sz="4" w:space="0" w:color="auto"/>
              <w:left w:val="single" w:sz="4" w:space="0" w:color="auto"/>
              <w:bottom w:val="single" w:sz="4" w:space="0" w:color="auto"/>
              <w:right w:val="single" w:sz="12" w:space="0" w:color="auto"/>
            </w:tcBorders>
          </w:tcPr>
          <w:p w:rsidR="00F4231E" w:rsidRDefault="00F4231E">
            <w:pPr>
              <w:spacing w:line="0" w:lineRule="atLeast"/>
              <w:rPr>
                <w:rFonts w:eastAsia="標楷體"/>
              </w:rPr>
            </w:pPr>
          </w:p>
          <w:p w:rsidR="00F4231E" w:rsidRDefault="00F4231E">
            <w:pPr>
              <w:spacing w:line="0" w:lineRule="atLeast"/>
              <w:rPr>
                <w:rFonts w:eastAsia="標楷體"/>
              </w:rPr>
            </w:pPr>
            <w:r>
              <w:rPr>
                <w:rFonts w:eastAsia="標楷體"/>
              </w:rPr>
              <w:t>This introductory course introduces general ideas of sustainable national development to students of all majors. This will help students understand the social purpose of their majors and motivate them to master their expertise so that each one can play a proper role for the common good.</w:t>
            </w:r>
          </w:p>
        </w:tc>
      </w:tr>
      <w:tr w:rsidR="00F4231E" w:rsidTr="00F4231E">
        <w:trPr>
          <w:trHeight w:val="4837"/>
          <w:jc w:val="center"/>
        </w:trPr>
        <w:tc>
          <w:tcPr>
            <w:tcW w:w="1980" w:type="dxa"/>
            <w:tcBorders>
              <w:top w:val="single" w:sz="4" w:space="0" w:color="auto"/>
              <w:left w:val="single" w:sz="12" w:space="0" w:color="auto"/>
              <w:bottom w:val="single" w:sz="4" w:space="0" w:color="auto"/>
              <w:right w:val="single" w:sz="4" w:space="0" w:color="auto"/>
            </w:tcBorders>
            <w:vAlign w:val="center"/>
            <w:hideMark/>
          </w:tcPr>
          <w:p w:rsidR="00F4231E" w:rsidRDefault="00F4231E">
            <w:pPr>
              <w:spacing w:line="0" w:lineRule="atLeast"/>
              <w:jc w:val="center"/>
              <w:rPr>
                <w:rFonts w:eastAsia="標楷體"/>
              </w:rPr>
            </w:pPr>
            <w:r>
              <w:rPr>
                <w:rFonts w:eastAsia="標楷體" w:hint="eastAsia"/>
              </w:rPr>
              <w:t>授</w:t>
            </w:r>
            <w:r>
              <w:rPr>
                <w:rFonts w:eastAsia="標楷體"/>
              </w:rPr>
              <w:t xml:space="preserve">  </w:t>
            </w:r>
            <w:r>
              <w:rPr>
                <w:rFonts w:eastAsia="標楷體" w:hint="eastAsia"/>
              </w:rPr>
              <w:t>課</w:t>
            </w:r>
            <w:r>
              <w:rPr>
                <w:rFonts w:eastAsia="標楷體"/>
              </w:rPr>
              <w:t xml:space="preserve">  </w:t>
            </w:r>
            <w:r>
              <w:rPr>
                <w:rFonts w:eastAsia="標楷體" w:hint="eastAsia"/>
              </w:rPr>
              <w:t>大</w:t>
            </w:r>
            <w:r>
              <w:rPr>
                <w:rFonts w:eastAsia="標楷體"/>
              </w:rPr>
              <w:t xml:space="preserve">  </w:t>
            </w:r>
            <w:r>
              <w:rPr>
                <w:rFonts w:eastAsia="標楷體" w:hint="eastAsia"/>
              </w:rPr>
              <w:t>綱</w:t>
            </w:r>
          </w:p>
          <w:p w:rsidR="00F4231E" w:rsidRDefault="00F4231E">
            <w:pPr>
              <w:spacing w:line="0" w:lineRule="atLeast"/>
              <w:jc w:val="center"/>
              <w:rPr>
                <w:rFonts w:eastAsia="標楷體"/>
              </w:rPr>
            </w:pPr>
            <w:r>
              <w:rPr>
                <w:rFonts w:eastAsia="標楷體"/>
              </w:rPr>
              <w:t>(</w:t>
            </w:r>
            <w:r>
              <w:rPr>
                <w:rFonts w:eastAsia="標楷體" w:hint="eastAsia"/>
              </w:rPr>
              <w:t>須含</w:t>
            </w:r>
            <w:proofErr w:type="gramStart"/>
            <w:r>
              <w:rPr>
                <w:rFonts w:eastAsia="標楷體" w:hint="eastAsia"/>
              </w:rPr>
              <w:t>週次表</w:t>
            </w:r>
            <w:proofErr w:type="gramEnd"/>
            <w:r>
              <w:rPr>
                <w:rFonts w:eastAsia="標楷體" w:hint="eastAsia"/>
              </w:rPr>
              <w:t>及每週課程進度說明</w:t>
            </w:r>
            <w:r>
              <w:rPr>
                <w:rFonts w:eastAsia="標楷體"/>
              </w:rPr>
              <w:t>)</w:t>
            </w:r>
          </w:p>
        </w:tc>
        <w:tc>
          <w:tcPr>
            <w:tcW w:w="8460" w:type="dxa"/>
            <w:tcBorders>
              <w:top w:val="single" w:sz="4" w:space="0" w:color="auto"/>
              <w:left w:val="single" w:sz="4" w:space="0" w:color="auto"/>
              <w:bottom w:val="single" w:sz="4" w:space="0" w:color="auto"/>
              <w:right w:val="single" w:sz="12" w:space="0" w:color="auto"/>
            </w:tcBorders>
            <w:hideMark/>
          </w:tcPr>
          <w:p w:rsidR="00F4231E" w:rsidRDefault="00F4231E">
            <w:pPr>
              <w:rPr>
                <w:rFonts w:ascii="Calibri" w:hAnsi="Calibri"/>
                <w:b/>
                <w:sz w:val="20"/>
                <w:szCs w:val="20"/>
              </w:rPr>
            </w:pPr>
            <w:r>
              <w:rPr>
                <w:rFonts w:ascii="Calibri" w:hAnsi="Calibri"/>
                <w:b/>
                <w:sz w:val="20"/>
                <w:szCs w:val="20"/>
              </w:rPr>
              <w:t>1.</w:t>
            </w:r>
            <w:r>
              <w:rPr>
                <w:rFonts w:ascii="Calibri" w:hAnsi="Calibri"/>
                <w:b/>
                <w:sz w:val="20"/>
                <w:szCs w:val="20"/>
              </w:rPr>
              <w:tab/>
              <w:t>Sustainable economic development and national strength</w:t>
            </w:r>
          </w:p>
          <w:p w:rsidR="00F4231E" w:rsidRDefault="00F4231E">
            <w:pPr>
              <w:rPr>
                <w:rFonts w:ascii="Calibri" w:hAnsi="Calibri"/>
                <w:b/>
                <w:sz w:val="20"/>
                <w:szCs w:val="20"/>
              </w:rPr>
            </w:pPr>
            <w:r>
              <w:rPr>
                <w:rFonts w:ascii="Calibri" w:hAnsi="Calibri"/>
                <w:b/>
                <w:sz w:val="20"/>
                <w:szCs w:val="20"/>
              </w:rPr>
              <w:t>2.</w:t>
            </w:r>
            <w:r>
              <w:rPr>
                <w:rFonts w:ascii="Calibri" w:hAnsi="Calibri"/>
                <w:b/>
                <w:sz w:val="20"/>
                <w:szCs w:val="20"/>
              </w:rPr>
              <w:tab/>
              <w:t>Political institutions and sustainable economic development</w:t>
            </w:r>
          </w:p>
          <w:p w:rsidR="00F4231E" w:rsidRDefault="00F4231E">
            <w:pPr>
              <w:rPr>
                <w:rFonts w:ascii="Calibri" w:hAnsi="Calibri"/>
                <w:b/>
                <w:sz w:val="20"/>
                <w:szCs w:val="20"/>
              </w:rPr>
            </w:pPr>
            <w:r>
              <w:rPr>
                <w:rFonts w:ascii="Calibri" w:hAnsi="Calibri"/>
                <w:b/>
                <w:sz w:val="20"/>
                <w:szCs w:val="20"/>
              </w:rPr>
              <w:t>3.</w:t>
            </w:r>
            <w:r>
              <w:rPr>
                <w:rFonts w:ascii="Calibri" w:hAnsi="Calibri"/>
                <w:b/>
                <w:sz w:val="20"/>
                <w:szCs w:val="20"/>
              </w:rPr>
              <w:tab/>
              <w:t>Citizens’ integrity and economic productivity</w:t>
            </w:r>
          </w:p>
          <w:p w:rsidR="00F4231E" w:rsidRDefault="00F4231E">
            <w:pPr>
              <w:rPr>
                <w:rFonts w:ascii="Calibri" w:hAnsi="Calibri"/>
                <w:b/>
                <w:sz w:val="20"/>
                <w:szCs w:val="20"/>
              </w:rPr>
            </w:pPr>
            <w:r>
              <w:rPr>
                <w:rFonts w:ascii="Calibri" w:hAnsi="Calibri"/>
                <w:b/>
                <w:sz w:val="20"/>
                <w:szCs w:val="20"/>
              </w:rPr>
              <w:t>4.</w:t>
            </w:r>
            <w:r>
              <w:rPr>
                <w:rFonts w:ascii="Calibri" w:hAnsi="Calibri"/>
                <w:b/>
                <w:sz w:val="20"/>
                <w:szCs w:val="20"/>
              </w:rPr>
              <w:tab/>
              <w:t>Culture Formation and working Ethics</w:t>
            </w:r>
          </w:p>
          <w:p w:rsidR="00F4231E" w:rsidRDefault="00F4231E">
            <w:pPr>
              <w:rPr>
                <w:rFonts w:ascii="Calibri" w:hAnsi="Calibri"/>
                <w:b/>
                <w:sz w:val="20"/>
                <w:szCs w:val="20"/>
              </w:rPr>
            </w:pPr>
            <w:r>
              <w:rPr>
                <w:rFonts w:ascii="Calibri" w:hAnsi="Calibri"/>
                <w:b/>
                <w:sz w:val="20"/>
                <w:szCs w:val="20"/>
              </w:rPr>
              <w:t>5.</w:t>
            </w:r>
            <w:r>
              <w:rPr>
                <w:rFonts w:ascii="Calibri" w:hAnsi="Calibri"/>
                <w:b/>
                <w:sz w:val="20"/>
                <w:szCs w:val="20"/>
              </w:rPr>
              <w:tab/>
              <w:t>Education, culture enrichment, and cultivation of human capital</w:t>
            </w:r>
          </w:p>
          <w:p w:rsidR="00F4231E" w:rsidRDefault="00F4231E">
            <w:pPr>
              <w:ind w:left="300" w:hangingChars="150" w:hanging="300"/>
              <w:rPr>
                <w:rFonts w:ascii="Calibri" w:hAnsi="Calibri"/>
                <w:b/>
                <w:sz w:val="20"/>
                <w:szCs w:val="20"/>
              </w:rPr>
            </w:pPr>
            <w:r>
              <w:rPr>
                <w:rFonts w:ascii="Calibri" w:hAnsi="Calibri"/>
                <w:b/>
                <w:sz w:val="20"/>
                <w:szCs w:val="20"/>
              </w:rPr>
              <w:t>6.</w:t>
            </w:r>
            <w:r>
              <w:rPr>
                <w:rFonts w:ascii="Calibri" w:hAnsi="Calibri"/>
                <w:b/>
                <w:sz w:val="20"/>
                <w:szCs w:val="20"/>
              </w:rPr>
              <w:tab/>
              <w:t xml:space="preserve"> Social justice, accumulation of collective capital, and long-term national development</w:t>
            </w:r>
          </w:p>
          <w:p w:rsidR="00F4231E" w:rsidRDefault="00F4231E">
            <w:pPr>
              <w:ind w:left="300" w:hangingChars="150" w:hanging="300"/>
              <w:rPr>
                <w:rFonts w:ascii="Calibri" w:hAnsi="Calibri"/>
                <w:b/>
                <w:sz w:val="20"/>
                <w:szCs w:val="20"/>
              </w:rPr>
            </w:pPr>
            <w:r>
              <w:rPr>
                <w:rFonts w:ascii="Calibri" w:hAnsi="Calibri"/>
                <w:b/>
                <w:sz w:val="20"/>
                <w:szCs w:val="20"/>
              </w:rPr>
              <w:t>7.</w:t>
            </w:r>
            <w:r>
              <w:rPr>
                <w:rFonts w:ascii="Calibri" w:hAnsi="Calibri"/>
                <w:b/>
                <w:sz w:val="20"/>
                <w:szCs w:val="20"/>
              </w:rPr>
              <w:tab/>
              <w:t xml:space="preserve"> Environmental Protection and Long-Run Development</w:t>
            </w:r>
          </w:p>
          <w:p w:rsidR="00F4231E" w:rsidRPr="00B36F16" w:rsidRDefault="00B36F16">
            <w:pPr>
              <w:ind w:left="300" w:hangingChars="150" w:hanging="300"/>
              <w:rPr>
                <w:rFonts w:ascii="Calibri" w:hAnsi="Calibri"/>
                <w:b/>
                <w:sz w:val="20"/>
                <w:szCs w:val="20"/>
                <w:u w:val="single"/>
              </w:rPr>
            </w:pPr>
            <w:r w:rsidRPr="00B36F16">
              <w:rPr>
                <w:rFonts w:ascii="Calibri" w:hAnsi="Calibri"/>
                <w:b/>
                <w:sz w:val="20"/>
                <w:szCs w:val="20"/>
                <w:u w:val="single"/>
              </w:rPr>
              <w:t>Midterm Report</w:t>
            </w:r>
          </w:p>
          <w:p w:rsidR="00F4231E" w:rsidRDefault="00F4231E">
            <w:pPr>
              <w:rPr>
                <w:rFonts w:ascii="Calibri" w:hAnsi="Calibri"/>
                <w:b/>
                <w:sz w:val="20"/>
                <w:szCs w:val="20"/>
              </w:rPr>
            </w:pPr>
            <w:r>
              <w:rPr>
                <w:rFonts w:ascii="Calibri" w:hAnsi="Calibri"/>
                <w:b/>
                <w:sz w:val="20"/>
                <w:szCs w:val="20"/>
              </w:rPr>
              <w:t>8.</w:t>
            </w:r>
            <w:r>
              <w:rPr>
                <w:rFonts w:ascii="Calibri" w:hAnsi="Calibri"/>
                <w:b/>
                <w:sz w:val="20"/>
                <w:szCs w:val="20"/>
              </w:rPr>
              <w:tab/>
              <w:t>Rise and fall of a nation</w:t>
            </w:r>
          </w:p>
          <w:p w:rsidR="00F4231E" w:rsidRDefault="00F4231E">
            <w:pPr>
              <w:rPr>
                <w:rFonts w:ascii="Calibri" w:hAnsi="Calibri"/>
                <w:b/>
                <w:sz w:val="20"/>
                <w:szCs w:val="20"/>
              </w:rPr>
            </w:pPr>
            <w:r>
              <w:rPr>
                <w:rFonts w:ascii="Calibri" w:hAnsi="Calibri"/>
                <w:b/>
                <w:sz w:val="20"/>
                <w:szCs w:val="20"/>
              </w:rPr>
              <w:t>9.</w:t>
            </w:r>
            <w:r>
              <w:rPr>
                <w:rFonts w:ascii="Calibri" w:hAnsi="Calibri"/>
                <w:b/>
                <w:sz w:val="20"/>
                <w:szCs w:val="20"/>
              </w:rPr>
              <w:tab/>
              <w:t>Internal decay, external interference and a nation’s fortune</w:t>
            </w:r>
          </w:p>
          <w:p w:rsidR="00F4231E" w:rsidRDefault="00F4231E">
            <w:pPr>
              <w:rPr>
                <w:rFonts w:ascii="Calibri" w:hAnsi="Calibri"/>
                <w:b/>
                <w:sz w:val="20"/>
                <w:szCs w:val="20"/>
              </w:rPr>
            </w:pPr>
            <w:r>
              <w:rPr>
                <w:rFonts w:ascii="Calibri" w:hAnsi="Calibri"/>
                <w:b/>
                <w:sz w:val="20"/>
                <w:szCs w:val="20"/>
              </w:rPr>
              <w:t>10.</w:t>
            </w:r>
            <w:r>
              <w:rPr>
                <w:rFonts w:ascii="Calibri" w:hAnsi="Calibri"/>
                <w:b/>
                <w:sz w:val="20"/>
                <w:szCs w:val="20"/>
              </w:rPr>
              <w:tab/>
              <w:t>National capacity, geography position and international status</w:t>
            </w:r>
          </w:p>
          <w:p w:rsidR="00F4231E" w:rsidRDefault="00F4231E">
            <w:pPr>
              <w:rPr>
                <w:rFonts w:ascii="Calibri" w:hAnsi="Calibri"/>
                <w:b/>
                <w:sz w:val="20"/>
                <w:szCs w:val="20"/>
              </w:rPr>
            </w:pPr>
            <w:r>
              <w:rPr>
                <w:rFonts w:ascii="Calibri" w:hAnsi="Calibri"/>
                <w:b/>
                <w:sz w:val="20"/>
                <w:szCs w:val="20"/>
              </w:rPr>
              <w:t>11.</w:t>
            </w:r>
            <w:r>
              <w:rPr>
                <w:rFonts w:ascii="Calibri" w:hAnsi="Calibri"/>
                <w:b/>
                <w:sz w:val="20"/>
                <w:szCs w:val="20"/>
              </w:rPr>
              <w:tab/>
              <w:t xml:space="preserve">International alliances and national development </w:t>
            </w:r>
          </w:p>
          <w:p w:rsidR="00F4231E" w:rsidRDefault="00F4231E">
            <w:pPr>
              <w:rPr>
                <w:rFonts w:ascii="Calibri" w:hAnsi="Calibri"/>
                <w:b/>
                <w:sz w:val="20"/>
                <w:szCs w:val="20"/>
              </w:rPr>
            </w:pPr>
            <w:r>
              <w:rPr>
                <w:rFonts w:ascii="Calibri" w:hAnsi="Calibri"/>
                <w:b/>
                <w:sz w:val="20"/>
                <w:szCs w:val="20"/>
              </w:rPr>
              <w:t>12.  Scarcity, conflicts, and cooperation</w:t>
            </w:r>
          </w:p>
          <w:p w:rsidR="00F4231E" w:rsidRDefault="00F4231E">
            <w:pPr>
              <w:rPr>
                <w:rFonts w:ascii="Calibri" w:hAnsi="Calibri"/>
                <w:b/>
                <w:sz w:val="20"/>
                <w:szCs w:val="20"/>
              </w:rPr>
            </w:pPr>
            <w:r>
              <w:rPr>
                <w:rFonts w:ascii="Calibri" w:hAnsi="Calibri"/>
                <w:b/>
                <w:sz w:val="20"/>
                <w:szCs w:val="20"/>
              </w:rPr>
              <w:t>13.</w:t>
            </w:r>
            <w:r>
              <w:rPr>
                <w:rFonts w:ascii="Calibri" w:hAnsi="Calibri"/>
                <w:b/>
                <w:sz w:val="20"/>
                <w:szCs w:val="20"/>
              </w:rPr>
              <w:tab/>
              <w:t>Economic cooperation and military conflict</w:t>
            </w:r>
          </w:p>
          <w:p w:rsidR="00F4231E" w:rsidRDefault="00F4231E">
            <w:pPr>
              <w:rPr>
                <w:rFonts w:ascii="Calibri" w:hAnsi="Calibri"/>
                <w:b/>
                <w:sz w:val="20"/>
                <w:szCs w:val="20"/>
              </w:rPr>
            </w:pPr>
            <w:r>
              <w:rPr>
                <w:rFonts w:ascii="Calibri" w:hAnsi="Calibri"/>
                <w:b/>
                <w:sz w:val="20"/>
                <w:szCs w:val="20"/>
              </w:rPr>
              <w:t>14.</w:t>
            </w:r>
            <w:r>
              <w:rPr>
                <w:rFonts w:ascii="Calibri" w:hAnsi="Calibri"/>
                <w:b/>
                <w:sz w:val="20"/>
                <w:szCs w:val="20"/>
              </w:rPr>
              <w:tab/>
              <w:t>Promoting universal values and sustainable international cooperation</w:t>
            </w:r>
          </w:p>
          <w:p w:rsidR="00F4231E" w:rsidRPr="00B36F16" w:rsidRDefault="00B36F16">
            <w:pPr>
              <w:spacing w:line="0" w:lineRule="atLeast"/>
              <w:rPr>
                <w:rFonts w:eastAsia="標楷體"/>
                <w:b/>
                <w:sz w:val="20"/>
                <w:szCs w:val="20"/>
                <w:u w:val="single"/>
              </w:rPr>
            </w:pPr>
            <w:r w:rsidRPr="00B36F16">
              <w:rPr>
                <w:rFonts w:eastAsia="標楷體"/>
                <w:b/>
                <w:sz w:val="20"/>
                <w:szCs w:val="20"/>
                <w:u w:val="single"/>
              </w:rPr>
              <w:t>Final Report</w:t>
            </w:r>
          </w:p>
        </w:tc>
      </w:tr>
      <w:tr w:rsidR="00F4231E" w:rsidTr="00F4231E">
        <w:trPr>
          <w:trHeight w:val="1080"/>
          <w:jc w:val="center"/>
        </w:trPr>
        <w:tc>
          <w:tcPr>
            <w:tcW w:w="1980" w:type="dxa"/>
            <w:tcBorders>
              <w:top w:val="single" w:sz="4" w:space="0" w:color="auto"/>
              <w:left w:val="single" w:sz="12" w:space="0" w:color="auto"/>
              <w:bottom w:val="single" w:sz="4" w:space="0" w:color="auto"/>
              <w:right w:val="single" w:sz="4" w:space="0" w:color="auto"/>
            </w:tcBorders>
            <w:vAlign w:val="center"/>
            <w:hideMark/>
          </w:tcPr>
          <w:p w:rsidR="00F4231E" w:rsidRDefault="00F4231E">
            <w:pPr>
              <w:spacing w:line="0" w:lineRule="atLeast"/>
              <w:jc w:val="center"/>
              <w:rPr>
                <w:rFonts w:eastAsia="標楷體"/>
              </w:rPr>
            </w:pPr>
            <w:r>
              <w:rPr>
                <w:rFonts w:eastAsia="標楷體" w:hint="eastAsia"/>
              </w:rPr>
              <w:t>教科書及參考書</w:t>
            </w:r>
          </w:p>
        </w:tc>
        <w:tc>
          <w:tcPr>
            <w:tcW w:w="8460" w:type="dxa"/>
            <w:tcBorders>
              <w:top w:val="single" w:sz="4" w:space="0" w:color="auto"/>
              <w:left w:val="single" w:sz="4" w:space="0" w:color="auto"/>
              <w:bottom w:val="single" w:sz="4" w:space="0" w:color="auto"/>
              <w:right w:val="single" w:sz="12" w:space="0" w:color="auto"/>
            </w:tcBorders>
            <w:hideMark/>
          </w:tcPr>
          <w:p w:rsidR="00F4231E" w:rsidRDefault="00F4231E" w:rsidP="00002CBD">
            <w:pPr>
              <w:numPr>
                <w:ilvl w:val="0"/>
                <w:numId w:val="1"/>
              </w:numPr>
              <w:spacing w:line="0" w:lineRule="atLeast"/>
              <w:rPr>
                <w:rFonts w:eastAsia="標楷體"/>
                <w:b/>
                <w:sz w:val="20"/>
                <w:szCs w:val="20"/>
              </w:rPr>
            </w:pPr>
            <w:proofErr w:type="spellStart"/>
            <w:r>
              <w:rPr>
                <w:rFonts w:eastAsia="標楷體"/>
                <w:b/>
                <w:sz w:val="20"/>
                <w:szCs w:val="20"/>
              </w:rPr>
              <w:t>Acemoglu</w:t>
            </w:r>
            <w:proofErr w:type="spellEnd"/>
            <w:r>
              <w:rPr>
                <w:rFonts w:eastAsia="標楷體"/>
                <w:b/>
                <w:sz w:val="20"/>
                <w:szCs w:val="20"/>
              </w:rPr>
              <w:t xml:space="preserve">, D and J. A. Robinson, </w:t>
            </w:r>
            <w:r>
              <w:rPr>
                <w:rFonts w:eastAsia="標楷體"/>
                <w:b/>
                <w:sz w:val="20"/>
                <w:szCs w:val="20"/>
                <w:u w:val="single"/>
              </w:rPr>
              <w:t xml:space="preserve">Why Nations Fail: the Origins of Power, Prosperity, and Poverty, </w:t>
            </w:r>
            <w:r>
              <w:rPr>
                <w:rFonts w:eastAsia="標楷體"/>
                <w:b/>
                <w:sz w:val="20"/>
                <w:szCs w:val="20"/>
              </w:rPr>
              <w:t>Crown Publisher, New York, 2012.</w:t>
            </w:r>
          </w:p>
          <w:p w:rsidR="00B36F16" w:rsidRDefault="00B36F16" w:rsidP="00B36F16">
            <w:pPr>
              <w:spacing w:line="0" w:lineRule="atLeast"/>
              <w:ind w:left="360"/>
              <w:rPr>
                <w:rFonts w:eastAsia="標楷體"/>
                <w:b/>
                <w:sz w:val="20"/>
                <w:szCs w:val="20"/>
              </w:rPr>
            </w:pPr>
          </w:p>
          <w:p w:rsidR="00F4231E" w:rsidRDefault="00F4231E" w:rsidP="00002CBD">
            <w:pPr>
              <w:numPr>
                <w:ilvl w:val="0"/>
                <w:numId w:val="1"/>
              </w:numPr>
              <w:spacing w:line="0" w:lineRule="atLeast"/>
              <w:rPr>
                <w:rFonts w:eastAsia="標楷體"/>
                <w:b/>
                <w:sz w:val="20"/>
                <w:szCs w:val="20"/>
              </w:rPr>
            </w:pPr>
            <w:r>
              <w:rPr>
                <w:rFonts w:eastAsia="標楷體"/>
                <w:b/>
                <w:sz w:val="20"/>
                <w:szCs w:val="20"/>
              </w:rPr>
              <w:t xml:space="preserve">Piketty, T., </w:t>
            </w:r>
            <w:r>
              <w:rPr>
                <w:rFonts w:eastAsia="標楷體"/>
                <w:b/>
                <w:sz w:val="20"/>
                <w:szCs w:val="20"/>
                <w:u w:val="single"/>
              </w:rPr>
              <w:t xml:space="preserve">Capital in the twenty-First century, 2014, </w:t>
            </w:r>
            <w:r>
              <w:rPr>
                <w:rFonts w:eastAsia="標楷體"/>
                <w:b/>
                <w:sz w:val="20"/>
                <w:szCs w:val="20"/>
              </w:rPr>
              <w:t>Harvard University Press.</w:t>
            </w:r>
          </w:p>
          <w:p w:rsidR="00E76EA1" w:rsidRDefault="00E76EA1" w:rsidP="00E76EA1">
            <w:pPr>
              <w:pStyle w:val="a3"/>
              <w:rPr>
                <w:rFonts w:eastAsia="標楷體"/>
                <w:b/>
                <w:sz w:val="20"/>
                <w:szCs w:val="20"/>
              </w:rPr>
            </w:pPr>
          </w:p>
          <w:p w:rsidR="00E76EA1" w:rsidRDefault="00E76EA1" w:rsidP="00002CBD">
            <w:pPr>
              <w:numPr>
                <w:ilvl w:val="0"/>
                <w:numId w:val="1"/>
              </w:numPr>
              <w:spacing w:line="0" w:lineRule="atLeast"/>
              <w:rPr>
                <w:rFonts w:eastAsia="標楷體"/>
                <w:b/>
                <w:sz w:val="20"/>
                <w:szCs w:val="20"/>
              </w:rPr>
            </w:pPr>
            <w:r>
              <w:rPr>
                <w:rFonts w:eastAsia="標楷體" w:hint="eastAsia"/>
                <w:b/>
                <w:sz w:val="20"/>
                <w:szCs w:val="20"/>
              </w:rPr>
              <w:t xml:space="preserve">Henry Kissinger, </w:t>
            </w:r>
            <w:bookmarkStart w:id="0" w:name="_GoBack"/>
            <w:r w:rsidRPr="00D86E2F">
              <w:rPr>
                <w:rFonts w:eastAsia="標楷體" w:hint="eastAsia"/>
                <w:b/>
                <w:sz w:val="20"/>
                <w:szCs w:val="20"/>
                <w:u w:val="single"/>
              </w:rPr>
              <w:t>World Order: Reflections on the Character of Nations and the Course of History,</w:t>
            </w:r>
            <w:bookmarkEnd w:id="0"/>
            <w:r>
              <w:rPr>
                <w:rFonts w:eastAsia="標楷體" w:hint="eastAsia"/>
                <w:b/>
                <w:sz w:val="20"/>
                <w:szCs w:val="20"/>
              </w:rPr>
              <w:t xml:space="preserve"> Penguin Books, September 2015.</w:t>
            </w:r>
          </w:p>
          <w:p w:rsidR="00EC0546" w:rsidRDefault="00EC0546" w:rsidP="00EC0546">
            <w:pPr>
              <w:pStyle w:val="a3"/>
              <w:rPr>
                <w:rFonts w:eastAsia="標楷體"/>
                <w:b/>
                <w:sz w:val="20"/>
                <w:szCs w:val="20"/>
              </w:rPr>
            </w:pPr>
          </w:p>
          <w:p w:rsidR="00EC0546" w:rsidRPr="00EC0546" w:rsidRDefault="00EC0546" w:rsidP="00002CBD">
            <w:pPr>
              <w:numPr>
                <w:ilvl w:val="0"/>
                <w:numId w:val="1"/>
              </w:numPr>
              <w:spacing w:line="0" w:lineRule="atLeast"/>
              <w:rPr>
                <w:rFonts w:eastAsia="標楷體"/>
                <w:b/>
                <w:sz w:val="20"/>
                <w:szCs w:val="20"/>
              </w:rPr>
            </w:pPr>
            <w:r>
              <w:rPr>
                <w:rFonts w:eastAsia="標楷體" w:hint="eastAsia"/>
                <w:b/>
                <w:sz w:val="20"/>
                <w:szCs w:val="20"/>
              </w:rPr>
              <w:t>Alexis De Tocqueville,</w:t>
            </w:r>
            <w:r w:rsidRPr="00EC0546">
              <w:rPr>
                <w:rFonts w:eastAsia="標楷體" w:hint="eastAsia"/>
                <w:b/>
                <w:sz w:val="20"/>
                <w:szCs w:val="20"/>
                <w:u w:val="single"/>
              </w:rPr>
              <w:t xml:space="preserve"> Democracy in America</w:t>
            </w:r>
            <w:r>
              <w:rPr>
                <w:rFonts w:eastAsia="標楷體" w:hint="eastAsia"/>
                <w:b/>
                <w:sz w:val="20"/>
                <w:szCs w:val="20"/>
                <w:u w:val="single"/>
              </w:rPr>
              <w:t xml:space="preserve">, </w:t>
            </w:r>
            <w:r w:rsidRPr="00EC0546">
              <w:rPr>
                <w:rFonts w:eastAsia="標楷體" w:hint="eastAsia"/>
                <w:b/>
                <w:sz w:val="20"/>
                <w:szCs w:val="20"/>
              </w:rPr>
              <w:t xml:space="preserve">translated, edited, and with an introduction by Harvey C. Mansfield and </w:t>
            </w:r>
            <w:proofErr w:type="spellStart"/>
            <w:r w:rsidRPr="00EC0546">
              <w:rPr>
                <w:rFonts w:eastAsia="標楷體" w:hint="eastAsia"/>
                <w:b/>
                <w:sz w:val="20"/>
                <w:szCs w:val="20"/>
              </w:rPr>
              <w:t>Delba</w:t>
            </w:r>
            <w:proofErr w:type="spellEnd"/>
            <w:r w:rsidRPr="00EC0546">
              <w:rPr>
                <w:rFonts w:eastAsia="標楷體" w:hint="eastAsia"/>
                <w:b/>
                <w:sz w:val="20"/>
                <w:szCs w:val="20"/>
              </w:rPr>
              <w:t xml:space="preserve"> Winthrop, University of Chicago Press, Chicago, 2000.</w:t>
            </w:r>
          </w:p>
          <w:p w:rsidR="00B36F16" w:rsidRPr="00EC0546" w:rsidRDefault="00B36F16" w:rsidP="00B36F16">
            <w:pPr>
              <w:spacing w:line="0" w:lineRule="atLeast"/>
              <w:rPr>
                <w:rFonts w:eastAsia="標楷體"/>
                <w:b/>
                <w:sz w:val="20"/>
                <w:szCs w:val="20"/>
              </w:rPr>
            </w:pPr>
          </w:p>
          <w:p w:rsidR="00F4231E" w:rsidRDefault="00F4231E" w:rsidP="00002CBD">
            <w:pPr>
              <w:numPr>
                <w:ilvl w:val="0"/>
                <w:numId w:val="1"/>
              </w:numPr>
              <w:spacing w:line="0" w:lineRule="atLeast"/>
              <w:rPr>
                <w:rFonts w:eastAsia="標楷體"/>
              </w:rPr>
            </w:pPr>
            <w:proofErr w:type="spellStart"/>
            <w:r>
              <w:rPr>
                <w:rFonts w:eastAsia="標楷體"/>
                <w:b/>
                <w:sz w:val="20"/>
                <w:szCs w:val="20"/>
              </w:rPr>
              <w:t>Landes</w:t>
            </w:r>
            <w:proofErr w:type="spellEnd"/>
            <w:r>
              <w:rPr>
                <w:rFonts w:eastAsia="標楷體"/>
                <w:b/>
                <w:sz w:val="20"/>
                <w:szCs w:val="20"/>
              </w:rPr>
              <w:t>, D.,</w:t>
            </w:r>
            <w:r>
              <w:rPr>
                <w:rFonts w:eastAsia="標楷體"/>
                <w:b/>
                <w:sz w:val="20"/>
                <w:szCs w:val="20"/>
                <w:u w:val="single"/>
              </w:rPr>
              <w:t xml:space="preserve"> The Wealth and Poverty of Nations</w:t>
            </w:r>
            <w:proofErr w:type="gramStart"/>
            <w:r>
              <w:rPr>
                <w:rFonts w:eastAsia="標楷體"/>
                <w:b/>
                <w:sz w:val="20"/>
                <w:szCs w:val="20"/>
              </w:rPr>
              <w:t xml:space="preserve">, </w:t>
            </w:r>
            <w:r>
              <w:rPr>
                <w:rFonts w:eastAsia="標楷體"/>
                <w:b/>
                <w:sz w:val="20"/>
                <w:szCs w:val="20"/>
                <w:u w:val="single"/>
              </w:rPr>
              <w:t xml:space="preserve"> why</w:t>
            </w:r>
            <w:proofErr w:type="gramEnd"/>
            <w:r>
              <w:rPr>
                <w:rFonts w:eastAsia="標楷體"/>
                <w:b/>
                <w:sz w:val="20"/>
                <w:szCs w:val="20"/>
                <w:u w:val="single"/>
              </w:rPr>
              <w:t xml:space="preserve"> some are so rich and some so poor</w:t>
            </w:r>
            <w:r w:rsidR="00EE65BE">
              <w:rPr>
                <w:rFonts w:eastAsia="標楷體"/>
                <w:b/>
                <w:sz w:val="20"/>
                <w:szCs w:val="20"/>
              </w:rPr>
              <w:t>. Norton, 1999</w:t>
            </w:r>
            <w:r>
              <w:rPr>
                <w:rFonts w:eastAsia="標楷體"/>
                <w:b/>
                <w:sz w:val="20"/>
                <w:szCs w:val="20"/>
              </w:rPr>
              <w:t xml:space="preserve">. </w:t>
            </w:r>
          </w:p>
        </w:tc>
      </w:tr>
      <w:tr w:rsidR="00F4231E" w:rsidTr="00F4231E">
        <w:trPr>
          <w:trHeight w:val="2133"/>
          <w:jc w:val="center"/>
        </w:trPr>
        <w:tc>
          <w:tcPr>
            <w:tcW w:w="1980" w:type="dxa"/>
            <w:tcBorders>
              <w:top w:val="single" w:sz="4" w:space="0" w:color="auto"/>
              <w:left w:val="single" w:sz="12" w:space="0" w:color="auto"/>
              <w:bottom w:val="single" w:sz="4" w:space="0" w:color="auto"/>
              <w:right w:val="single" w:sz="4" w:space="0" w:color="auto"/>
            </w:tcBorders>
            <w:vAlign w:val="center"/>
            <w:hideMark/>
          </w:tcPr>
          <w:p w:rsidR="00F4231E" w:rsidRDefault="00F4231E">
            <w:pPr>
              <w:spacing w:line="0" w:lineRule="atLeast"/>
              <w:jc w:val="center"/>
              <w:rPr>
                <w:rFonts w:eastAsia="標楷體"/>
              </w:rPr>
            </w:pPr>
            <w:r>
              <w:rPr>
                <w:rFonts w:eastAsia="標楷體" w:hint="eastAsia"/>
              </w:rPr>
              <w:lastRenderedPageBreak/>
              <w:t>評</w:t>
            </w:r>
            <w:r>
              <w:rPr>
                <w:rFonts w:eastAsia="標楷體"/>
              </w:rPr>
              <w:t xml:space="preserve">  </w:t>
            </w:r>
            <w:r>
              <w:rPr>
                <w:rFonts w:eastAsia="標楷體" w:hint="eastAsia"/>
              </w:rPr>
              <w:t>量</w:t>
            </w:r>
            <w:r>
              <w:rPr>
                <w:rFonts w:eastAsia="標楷體"/>
              </w:rPr>
              <w:t xml:space="preserve">  </w:t>
            </w:r>
            <w:r>
              <w:rPr>
                <w:rFonts w:eastAsia="標楷體" w:hint="eastAsia"/>
              </w:rPr>
              <w:t>方</w:t>
            </w:r>
            <w:r>
              <w:rPr>
                <w:rFonts w:eastAsia="標楷體"/>
              </w:rPr>
              <w:t xml:space="preserve">  </w:t>
            </w:r>
            <w:r>
              <w:rPr>
                <w:rFonts w:eastAsia="標楷體" w:hint="eastAsia"/>
              </w:rPr>
              <w:t>式</w:t>
            </w:r>
          </w:p>
        </w:tc>
        <w:tc>
          <w:tcPr>
            <w:tcW w:w="8460" w:type="dxa"/>
            <w:tcBorders>
              <w:top w:val="single" w:sz="4" w:space="0" w:color="auto"/>
              <w:left w:val="single" w:sz="4" w:space="0" w:color="auto"/>
              <w:bottom w:val="single" w:sz="4" w:space="0" w:color="auto"/>
              <w:right w:val="single" w:sz="12" w:space="0" w:color="auto"/>
            </w:tcBorders>
            <w:hideMark/>
          </w:tcPr>
          <w:p w:rsidR="00F4231E" w:rsidRDefault="00F4231E" w:rsidP="00F4231E">
            <w:pPr>
              <w:spacing w:line="0" w:lineRule="atLeast"/>
              <w:ind w:left="360"/>
              <w:rPr>
                <w:rFonts w:eastAsia="標楷體"/>
                <w:b/>
              </w:rPr>
            </w:pPr>
          </w:p>
          <w:p w:rsidR="00F4231E" w:rsidRDefault="00F4231E" w:rsidP="00002CBD">
            <w:pPr>
              <w:numPr>
                <w:ilvl w:val="0"/>
                <w:numId w:val="2"/>
              </w:numPr>
              <w:spacing w:line="0" w:lineRule="atLeast"/>
              <w:rPr>
                <w:rFonts w:eastAsia="標楷體"/>
                <w:b/>
              </w:rPr>
            </w:pPr>
            <w:r>
              <w:rPr>
                <w:rFonts w:eastAsia="標楷體"/>
                <w:b/>
              </w:rPr>
              <w:t>Class participation 40%</w:t>
            </w:r>
          </w:p>
          <w:p w:rsidR="00F4231E" w:rsidRDefault="00F4231E" w:rsidP="00002CBD">
            <w:pPr>
              <w:numPr>
                <w:ilvl w:val="0"/>
                <w:numId w:val="2"/>
              </w:numPr>
              <w:spacing w:line="0" w:lineRule="atLeast"/>
              <w:rPr>
                <w:rFonts w:eastAsia="標楷體"/>
                <w:b/>
              </w:rPr>
            </w:pPr>
            <w:r>
              <w:rPr>
                <w:rFonts w:eastAsia="標楷體"/>
                <w:b/>
              </w:rPr>
              <w:t>First Essay</w:t>
            </w:r>
            <w:r w:rsidR="000A3844">
              <w:rPr>
                <w:rFonts w:eastAsia="標楷體"/>
                <w:b/>
              </w:rPr>
              <w:t>( Midterm Report)</w:t>
            </w:r>
            <w:r>
              <w:rPr>
                <w:rFonts w:eastAsia="標楷體"/>
                <w:b/>
              </w:rPr>
              <w:t xml:space="preserve"> 30%</w:t>
            </w:r>
          </w:p>
          <w:p w:rsidR="00F4231E" w:rsidRDefault="00F4231E" w:rsidP="00002CBD">
            <w:pPr>
              <w:numPr>
                <w:ilvl w:val="0"/>
                <w:numId w:val="2"/>
              </w:numPr>
              <w:spacing w:line="0" w:lineRule="atLeast"/>
              <w:rPr>
                <w:rFonts w:eastAsia="標楷體"/>
              </w:rPr>
            </w:pPr>
            <w:r>
              <w:rPr>
                <w:rFonts w:eastAsia="標楷體"/>
                <w:b/>
              </w:rPr>
              <w:t>Second Essay</w:t>
            </w:r>
            <w:r w:rsidR="000A3844">
              <w:rPr>
                <w:rFonts w:eastAsia="標楷體"/>
                <w:b/>
              </w:rPr>
              <w:t>( Final Report)</w:t>
            </w:r>
            <w:r>
              <w:rPr>
                <w:rFonts w:eastAsia="標楷體"/>
                <w:b/>
              </w:rPr>
              <w:t xml:space="preserve"> 30%</w:t>
            </w:r>
          </w:p>
        </w:tc>
      </w:tr>
    </w:tbl>
    <w:p w:rsidR="00F4231E" w:rsidRDefault="00F4231E" w:rsidP="00F4231E"/>
    <w:p w:rsidR="00F4231E" w:rsidRPr="00F4231E" w:rsidRDefault="00F4231E" w:rsidP="00F4231E"/>
    <w:p w:rsidR="00F4231E" w:rsidRPr="00F4231E" w:rsidRDefault="00F4231E" w:rsidP="00F4231E"/>
    <w:p w:rsidR="00CD24DF" w:rsidRPr="00F4231E" w:rsidRDefault="00CD24DF"/>
    <w:sectPr w:rsidR="00CD24DF" w:rsidRPr="00F4231E" w:rsidSect="00CD24D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A65D0"/>
    <w:multiLevelType w:val="hybridMultilevel"/>
    <w:tmpl w:val="7924D488"/>
    <w:lvl w:ilvl="0" w:tplc="B31CB69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6D69256E"/>
    <w:multiLevelType w:val="hybridMultilevel"/>
    <w:tmpl w:val="4D44AB50"/>
    <w:lvl w:ilvl="0" w:tplc="197CF00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231E"/>
    <w:rsid w:val="000A3844"/>
    <w:rsid w:val="0035236B"/>
    <w:rsid w:val="00B36F16"/>
    <w:rsid w:val="00CD24DF"/>
    <w:rsid w:val="00D86E2F"/>
    <w:rsid w:val="00E76EA1"/>
    <w:rsid w:val="00EC0546"/>
    <w:rsid w:val="00EE65BE"/>
    <w:rsid w:val="00F423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31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F4231E"/>
    <w:pPr>
      <w:widowControl/>
      <w:spacing w:before="100" w:beforeAutospacing="1" w:after="100" w:afterAutospacing="1"/>
    </w:pPr>
    <w:rPr>
      <w:rFonts w:ascii="新細明體" w:hAnsi="新細明體" w:cs="新細明體"/>
      <w:kern w:val="0"/>
    </w:rPr>
  </w:style>
  <w:style w:type="paragraph" w:styleId="a3">
    <w:name w:val="List Paragraph"/>
    <w:basedOn w:val="a"/>
    <w:uiPriority w:val="34"/>
    <w:qFormat/>
    <w:rsid w:val="00B36F16"/>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845019">
      <w:bodyDiv w:val="1"/>
      <w:marLeft w:val="0"/>
      <w:marRight w:val="0"/>
      <w:marTop w:val="0"/>
      <w:marBottom w:val="0"/>
      <w:divBdr>
        <w:top w:val="none" w:sz="0" w:space="0" w:color="auto"/>
        <w:left w:val="none" w:sz="0" w:space="0" w:color="auto"/>
        <w:bottom w:val="none" w:sz="0" w:space="0" w:color="auto"/>
        <w:right w:val="none" w:sz="0" w:space="0" w:color="auto"/>
      </w:divBdr>
    </w:div>
    <w:div w:id="1283919979">
      <w:bodyDiv w:val="1"/>
      <w:marLeft w:val="0"/>
      <w:marRight w:val="0"/>
      <w:marTop w:val="0"/>
      <w:marBottom w:val="0"/>
      <w:divBdr>
        <w:top w:val="none" w:sz="0" w:space="0" w:color="auto"/>
        <w:left w:val="none" w:sz="0" w:space="0" w:color="auto"/>
        <w:bottom w:val="none" w:sz="0" w:space="0" w:color="auto"/>
        <w:right w:val="none" w:sz="0" w:space="0" w:color="auto"/>
      </w:divBdr>
    </w:div>
    <w:div w:id="134074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320</Words>
  <Characters>1829</Characters>
  <Application>Microsoft Office Word</Application>
  <DocSecurity>0</DocSecurity>
  <Lines>15</Lines>
  <Paragraphs>4</Paragraphs>
  <ScaleCrop>false</ScaleCrop>
  <Company>CCU</Company>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2019-12-21T07:36:00Z</cp:lastPrinted>
  <dcterms:created xsi:type="dcterms:W3CDTF">2019-12-21T07:35:00Z</dcterms:created>
  <dcterms:modified xsi:type="dcterms:W3CDTF">2019-12-21T07:37:00Z</dcterms:modified>
</cp:coreProperties>
</file>