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Pr="005D185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5D185C">
        <w:rPr>
          <w:rFonts w:eastAsia="標楷體" w:hAnsi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5D185C" w:rsidRPr="005D185C" w:rsidTr="006B67CB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5D185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  <w:bCs/>
              </w:rPr>
              <w:t>開</w:t>
            </w:r>
            <w:r w:rsidR="00E3470C" w:rsidRPr="005D185C">
              <w:rPr>
                <w:rFonts w:eastAsia="標楷體" w:hAnsi="標楷體"/>
                <w:bCs/>
              </w:rPr>
              <w:t>課</w:t>
            </w:r>
            <w:r w:rsidRPr="005D185C">
              <w:rPr>
                <w:rFonts w:eastAsia="標楷體" w:hAnsi="標楷體"/>
              </w:rPr>
              <w:t>學年度</w:t>
            </w:r>
            <w:r w:rsidRPr="005D185C">
              <w:rPr>
                <w:rFonts w:eastAsia="標楷體"/>
              </w:rPr>
              <w:t>/</w:t>
            </w:r>
            <w:r w:rsidRPr="005D185C">
              <w:rPr>
                <w:rFonts w:eastAsia="標楷體" w:hAnsi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Pr="005D185C" w:rsidRDefault="00623BED" w:rsidP="00A411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</w:t>
            </w:r>
            <w:r w:rsidR="00FE0BCC" w:rsidRPr="005D185C">
              <w:rPr>
                <w:rFonts w:eastAsia="標楷體" w:hAnsi="標楷體"/>
              </w:rPr>
              <w:t>學年度第</w:t>
            </w:r>
            <w:r w:rsidR="00A4115D" w:rsidRPr="005D185C">
              <w:rPr>
                <w:rFonts w:eastAsia="標楷體"/>
              </w:rPr>
              <w:t>1</w:t>
            </w:r>
            <w:r w:rsidR="00FE0BCC" w:rsidRPr="005D185C">
              <w:rPr>
                <w:rFonts w:eastAsia="標楷體" w:hAnsi="標楷體"/>
              </w:rPr>
              <w:t>學期</w:t>
            </w:r>
          </w:p>
        </w:tc>
      </w:tr>
      <w:tr w:rsidR="005D185C" w:rsidRPr="005D185C" w:rsidTr="006B67CB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課程名稱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中文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022B2C" w:rsidRDefault="00022B2C" w:rsidP="00576083">
            <w:pPr>
              <w:spacing w:line="0" w:lineRule="atLeast"/>
              <w:jc w:val="center"/>
              <w:rPr>
                <w:rFonts w:eastAsia="標楷體"/>
              </w:rPr>
            </w:pPr>
            <w:r w:rsidRPr="00022B2C">
              <w:rPr>
                <w:rFonts w:eastAsia="標楷體"/>
              </w:rPr>
              <w:t>敦煌</w:t>
            </w:r>
            <w:r w:rsidR="00576083">
              <w:rPr>
                <w:rFonts w:eastAsia="標楷體" w:hint="eastAsia"/>
              </w:rPr>
              <w:t>的</w:t>
            </w:r>
            <w:r w:rsidR="002A7381">
              <w:rPr>
                <w:rFonts w:eastAsia="標楷體" w:hint="eastAsia"/>
              </w:rPr>
              <w:t>文獻與</w:t>
            </w:r>
            <w:r w:rsidR="00C95B46">
              <w:rPr>
                <w:rFonts w:eastAsia="標楷體" w:hint="eastAsia"/>
              </w:rPr>
              <w:t>石窟</w:t>
            </w:r>
            <w:r w:rsidR="00B32F36">
              <w:rPr>
                <w:rFonts w:eastAsia="標楷體" w:hint="eastAsia"/>
              </w:rPr>
              <w:t>藝術</w:t>
            </w:r>
          </w:p>
        </w:tc>
      </w:tr>
      <w:tr w:rsidR="005D185C" w:rsidRPr="005D185C" w:rsidTr="006B67CB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課程名稱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英文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022B2C" w:rsidRDefault="00022B2C" w:rsidP="005F5CDF">
            <w:pPr>
              <w:spacing w:line="0" w:lineRule="atLeast"/>
              <w:jc w:val="center"/>
              <w:rPr>
                <w:rFonts w:eastAsia="標楷體"/>
                <w:i/>
              </w:rPr>
            </w:pPr>
            <w:r w:rsidRPr="00022B2C">
              <w:rPr>
                <w:rStyle w:val="aa"/>
                <w:rFonts w:eastAsia="標楷體"/>
                <w:i w:val="0"/>
              </w:rPr>
              <w:t>Dunhuang</w:t>
            </w:r>
            <w:r w:rsidR="0021043E">
              <w:t xml:space="preserve"> </w:t>
            </w:r>
            <w:r w:rsidR="0021043E" w:rsidRPr="0021043E">
              <w:rPr>
                <w:rStyle w:val="aa"/>
                <w:rFonts w:eastAsia="標楷體"/>
                <w:i w:val="0"/>
              </w:rPr>
              <w:t>literature</w:t>
            </w:r>
            <w:r w:rsidR="0021043E">
              <w:rPr>
                <w:rStyle w:val="aa"/>
                <w:rFonts w:eastAsia="標楷體" w:hint="eastAsia"/>
                <w:i w:val="0"/>
              </w:rPr>
              <w:t xml:space="preserve"> and</w:t>
            </w:r>
            <w:r w:rsidRPr="00022B2C">
              <w:rPr>
                <w:rStyle w:val="aa"/>
                <w:rFonts w:eastAsia="標楷體"/>
                <w:i w:val="0"/>
              </w:rPr>
              <w:t xml:space="preserve"> </w:t>
            </w:r>
            <w:r w:rsidR="000604D7">
              <w:rPr>
                <w:rStyle w:val="aa"/>
                <w:rFonts w:eastAsia="標楷體"/>
                <w:i w:val="0"/>
              </w:rPr>
              <w:t>grotto art</w:t>
            </w:r>
          </w:p>
        </w:tc>
      </w:tr>
      <w:tr w:rsidR="005D185C" w:rsidRPr="005D185C" w:rsidTr="006B67CB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   </w:t>
            </w:r>
            <w:r w:rsidRPr="005D185C">
              <w:rPr>
                <w:rFonts w:eastAsia="標楷體" w:hAnsi="標楷體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08534C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/>
              </w:rPr>
              <w:t>2</w:t>
            </w:r>
          </w:p>
        </w:tc>
      </w:tr>
      <w:tr w:rsidR="005D185C" w:rsidRPr="005D185C" w:rsidTr="006B67CB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方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D185C">
              <w:rPr>
                <w:rFonts w:eastAsia="標楷體" w:hAnsi="標楷體"/>
              </w:rPr>
              <w:t>請勾選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可複選</w:t>
            </w:r>
            <w:r w:rsidRPr="005D185C">
              <w:rPr>
                <w:rFonts w:eastAsia="標楷體"/>
              </w:rPr>
              <w:t>)</w:t>
            </w:r>
            <w:r w:rsidRPr="005D185C">
              <w:rPr>
                <w:rFonts w:eastAsia="標楷體" w:hAnsi="標楷體"/>
              </w:rPr>
              <w:t>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5D185C" w:rsidRPr="005D185C" w:rsidTr="00E3470C">
              <w:tc>
                <w:tcPr>
                  <w:tcW w:w="1709" w:type="dxa"/>
                </w:tcPr>
                <w:p w:rsidR="00F512A2" w:rsidRPr="000A2001" w:rsidRDefault="00022B2C" w:rsidP="00E550F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F512A2" w:rsidRPr="000A2001">
                    <w:rPr>
                      <w:rFonts w:ascii="標楷體" w:eastAsia="標楷體" w:hAnsi="標楷體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□網路教學</w:t>
                  </w:r>
                </w:p>
              </w:tc>
              <w:tc>
                <w:tcPr>
                  <w:tcW w:w="1701" w:type="dxa"/>
                </w:tcPr>
                <w:p w:rsidR="00F512A2" w:rsidRPr="000A2001" w:rsidRDefault="003D344B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</w:t>
                  </w:r>
                  <w:r w:rsidR="00F512A2" w:rsidRPr="000A2001">
                    <w:rPr>
                      <w:rFonts w:ascii="標楷體" w:eastAsia="標楷體" w:hAnsi="標楷體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□校外教學</w:t>
                  </w:r>
                </w:p>
              </w:tc>
              <w:tc>
                <w:tcPr>
                  <w:tcW w:w="1572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5D185C" w:rsidRPr="005D185C" w:rsidTr="00E3470C">
              <w:tc>
                <w:tcPr>
                  <w:tcW w:w="8101" w:type="dxa"/>
                  <w:gridSpan w:val="5"/>
                </w:tcPr>
                <w:p w:rsidR="00F512A2" w:rsidRPr="000A2001" w:rsidRDefault="00F512A2" w:rsidP="008238AD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F512A2" w:rsidRPr="005D185C" w:rsidRDefault="00F512A2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D185C" w:rsidRPr="005D185C" w:rsidTr="006B67CB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10E" w:rsidRDefault="0051031D" w:rsidP="00C56108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敦煌</w:t>
            </w:r>
            <w:r w:rsidR="00EE7A85">
              <w:rPr>
                <w:rFonts w:eastAsia="標楷體" w:hint="eastAsia"/>
              </w:rPr>
              <w:t>位</w:t>
            </w:r>
            <w:r>
              <w:rPr>
                <w:rFonts w:eastAsia="標楷體" w:hint="eastAsia"/>
              </w:rPr>
              <w:t>處</w:t>
            </w:r>
            <w:r w:rsidR="00EE7A85">
              <w:rPr>
                <w:rFonts w:eastAsia="標楷體" w:hint="eastAsia"/>
              </w:rPr>
              <w:t>中國河西走廊</w:t>
            </w:r>
            <w:r w:rsidR="0050410E">
              <w:rPr>
                <w:rFonts w:eastAsia="標楷體" w:hint="eastAsia"/>
              </w:rPr>
              <w:t>上</w:t>
            </w:r>
            <w:r w:rsidR="00EE7A85">
              <w:rPr>
                <w:rFonts w:eastAsia="標楷體" w:hint="eastAsia"/>
              </w:rPr>
              <w:t>的</w:t>
            </w:r>
            <w:r w:rsidR="0050410E">
              <w:rPr>
                <w:rFonts w:eastAsia="標楷體" w:hint="eastAsia"/>
              </w:rPr>
              <w:t>交通</w:t>
            </w:r>
            <w:r>
              <w:rPr>
                <w:rFonts w:eastAsia="標楷體" w:hint="eastAsia"/>
              </w:rPr>
              <w:t>樞紐</w:t>
            </w:r>
            <w:r w:rsidR="0050410E">
              <w:rPr>
                <w:rFonts w:eastAsia="標楷體" w:hint="eastAsia"/>
              </w:rPr>
              <w:t>位置</w:t>
            </w:r>
            <w:r>
              <w:rPr>
                <w:rFonts w:eastAsia="標楷體" w:hint="eastAsia"/>
              </w:rPr>
              <w:t>，</w:t>
            </w:r>
            <w:r w:rsidR="0050410E">
              <w:rPr>
                <w:rFonts w:eastAsia="標楷體" w:hint="eastAsia"/>
              </w:rPr>
              <w:t>在</w:t>
            </w:r>
            <w:r w:rsidR="00EE7A85">
              <w:rPr>
                <w:rFonts w:eastAsia="標楷體" w:hint="eastAsia"/>
              </w:rPr>
              <w:t>東西文化</w:t>
            </w:r>
            <w:r w:rsidR="0050410E">
              <w:rPr>
                <w:rFonts w:eastAsia="標楷體" w:hint="eastAsia"/>
              </w:rPr>
              <w:t>的</w:t>
            </w:r>
            <w:r w:rsidR="00EE7A85">
              <w:rPr>
                <w:rFonts w:eastAsia="標楷體" w:hint="eastAsia"/>
              </w:rPr>
              <w:t>交流上扮演著重要角色</w:t>
            </w:r>
            <w:r w:rsidR="0050410E">
              <w:rPr>
                <w:rFonts w:eastAsia="標楷體" w:hint="eastAsia"/>
              </w:rPr>
              <w:t>，</w:t>
            </w:r>
            <w:r w:rsidR="00EE7A85">
              <w:rPr>
                <w:rFonts w:eastAsia="標楷體" w:hint="eastAsia"/>
              </w:rPr>
              <w:t>其著名的石窟群建築更是</w:t>
            </w:r>
            <w:r w:rsidR="0050410E">
              <w:rPr>
                <w:rFonts w:eastAsia="標楷體" w:hint="eastAsia"/>
              </w:rPr>
              <w:t>中國</w:t>
            </w:r>
            <w:r w:rsidR="00EE7A85">
              <w:rPr>
                <w:rFonts w:eastAsia="標楷體" w:hint="eastAsia"/>
              </w:rPr>
              <w:t>佛教歷史上重要的</w:t>
            </w:r>
            <w:r w:rsidR="00756E6D">
              <w:rPr>
                <w:rFonts w:eastAsia="標楷體" w:hint="eastAsia"/>
              </w:rPr>
              <w:t>瑰寶</w:t>
            </w:r>
            <w:r w:rsidR="00EE7A85">
              <w:rPr>
                <w:rFonts w:eastAsia="標楷體" w:hint="eastAsia"/>
              </w:rPr>
              <w:t>。</w:t>
            </w:r>
            <w:r w:rsidR="0008534C">
              <w:rPr>
                <w:rFonts w:eastAsia="標楷體" w:hint="eastAsia"/>
              </w:rPr>
              <w:t>西元</w:t>
            </w:r>
            <w:r w:rsidR="0008534C">
              <w:rPr>
                <w:rFonts w:eastAsia="標楷體" w:hint="eastAsia"/>
              </w:rPr>
              <w:t>1900</w:t>
            </w:r>
            <w:r w:rsidR="0008534C">
              <w:rPr>
                <w:rFonts w:eastAsia="標楷體" w:hint="eastAsia"/>
              </w:rPr>
              <w:t>年</w:t>
            </w:r>
            <w:r w:rsidR="00443BFE" w:rsidRPr="00443BFE">
              <w:rPr>
                <w:rFonts w:eastAsia="標楷體" w:hint="eastAsia"/>
              </w:rPr>
              <w:t>敦煌</w:t>
            </w:r>
            <w:r w:rsidR="00EE7A85">
              <w:rPr>
                <w:rFonts w:eastAsia="標楷體" w:hint="eastAsia"/>
              </w:rPr>
              <w:t>藏經洞無意間被</w:t>
            </w:r>
            <w:r w:rsidR="0008534C">
              <w:rPr>
                <w:rFonts w:eastAsia="標楷體" w:hint="eastAsia"/>
              </w:rPr>
              <w:t>開啟，</w:t>
            </w:r>
            <w:r w:rsidR="00EE7A85">
              <w:rPr>
                <w:rFonts w:eastAsia="標楷體" w:hint="eastAsia"/>
              </w:rPr>
              <w:t>出土了震驚中外的</w:t>
            </w:r>
            <w:r w:rsidR="00B600BA">
              <w:rPr>
                <w:rFonts w:eastAsia="標楷體" w:hint="eastAsia"/>
              </w:rPr>
              <w:t>敦煌</w:t>
            </w:r>
            <w:r w:rsidR="00756E6D">
              <w:rPr>
                <w:rFonts w:eastAsia="標楷體" w:hint="eastAsia"/>
              </w:rPr>
              <w:t>文物，這些古物</w:t>
            </w:r>
            <w:r w:rsidR="00EE7A85">
              <w:rPr>
                <w:rFonts w:eastAsia="標楷體" w:hint="eastAsia"/>
              </w:rPr>
              <w:t>與文獻</w:t>
            </w:r>
            <w:r>
              <w:rPr>
                <w:rFonts w:eastAsia="標楷體" w:hint="eastAsia"/>
              </w:rPr>
              <w:t>不僅</w:t>
            </w:r>
            <w:r w:rsidR="00443BFE" w:rsidRPr="00443BFE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>重要</w:t>
            </w:r>
            <w:r w:rsidR="00756E6D">
              <w:rPr>
                <w:rFonts w:eastAsia="標楷體" w:hint="eastAsia"/>
              </w:rPr>
              <w:t>歷史</w:t>
            </w:r>
            <w:r w:rsidR="00CD0EE2">
              <w:rPr>
                <w:rFonts w:eastAsia="標楷體" w:hint="eastAsia"/>
              </w:rPr>
              <w:t>文化</w:t>
            </w:r>
            <w:r w:rsidR="00756E6D">
              <w:rPr>
                <w:rFonts w:eastAsia="標楷體" w:hint="eastAsia"/>
              </w:rPr>
              <w:t>遺產</w:t>
            </w:r>
            <w:r>
              <w:rPr>
                <w:rFonts w:eastAsia="標楷體" w:hint="eastAsia"/>
              </w:rPr>
              <w:t>，</w:t>
            </w:r>
            <w:r w:rsidR="00EE7A85">
              <w:rPr>
                <w:rFonts w:eastAsia="標楷體" w:hint="eastAsia"/>
              </w:rPr>
              <w:t>也</w:t>
            </w:r>
            <w:r>
              <w:rPr>
                <w:rFonts w:eastAsia="標楷體" w:hint="eastAsia"/>
              </w:rPr>
              <w:t>是</w:t>
            </w:r>
            <w:r w:rsidR="00443BFE" w:rsidRPr="00443BFE">
              <w:rPr>
                <w:rFonts w:eastAsia="標楷體" w:hint="eastAsia"/>
              </w:rPr>
              <w:t>探究</w:t>
            </w:r>
            <w:r w:rsidR="00B600BA">
              <w:rPr>
                <w:rFonts w:eastAsia="標楷體" w:hint="eastAsia"/>
              </w:rPr>
              <w:t>中國</w:t>
            </w:r>
            <w:r w:rsidR="00443BFE" w:rsidRPr="00443BFE">
              <w:rPr>
                <w:rFonts w:eastAsia="標楷體" w:hint="eastAsia"/>
              </w:rPr>
              <w:t>唐、五代民間文學</w:t>
            </w:r>
            <w:r w:rsidR="00B600BA">
              <w:rPr>
                <w:rFonts w:eastAsia="標楷體" w:hint="eastAsia"/>
              </w:rPr>
              <w:t>與歷史發展</w:t>
            </w:r>
            <w:r w:rsidR="00443BFE" w:rsidRPr="00443BFE">
              <w:rPr>
                <w:rFonts w:eastAsia="標楷體" w:hint="eastAsia"/>
              </w:rPr>
              <w:t>的重要</w:t>
            </w:r>
            <w:r w:rsidR="00CD0EE2">
              <w:rPr>
                <w:rFonts w:eastAsia="標楷體" w:hint="eastAsia"/>
              </w:rPr>
              <w:t>史</w:t>
            </w:r>
            <w:r w:rsidR="00443BFE" w:rsidRPr="00443BFE">
              <w:rPr>
                <w:rFonts w:eastAsia="標楷體" w:hint="eastAsia"/>
              </w:rPr>
              <w:t>料。</w:t>
            </w:r>
          </w:p>
          <w:p w:rsidR="003D344B" w:rsidRDefault="00443BFE" w:rsidP="00C56108">
            <w:pPr>
              <w:ind w:firstLineChars="200" w:firstLine="480"/>
              <w:rPr>
                <w:rFonts w:eastAsia="標楷體"/>
              </w:rPr>
            </w:pPr>
            <w:r w:rsidRPr="00443BFE">
              <w:rPr>
                <w:rFonts w:eastAsia="標楷體" w:hint="eastAsia"/>
              </w:rPr>
              <w:t>本課程</w:t>
            </w:r>
            <w:r w:rsidR="0050410E">
              <w:rPr>
                <w:rFonts w:eastAsia="標楷體" w:hint="eastAsia"/>
              </w:rPr>
              <w:t>將</w:t>
            </w:r>
            <w:r w:rsidRPr="00443BFE">
              <w:rPr>
                <w:rFonts w:eastAsia="標楷體" w:hint="eastAsia"/>
              </w:rPr>
              <w:t>從</w:t>
            </w:r>
            <w:r w:rsidR="0050410E">
              <w:rPr>
                <w:rFonts w:eastAsia="標楷體" w:hint="eastAsia"/>
              </w:rPr>
              <w:t>認識</w:t>
            </w:r>
            <w:r w:rsidRPr="00443BFE">
              <w:rPr>
                <w:rFonts w:eastAsia="標楷體" w:hint="eastAsia"/>
              </w:rPr>
              <w:t>敦煌</w:t>
            </w:r>
            <w:r w:rsidR="00454ACA">
              <w:rPr>
                <w:rFonts w:eastAsia="標楷體" w:hint="eastAsia"/>
              </w:rPr>
              <w:t>學</w:t>
            </w:r>
            <w:r w:rsidRPr="00443BFE">
              <w:rPr>
                <w:rFonts w:eastAsia="標楷體" w:hint="eastAsia"/>
              </w:rPr>
              <w:t>的內容與特質</w:t>
            </w:r>
            <w:r w:rsidR="00454ACA">
              <w:rPr>
                <w:rFonts w:eastAsia="標楷體" w:hint="eastAsia"/>
              </w:rPr>
              <w:t>為基礎</w:t>
            </w:r>
            <w:r w:rsidRPr="00443BFE">
              <w:rPr>
                <w:rFonts w:eastAsia="標楷體" w:hint="eastAsia"/>
              </w:rPr>
              <w:t>出發，分析</w:t>
            </w:r>
            <w:r w:rsidR="00454ACA">
              <w:rPr>
                <w:rFonts w:eastAsia="標楷體" w:hint="eastAsia"/>
              </w:rPr>
              <w:t>其</w:t>
            </w:r>
            <w:r w:rsidRPr="00443BFE">
              <w:rPr>
                <w:rFonts w:eastAsia="標楷體" w:hint="eastAsia"/>
              </w:rPr>
              <w:t>類別</w:t>
            </w:r>
            <w:r w:rsidR="0008534C">
              <w:rPr>
                <w:rFonts w:eastAsia="標楷體" w:hint="eastAsia"/>
              </w:rPr>
              <w:t>、</w:t>
            </w:r>
            <w:r w:rsidR="0008534C" w:rsidRPr="00443BFE">
              <w:rPr>
                <w:rFonts w:eastAsia="標楷體" w:hint="eastAsia"/>
              </w:rPr>
              <w:t>特色、</w:t>
            </w:r>
            <w:r w:rsidRPr="00443BFE">
              <w:rPr>
                <w:rFonts w:eastAsia="標楷體" w:hint="eastAsia"/>
              </w:rPr>
              <w:t>內涵</w:t>
            </w:r>
            <w:r w:rsidR="0008534C">
              <w:rPr>
                <w:rFonts w:eastAsia="標楷體" w:hint="eastAsia"/>
              </w:rPr>
              <w:t>及歷史意義</w:t>
            </w:r>
            <w:r w:rsidRPr="00443BFE">
              <w:rPr>
                <w:rFonts w:eastAsia="標楷體" w:hint="eastAsia"/>
              </w:rPr>
              <w:t>，進而瞭解敦</w:t>
            </w:r>
            <w:r w:rsidR="00FD3E8F">
              <w:rPr>
                <w:rFonts w:eastAsia="標楷體" w:hint="eastAsia"/>
              </w:rPr>
              <w:t>煌學與敦煌莫高窟</w:t>
            </w:r>
            <w:r w:rsidR="0008085D">
              <w:rPr>
                <w:rFonts w:eastAsia="標楷體" w:hint="eastAsia"/>
              </w:rPr>
              <w:t>藝術</w:t>
            </w:r>
            <w:r w:rsidR="00FD3E8F">
              <w:rPr>
                <w:rFonts w:eastAsia="標楷體" w:hint="eastAsia"/>
              </w:rPr>
              <w:t>文物的內容與價值</w:t>
            </w:r>
            <w:r w:rsidR="0008534C">
              <w:rPr>
                <w:rFonts w:eastAsia="標楷體" w:hint="eastAsia"/>
              </w:rPr>
              <w:t>。此外</w:t>
            </w:r>
            <w:r w:rsidR="00FD3E8F">
              <w:rPr>
                <w:rFonts w:eastAsia="標楷體" w:hint="eastAsia"/>
              </w:rPr>
              <w:t>，</w:t>
            </w:r>
            <w:r w:rsidR="0008085D">
              <w:rPr>
                <w:rFonts w:eastAsia="標楷體" w:hint="eastAsia"/>
              </w:rPr>
              <w:t>亦將</w:t>
            </w:r>
            <w:r w:rsidR="00FD3E8F">
              <w:rPr>
                <w:rFonts w:eastAsia="標楷體" w:hint="eastAsia"/>
              </w:rPr>
              <w:t>繫聯敦煌文獻與</w:t>
            </w:r>
            <w:r w:rsidR="0008534C">
              <w:rPr>
                <w:rFonts w:eastAsia="標楷體" w:hint="eastAsia"/>
              </w:rPr>
              <w:t>敦煌石窟藝術之於</w:t>
            </w:r>
            <w:r w:rsidR="00FD3E8F">
              <w:rPr>
                <w:rFonts w:eastAsia="標楷體" w:hint="eastAsia"/>
              </w:rPr>
              <w:t>中國文學、東亞中世紀漢文化傳播與</w:t>
            </w:r>
            <w:r w:rsidRPr="00443BFE">
              <w:rPr>
                <w:rFonts w:eastAsia="標楷體" w:hint="eastAsia"/>
              </w:rPr>
              <w:t>考古出土文物之相關範疇</w:t>
            </w:r>
            <w:r w:rsidR="006524F5">
              <w:rPr>
                <w:rFonts w:eastAsia="標楷體" w:hint="eastAsia"/>
              </w:rPr>
              <w:t>與</w:t>
            </w:r>
            <w:r w:rsidRPr="00443BFE">
              <w:rPr>
                <w:rFonts w:eastAsia="標楷體" w:hint="eastAsia"/>
              </w:rPr>
              <w:t>知識</w:t>
            </w:r>
            <w:r w:rsidR="0008085D">
              <w:rPr>
                <w:rFonts w:eastAsia="標楷體" w:hint="eastAsia"/>
              </w:rPr>
              <w:t>，建構敦煌學在</w:t>
            </w:r>
            <w:r w:rsidR="00181877">
              <w:rPr>
                <w:rFonts w:eastAsia="標楷體" w:hint="eastAsia"/>
              </w:rPr>
              <w:t>國際</w:t>
            </w:r>
            <w:r w:rsidR="0008085D">
              <w:rPr>
                <w:rFonts w:eastAsia="標楷體" w:hint="eastAsia"/>
              </w:rPr>
              <w:t>漢學中</w:t>
            </w:r>
            <w:r w:rsidR="00181877">
              <w:rPr>
                <w:rFonts w:eastAsia="標楷體" w:hint="eastAsia"/>
              </w:rPr>
              <w:t>的</w:t>
            </w:r>
            <w:r w:rsidR="0008085D">
              <w:rPr>
                <w:rFonts w:eastAsia="標楷體" w:hint="eastAsia"/>
              </w:rPr>
              <w:t>重要地位</w:t>
            </w:r>
            <w:r w:rsidR="00181877">
              <w:rPr>
                <w:rFonts w:eastAsia="標楷體" w:hint="eastAsia"/>
              </w:rPr>
              <w:t>與</w:t>
            </w:r>
            <w:r w:rsidR="0008085D">
              <w:rPr>
                <w:rFonts w:eastAsia="標楷體" w:hint="eastAsia"/>
              </w:rPr>
              <w:t>價值</w:t>
            </w:r>
            <w:r w:rsidRPr="00443BFE">
              <w:rPr>
                <w:rFonts w:eastAsia="標楷體" w:hint="eastAsia"/>
              </w:rPr>
              <w:t>。</w:t>
            </w:r>
          </w:p>
          <w:p w:rsidR="00BE1389" w:rsidRPr="005D185C" w:rsidRDefault="00181877" w:rsidP="005F5CDF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本課程之教學預計</w:t>
            </w:r>
            <w:r w:rsidR="00084F53">
              <w:rPr>
                <w:rFonts w:eastAsia="標楷體" w:hint="eastAsia"/>
              </w:rPr>
              <w:t>以</w:t>
            </w:r>
            <w:r w:rsidR="00BE1389">
              <w:rPr>
                <w:rFonts w:eastAsia="標楷體" w:hint="eastAsia"/>
              </w:rPr>
              <w:t>敦煌</w:t>
            </w:r>
            <w:r w:rsidR="00033123">
              <w:rPr>
                <w:rFonts w:eastAsia="標楷體" w:hint="eastAsia"/>
              </w:rPr>
              <w:t>的</w:t>
            </w:r>
            <w:r w:rsidR="00BE1389">
              <w:rPr>
                <w:rFonts w:eastAsia="標楷體" w:hint="eastAsia"/>
              </w:rPr>
              <w:t>歷史</w:t>
            </w:r>
            <w:r w:rsidR="00033123">
              <w:rPr>
                <w:rFonts w:eastAsia="標楷體" w:hint="eastAsia"/>
              </w:rPr>
              <w:t>發展</w:t>
            </w:r>
            <w:r w:rsidR="00BE1389">
              <w:rPr>
                <w:rFonts w:eastAsia="標楷體" w:hint="eastAsia"/>
              </w:rPr>
              <w:t>、</w:t>
            </w:r>
            <w:r w:rsidR="005F5CDF">
              <w:rPr>
                <w:rFonts w:eastAsia="標楷體" w:hint="eastAsia"/>
              </w:rPr>
              <w:t>敦煌石窟藝</w:t>
            </w:r>
            <w:bookmarkStart w:id="0" w:name="_GoBack"/>
            <w:bookmarkEnd w:id="0"/>
            <w:r w:rsidR="005F5CDF">
              <w:rPr>
                <w:rFonts w:eastAsia="標楷體" w:hint="eastAsia"/>
              </w:rPr>
              <w:t>術、</w:t>
            </w:r>
            <w:r w:rsidR="00C362FC">
              <w:rPr>
                <w:rFonts w:eastAsia="標楷體" w:hint="eastAsia"/>
              </w:rPr>
              <w:t>敦煌</w:t>
            </w:r>
            <w:r w:rsidR="00033123">
              <w:rPr>
                <w:rFonts w:eastAsia="標楷體" w:hint="eastAsia"/>
              </w:rPr>
              <w:t>出土</w:t>
            </w:r>
            <w:r w:rsidR="00C362FC">
              <w:rPr>
                <w:rFonts w:eastAsia="標楷體" w:hint="eastAsia"/>
              </w:rPr>
              <w:t>文獻</w:t>
            </w:r>
            <w:r w:rsidR="00033123">
              <w:rPr>
                <w:rFonts w:eastAsia="標楷體" w:hint="eastAsia"/>
              </w:rPr>
              <w:t>等</w:t>
            </w:r>
            <w:r w:rsidR="00BE1389">
              <w:rPr>
                <w:rFonts w:eastAsia="標楷體" w:hint="eastAsia"/>
              </w:rPr>
              <w:t>三大主軸規劃課程，透過課程教學培養學生人文素養與文化知識，深化對於中國中世紀失落文化之認識。學生可從課程規劃之教學內容，增進對於敦煌</w:t>
            </w:r>
            <w:r w:rsidR="00C362FC">
              <w:rPr>
                <w:rFonts w:eastAsia="標楷體" w:hint="eastAsia"/>
              </w:rPr>
              <w:t>的歷史</w:t>
            </w:r>
            <w:r w:rsidR="00033123">
              <w:rPr>
                <w:rFonts w:eastAsia="標楷體" w:hint="eastAsia"/>
              </w:rPr>
              <w:t>、</w:t>
            </w:r>
            <w:r w:rsidR="00BE1389">
              <w:rPr>
                <w:rFonts w:eastAsia="標楷體" w:hint="eastAsia"/>
              </w:rPr>
              <w:t>石窟藝術</w:t>
            </w:r>
            <w:r w:rsidR="005F5CDF">
              <w:rPr>
                <w:rFonts w:eastAsia="標楷體" w:hint="eastAsia"/>
              </w:rPr>
              <w:t>、文獻</w:t>
            </w:r>
            <w:r w:rsidR="00BE1389">
              <w:rPr>
                <w:rFonts w:eastAsia="標楷體" w:hint="eastAsia"/>
              </w:rPr>
              <w:t>考古</w:t>
            </w:r>
            <w:r w:rsidR="00C362FC">
              <w:rPr>
                <w:rFonts w:eastAsia="標楷體" w:hint="eastAsia"/>
              </w:rPr>
              <w:t>等</w:t>
            </w:r>
            <w:r w:rsidR="00033123">
              <w:rPr>
                <w:rFonts w:eastAsia="標楷體" w:hint="eastAsia"/>
              </w:rPr>
              <w:t>相關</w:t>
            </w:r>
            <w:r w:rsidR="00BE1389">
              <w:rPr>
                <w:rFonts w:eastAsia="標楷體" w:hint="eastAsia"/>
              </w:rPr>
              <w:t>資訊之瞭解，增廣</w:t>
            </w:r>
            <w:r w:rsidR="00C362FC">
              <w:rPr>
                <w:rFonts w:eastAsia="標楷體" w:hint="eastAsia"/>
              </w:rPr>
              <w:t>歷史、人文與藝術</w:t>
            </w:r>
            <w:r w:rsidR="00BE1389" w:rsidRPr="006B0B2B">
              <w:rPr>
                <w:rFonts w:eastAsia="標楷體" w:hint="eastAsia"/>
              </w:rPr>
              <w:t>等知識涵養，</w:t>
            </w:r>
            <w:r w:rsidR="00BE1389">
              <w:rPr>
                <w:rFonts w:eastAsia="標楷體" w:hint="eastAsia"/>
              </w:rPr>
              <w:t>並開拓眼界</w:t>
            </w:r>
            <w:r w:rsidR="00BE1389" w:rsidRPr="006B0B2B">
              <w:rPr>
                <w:rFonts w:eastAsia="標楷體" w:hint="eastAsia"/>
              </w:rPr>
              <w:t>。此外，此課程亦提供學生跨領域學習，開拓多元知識與生命視野，並學習團隊合作分工</w:t>
            </w:r>
            <w:r w:rsidR="00BE1389">
              <w:rPr>
                <w:rFonts w:eastAsia="標楷體" w:hint="eastAsia"/>
              </w:rPr>
              <w:t>等目標</w:t>
            </w:r>
            <w:r w:rsidR="00BE1389" w:rsidRPr="006B0B2B">
              <w:rPr>
                <w:rFonts w:eastAsia="標楷體" w:hint="eastAsia"/>
              </w:rPr>
              <w:t>。</w:t>
            </w:r>
          </w:p>
        </w:tc>
      </w:tr>
      <w:tr w:rsidR="005D185C" w:rsidRPr="005D185C" w:rsidTr="006B67CB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  <w:bCs/>
              </w:rPr>
              <w:t>與通識教育核心精神之關聯性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389" w:rsidRPr="00BE1389" w:rsidRDefault="00BE1389" w:rsidP="008238AD">
            <w:pPr>
              <w:rPr>
                <w:rFonts w:eastAsia="標楷體"/>
              </w:rPr>
            </w:pPr>
            <w:r w:rsidRPr="00BE1389">
              <w:rPr>
                <w:rFonts w:eastAsia="標楷體" w:hint="eastAsia"/>
              </w:rPr>
              <w:t>1.</w:t>
            </w:r>
            <w:r w:rsidRPr="00BE1389">
              <w:rPr>
                <w:rFonts w:eastAsia="標楷體" w:hint="eastAsia"/>
              </w:rPr>
              <w:t>藉由跨領域學習開拓多元知識與生命視野</w:t>
            </w:r>
          </w:p>
          <w:p w:rsidR="00BE1389" w:rsidRPr="00BE1389" w:rsidRDefault="00BE1389" w:rsidP="008238AD">
            <w:pPr>
              <w:rPr>
                <w:rFonts w:eastAsia="標楷體"/>
              </w:rPr>
            </w:pPr>
            <w:r w:rsidRPr="00BE1389">
              <w:rPr>
                <w:rFonts w:eastAsia="標楷體" w:hint="eastAsia"/>
              </w:rPr>
              <w:t>2.</w:t>
            </w:r>
            <w:r w:rsidR="001E7409">
              <w:rPr>
                <w:rFonts w:eastAsia="標楷體" w:hint="eastAsia"/>
              </w:rPr>
              <w:t>藉由討論訓練思辯</w:t>
            </w:r>
            <w:r w:rsidRPr="00BE1389">
              <w:rPr>
                <w:rFonts w:eastAsia="標楷體" w:hint="eastAsia"/>
              </w:rPr>
              <w:t>與多元思考</w:t>
            </w:r>
          </w:p>
          <w:p w:rsidR="00BE1389" w:rsidRPr="005D185C" w:rsidRDefault="00BE1389" w:rsidP="008238AD">
            <w:pPr>
              <w:rPr>
                <w:rFonts w:eastAsia="標楷體"/>
              </w:rPr>
            </w:pPr>
            <w:r w:rsidRPr="00BE1389">
              <w:rPr>
                <w:rFonts w:eastAsia="標楷體" w:hint="eastAsia"/>
              </w:rPr>
              <w:t>3.</w:t>
            </w:r>
            <w:r w:rsidRPr="00BE1389">
              <w:rPr>
                <w:rFonts w:eastAsia="標楷體" w:hint="eastAsia"/>
              </w:rPr>
              <w:t>藉由團隊學習合作分工</w:t>
            </w:r>
          </w:p>
        </w:tc>
      </w:tr>
      <w:tr w:rsidR="005D185C" w:rsidRPr="005D185C" w:rsidTr="006B67CB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F512A2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大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綱</w:t>
            </w:r>
          </w:p>
          <w:p w:rsidR="00F512A2" w:rsidRPr="005D185C" w:rsidRDefault="00F512A2" w:rsidP="00F512A2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須含週次表及每週課程進度說明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BFE" w:rsidRDefault="00443BFE" w:rsidP="00022B2C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4790" w:type="pct"/>
              <w:jc w:val="center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82"/>
              <w:gridCol w:w="2136"/>
              <w:gridCol w:w="4949"/>
            </w:tblGrid>
            <w:tr w:rsidR="006C0FC5" w:rsidRPr="009F5B79" w:rsidTr="00656B77">
              <w:trPr>
                <w:trHeight w:val="288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F5B79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期數(週)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課程內容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443BFE" w:rsidRPr="009F5B79" w:rsidRDefault="00647814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課程</w:t>
                  </w:r>
                  <w:r w:rsidR="00443BFE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資訊</w:t>
                  </w:r>
                </w:p>
              </w:tc>
            </w:tr>
            <w:tr w:rsidR="006C0FC5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課程簡介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443BFE" w:rsidRPr="007A274C" w:rsidRDefault="00443BFE" w:rsidP="007A274C">
                  <w:pPr>
                    <w:pStyle w:val="ab"/>
                    <w:jc w:val="center"/>
                    <w:rPr>
                      <w:rFonts w:eastAsia="標楷體" w:hAnsi="標楷體"/>
                    </w:rPr>
                  </w:pPr>
                  <w:r w:rsidRPr="009F5B79">
                    <w:rPr>
                      <w:rFonts w:eastAsia="標楷體" w:hAnsi="標楷體" w:hint="eastAsia"/>
                    </w:rPr>
                    <w:t>課程內容介紹與評分標準說明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2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04E6" w:rsidRDefault="006C0FC5" w:rsidP="00647814">
                  <w:pPr>
                    <w:spacing w:line="0" w:lineRule="atLeast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敦煌學的產生</w:t>
                  </w:r>
                </w:p>
                <w:p w:rsidR="00443BFE" w:rsidRPr="00443BFE" w:rsidRDefault="006C0FC5" w:rsidP="0064781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/>
                    </w:rPr>
                    <w:t>及</w:t>
                  </w:r>
                  <w:r w:rsidR="00B32F36">
                    <w:rPr>
                      <w:rFonts w:ascii="標楷體" w:eastAsia="標楷體"/>
                    </w:rPr>
                    <w:t>範疇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7B038F" w:rsidRPr="007B038F" w:rsidRDefault="00B32F36" w:rsidP="007B038F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2F36">
                    <w:rPr>
                      <w:rFonts w:eastAsia="標楷體" w:hAnsi="標楷體" w:hint="eastAsia"/>
                    </w:rPr>
                    <w:t>何謂</w:t>
                  </w:r>
                  <w:r>
                    <w:rPr>
                      <w:rFonts w:ascii="SimSun" w:eastAsia="SimSun" w:hAnsi="SimSun" w:hint="eastAsia"/>
                    </w:rPr>
                    <w:t>「</w:t>
                  </w:r>
                  <w:r w:rsidRPr="00B32F36">
                    <w:rPr>
                      <w:rFonts w:eastAsia="標楷體" w:hAnsi="標楷體" w:hint="eastAsia"/>
                    </w:rPr>
                    <w:t>敦煌學</w:t>
                  </w:r>
                  <w:r>
                    <w:rPr>
                      <w:rFonts w:ascii="SimSun" w:eastAsia="SimSun" w:hAnsi="SimSun" w:hint="eastAsia"/>
                    </w:rPr>
                    <w:t>」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?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32F36" w:rsidRPr="009F5B79" w:rsidRDefault="00B32F36" w:rsidP="00B32F3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3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563FD" w:rsidRDefault="00B32F36" w:rsidP="000563FD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敦煌地理環境</w:t>
                  </w:r>
                </w:p>
                <w:p w:rsidR="00B32F36" w:rsidRPr="000563FD" w:rsidRDefault="00B32F36" w:rsidP="000563FD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與歷史沿革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B079BE" w:rsidRPr="006C0FC5" w:rsidRDefault="00B32F36" w:rsidP="006C0FC5">
                  <w:pPr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敦煌莫高窟的創建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封閉與重現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079BE" w:rsidRPr="009F5B79" w:rsidRDefault="00B079BE" w:rsidP="00B079B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4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C0FC5" w:rsidRDefault="006C0FC5" w:rsidP="006C0FC5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敦煌地理環境</w:t>
                  </w:r>
                </w:p>
                <w:p w:rsidR="00B079BE" w:rsidRPr="002965C6" w:rsidRDefault="006C0FC5" w:rsidP="006C0FC5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與歷史沿革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B079BE" w:rsidRPr="0086491D" w:rsidRDefault="006C0FC5" w:rsidP="00B079BE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pacing w:val="4"/>
                    </w:rPr>
                    <w:t>敦煌藏經洞文物</w:t>
                  </w:r>
                  <w:r w:rsidRPr="003416D2">
                    <w:rPr>
                      <w:rFonts w:ascii="標楷體" w:eastAsia="標楷體" w:hAnsi="標楷體" w:hint="eastAsia"/>
                      <w:spacing w:val="4"/>
                    </w:rPr>
                    <w:t>流散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歷史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5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spacing w:line="276" w:lineRule="auto"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敦煌文獻的學術價值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敦煌學研究領域</w:t>
                  </w:r>
                  <w:r w:rsidRPr="008153E0">
                    <w:rPr>
                      <w:rFonts w:eastAsia="標楷體" w:hint="eastAsia"/>
                    </w:rPr>
                    <w:t>介紹：</w:t>
                  </w:r>
                </w:p>
                <w:p w:rsidR="00656B77" w:rsidRPr="00897216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53E0">
                    <w:rPr>
                      <w:rFonts w:eastAsia="標楷體" w:hint="eastAsia"/>
                    </w:rPr>
                    <w:t>(1)</w:t>
                  </w:r>
                  <w:r>
                    <w:rPr>
                      <w:rFonts w:eastAsia="標楷體" w:hint="eastAsia"/>
                    </w:rPr>
                    <w:t>歷史地理</w:t>
                  </w:r>
                  <w:r w:rsidRPr="008153E0">
                    <w:rPr>
                      <w:rFonts w:eastAsia="標楷體" w:hint="eastAsia"/>
                    </w:rPr>
                    <w:t>(2)</w:t>
                  </w:r>
                  <w:r>
                    <w:rPr>
                      <w:rFonts w:eastAsia="標楷體" w:hint="eastAsia"/>
                    </w:rPr>
                    <w:t>中外交流</w:t>
                  </w:r>
                  <w:r w:rsidRPr="008153E0">
                    <w:rPr>
                      <w:rFonts w:eastAsia="標楷體" w:hint="eastAsia"/>
                    </w:rPr>
                    <w:t>(3)</w:t>
                  </w:r>
                  <w:r>
                    <w:rPr>
                      <w:rFonts w:eastAsia="標楷體" w:hint="eastAsia"/>
                    </w:rPr>
                    <w:t>宗教</w:t>
                  </w:r>
                  <w:r w:rsidRPr="008153E0">
                    <w:rPr>
                      <w:rFonts w:eastAsia="標楷體" w:hint="eastAsia"/>
                    </w:rPr>
                    <w:t>(4)</w:t>
                  </w:r>
                  <w:r>
                    <w:rPr>
                      <w:rFonts w:eastAsia="標楷體" w:hint="eastAsia"/>
                    </w:rPr>
                    <w:t>文學</w:t>
                  </w:r>
                  <w:r w:rsidRPr="008153E0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5</w:t>
                  </w:r>
                  <w:r w:rsidRPr="008153E0"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>語言文字</w:t>
                  </w:r>
                  <w:r w:rsidRPr="008153E0">
                    <w:rPr>
                      <w:rFonts w:eastAsia="標楷體" w:hint="eastAsia"/>
                    </w:rPr>
                    <w:t>(7)</w:t>
                  </w:r>
                  <w:r>
                    <w:rPr>
                      <w:rFonts w:eastAsia="標楷體" w:hint="eastAsia"/>
                    </w:rPr>
                    <w:t>科技</w:t>
                  </w:r>
                  <w:r w:rsidRPr="008153E0">
                    <w:rPr>
                      <w:rFonts w:eastAsia="標楷體" w:hint="eastAsia"/>
                    </w:rPr>
                    <w:t>(8)</w:t>
                  </w:r>
                  <w:r w:rsidRPr="008153E0">
                    <w:rPr>
                      <w:rFonts w:eastAsia="標楷體" w:hint="eastAsia"/>
                    </w:rPr>
                    <w:t>考古藝術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6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656B77" w:rsidRPr="009F5B79" w:rsidRDefault="00656B77" w:rsidP="00656B77">
                  <w:pPr>
                    <w:pStyle w:val="ab"/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典籍:</w:t>
                  </w:r>
                </w:p>
                <w:p w:rsidR="00656B77" w:rsidRPr="0072361E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</w:t>
                  </w:r>
                  <w:r w:rsidR="00B20E3F">
                    <w:rPr>
                      <w:rFonts w:ascii="標楷體" w:eastAsia="標楷體" w:hint="eastAsia"/>
                    </w:rPr>
                    <w:t>出土的經史子集與佛教經典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lastRenderedPageBreak/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7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8C701E" w:rsidRDefault="00656B77" w:rsidP="00656B77">
                  <w:pPr>
                    <w:widowControl/>
                    <w:spacing w:line="276" w:lineRule="auto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B20E3F" w:rsidRDefault="00B20E3F" w:rsidP="00B20E3F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社會史料:</w:t>
                  </w:r>
                </w:p>
                <w:p w:rsidR="00656B77" w:rsidRPr="009F5B79" w:rsidRDefault="00B20E3F" w:rsidP="00B20E3F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敦煌所藏社會、經濟、戶籍等史料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8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8C701E" w:rsidRDefault="00B20E3F" w:rsidP="00656B77">
                  <w:pPr>
                    <w:widowControl/>
                    <w:spacing w:line="276" w:lineRule="auto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B20E3F" w:rsidRDefault="00B20E3F" w:rsidP="00B20E3F">
                  <w:pPr>
                    <w:pStyle w:val="ab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民俗文學:</w:t>
                  </w:r>
                </w:p>
                <w:p w:rsidR="00656B77" w:rsidRPr="009F5B79" w:rsidRDefault="00B20E3F" w:rsidP="00B20E3F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敦煌所藏民俗與民間信仰之文獻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9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B20E3F" w:rsidP="00656B77">
                  <w:pPr>
                    <w:pStyle w:val="ab"/>
                    <w:spacing w:line="276" w:lineRule="auto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eastAsia="標楷體" w:hint="eastAsia"/>
                    </w:rPr>
                    <w:t>期中考週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2965C6" w:rsidRDefault="00B20E3F" w:rsidP="00B20E3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eastAsia="標楷體" w:hint="eastAsia"/>
                    </w:rPr>
                    <w:t>期中測驗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10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2F54EC" w:rsidP="00656B77">
                  <w:pPr>
                    <w:widowControl/>
                    <w:spacing w:line="276" w:lineRule="auto"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2F54EC" w:rsidRDefault="002F54EC" w:rsidP="002F54EC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敦煌的石窟建築:</w:t>
                  </w:r>
                </w:p>
                <w:p w:rsidR="00656B77" w:rsidRPr="009F5B79" w:rsidRDefault="002F54EC" w:rsidP="002F54EC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北朝時期與</w:t>
                  </w:r>
                  <w:r w:rsidRPr="00C95B46">
                    <w:rPr>
                      <w:rFonts w:ascii="標楷體" w:eastAsia="標楷體" w:hAnsi="標楷體" w:cs="新細明體" w:hint="eastAsia"/>
                      <w:kern w:val="0"/>
                    </w:rPr>
                    <w:t>隋唐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時期(規制與特色)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11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7A274C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2F54EC" w:rsidRDefault="002F54EC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int="eastAsia"/>
                    </w:rPr>
                    <w:t>敦煌的石窟建築:</w:t>
                  </w:r>
                </w:p>
                <w:p w:rsidR="00656B77" w:rsidRPr="00C95B46" w:rsidRDefault="002F54EC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五代十國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與宋元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(規制與特色)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12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507C23">
                    <w:rPr>
                      <w:rFonts w:ascii="標楷體" w:eastAsia="標楷體" w:hAnsi="標楷體" w:hint="eastAsia"/>
                    </w:rPr>
                    <w:t>敦煌的塑像藝術:</w:t>
                  </w:r>
                </w:p>
                <w:p w:rsidR="00656B77" w:rsidRPr="00656B77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北朝時期與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隋唐時期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Pr="00656B77">
                    <w:rPr>
                      <w:rFonts w:ascii="標楷體" w:eastAsia="標楷體" w:hAnsi="標楷體" w:cs="新細明體" w:hint="eastAsia"/>
                      <w:kern w:val="0"/>
                    </w:rPr>
                    <w:t>題材、造型、技法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13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507C23">
                    <w:rPr>
                      <w:rFonts w:ascii="標楷體" w:eastAsia="標楷體" w:hAnsi="標楷體" w:hint="eastAsia"/>
                    </w:rPr>
                    <w:t>敦煌的塑像藝術:</w:t>
                  </w:r>
                </w:p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五代十國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與宋元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Pr="00656B77">
                    <w:rPr>
                      <w:rFonts w:ascii="標楷體" w:eastAsia="標楷體" w:hAnsi="標楷體" w:cs="新細明體" w:hint="eastAsia"/>
                      <w:kern w:val="0"/>
                    </w:rPr>
                    <w:t>題材、造型、技法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14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敦煌的壁畫藝術(一):</w:t>
                  </w:r>
                </w:p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佛尊與飛天、經變畫、佛教故事畫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15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敦煌的壁畫藝術(二):</w:t>
                  </w:r>
                </w:p>
                <w:p w:rsidR="00656B77" w:rsidRPr="001C3BB8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供養人像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、歷史畫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狩獵圖等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16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石窟藝術(四)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敦煌的舞蹈與音樂:</w:t>
                  </w:r>
                </w:p>
                <w:p w:rsidR="00656B77" w:rsidRPr="001C3BB8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伎樂天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飛天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蓮花童子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金剛力士與天王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、世俗舞蹈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17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石窟藝術(五)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 w:hint="eastAsia"/>
                    </w:rPr>
                    <w:t>敦煌的圖案藝術: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裝飾用途與類型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18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pStyle w:val="ab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課程回顧與總檢討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656B77" w:rsidRDefault="00656B77" w:rsidP="00656B77">
                  <w:pPr>
                    <w:pStyle w:val="ab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絲路明珠耀今塵：</w:t>
                  </w:r>
                </w:p>
                <w:p w:rsidR="00656B77" w:rsidRPr="009F5B79" w:rsidRDefault="00656B77" w:rsidP="00656B77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二十一世紀敦煌學的發展</w:t>
                  </w:r>
                </w:p>
              </w:tc>
            </w:tr>
            <w:tr w:rsidR="00656B77" w:rsidRPr="009F5B79" w:rsidTr="00C56108">
              <w:trPr>
                <w:trHeight w:val="240"/>
                <w:tblCellSpacing w:w="15" w:type="dxa"/>
                <w:jc w:val="center"/>
              </w:trPr>
              <w:tc>
                <w:tcPr>
                  <w:tcW w:w="4963" w:type="pct"/>
                  <w:gridSpan w:val="3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Default="00656B77" w:rsidP="00656B77">
                  <w:pPr>
                    <w:pStyle w:val="ac"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rPr>
                      <w:rFonts w:eastAsia="標楷體"/>
                      <w:sz w:val="24"/>
                      <w:szCs w:val="24"/>
                    </w:rPr>
                  </w:pPr>
                  <w:r w:rsidRPr="001C01CD">
                    <w:rPr>
                      <w:rFonts w:eastAsia="標楷體" w:hint="eastAsia"/>
                      <w:sz w:val="24"/>
                      <w:szCs w:val="24"/>
                    </w:rPr>
                    <w:t>每週課程進度說明：</w:t>
                  </w:r>
                </w:p>
                <w:p w:rsidR="00656B77" w:rsidRDefault="00656B77" w:rsidP="00656B77">
                  <w:pPr>
                    <w:spacing w:line="0" w:lineRule="atLeast"/>
                    <w:rPr>
                      <w:rFonts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■第1週：「</w:t>
                  </w:r>
                  <w:r>
                    <w:rPr>
                      <w:rFonts w:eastAsia="標楷體" w:hAnsi="標楷體" w:hint="eastAsia"/>
                      <w:b/>
                    </w:rPr>
                    <w:t>課程簡介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ind w:left="730" w:hanging="219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課程內容：第一週將進行課程說明，說明課程目標、介紹課程內容、評分標準、課堂進行方式與班級經營規則。</w:t>
                  </w:r>
                </w:p>
                <w:p w:rsidR="00656B77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1D3D13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rPr>
                      <w:rFonts w:eastAsia="標楷體"/>
                    </w:rPr>
                  </w:pPr>
                  <w:r w:rsidRPr="001D3D13">
                    <w:rPr>
                      <w:rFonts w:eastAsia="標楷體" w:hAnsi="標楷體" w:hint="eastAsia"/>
                    </w:rPr>
                    <w:t>教學目標：</w:t>
                  </w:r>
                  <w:r>
                    <w:rPr>
                      <w:rFonts w:eastAsia="標楷體" w:hAnsi="標楷體" w:hint="eastAsia"/>
                    </w:rPr>
                    <w:t>說明課程主要內容並引起</w:t>
                  </w:r>
                  <w:r w:rsidRPr="001D3D13">
                    <w:rPr>
                      <w:rFonts w:eastAsia="標楷體" w:hAnsi="標楷體" w:hint="eastAsia"/>
                    </w:rPr>
                    <w:t>學生</w:t>
                  </w:r>
                  <w:r>
                    <w:rPr>
                      <w:rFonts w:eastAsia="標楷體" w:hAnsi="標楷體" w:hint="eastAsia"/>
                    </w:rPr>
                    <w:t>對於課程內容之興趣</w:t>
                  </w:r>
                  <w:r w:rsidRPr="001D3D13">
                    <w:rPr>
                      <w:rFonts w:eastAsia="標楷體" w:hAnsi="標楷體" w:hint="eastAsia"/>
                    </w:rPr>
                    <w:t>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■第2週：「</w:t>
                  </w:r>
                  <w:r w:rsidRPr="00B32F36">
                    <w:rPr>
                      <w:rFonts w:ascii="標楷體" w:eastAsia="標楷體" w:hAnsi="標楷體" w:hint="eastAsia"/>
                      <w:b/>
                    </w:rPr>
                    <w:t>敦煌學的產生及其範疇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0D51EF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課程內容：從名稱的產生與相關研究範疇，釐清</w:t>
                  </w:r>
                  <w:r w:rsidRPr="000D51EF">
                    <w:rPr>
                      <w:rFonts w:eastAsia="標楷體" w:hAnsi="標楷體" w:hint="eastAsia"/>
                    </w:rPr>
                    <w:t>何謂</w:t>
                  </w:r>
                  <w:r w:rsidRPr="000D51EF">
                    <w:rPr>
                      <w:rFonts w:ascii="SimSun" w:eastAsia="SimSun" w:hAnsi="SimSun" w:hint="eastAsia"/>
                    </w:rPr>
                    <w:t>「</w:t>
                  </w:r>
                  <w:r w:rsidRPr="000D51EF">
                    <w:rPr>
                      <w:rFonts w:eastAsia="標楷體" w:hAnsi="標楷體" w:hint="eastAsia"/>
                    </w:rPr>
                    <w:t>敦煌學</w:t>
                  </w:r>
                  <w:r w:rsidRPr="000D51EF">
                    <w:rPr>
                      <w:rFonts w:ascii="SimSun" w:eastAsia="SimSun" w:hAnsi="SimSun" w:hint="eastAsia"/>
                    </w:rPr>
                    <w:t>」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?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教學目標：介</w:t>
                  </w:r>
                  <w:r w:rsidRPr="001D3D13">
                    <w:rPr>
                      <w:rFonts w:ascii="標楷體" w:eastAsia="標楷體" w:hAnsi="標楷體" w:hint="eastAsia"/>
                    </w:rPr>
                    <w:t>紹「敦煌學」</w:t>
                  </w:r>
                  <w:r>
                    <w:rPr>
                      <w:rFonts w:ascii="標楷體" w:eastAsia="標楷體" w:hAnsi="標楷體" w:hint="eastAsia"/>
                    </w:rPr>
                    <w:t>一詞</w:t>
                  </w:r>
                  <w:r w:rsidRPr="001D3D13">
                    <w:rPr>
                      <w:rFonts w:ascii="標楷體" w:eastAsia="標楷體" w:hAnsi="標楷體" w:hint="eastAsia"/>
                    </w:rPr>
                    <w:t>及其相關定義</w:t>
                  </w:r>
                  <w:r>
                    <w:rPr>
                      <w:rFonts w:ascii="標楷體" w:eastAsia="標楷體" w:hAnsi="標楷體" w:hint="eastAsia"/>
                    </w:rPr>
                    <w:t>與目前研究範圍。</w:t>
                  </w:r>
                </w:p>
                <w:p w:rsidR="00656B77" w:rsidRDefault="00656B77" w:rsidP="00656B77">
                  <w:pPr>
                    <w:spacing w:line="0" w:lineRule="atLeast"/>
                    <w:rPr>
                      <w:rFonts w:eastAsia="標楷體" w:hAnsi="標楷體"/>
                      <w:b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■第3-4週：「</w:t>
                  </w:r>
                  <w:r w:rsidRPr="000D51EF">
                    <w:rPr>
                      <w:rFonts w:ascii="標楷體" w:eastAsia="標楷體" w:hAnsi="標楷體" w:hint="eastAsia"/>
                      <w:b/>
                    </w:rPr>
                    <w:t>敦煌地理環境與歷史沿革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AC6624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課程內容：講述</w:t>
                  </w:r>
                  <w:r>
                    <w:rPr>
                      <w:rFonts w:ascii="標楷體" w:eastAsia="標楷體"/>
                    </w:rPr>
                    <w:t>敦煌莫高窟的創建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封閉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重現</w:t>
                  </w:r>
                  <w:r>
                    <w:rPr>
                      <w:rFonts w:ascii="標楷體" w:eastAsia="標楷體" w:hint="eastAsia"/>
                    </w:rPr>
                    <w:t>與目前現況，以及西元</w:t>
                  </w:r>
                  <w:r>
                    <w:rPr>
                      <w:rFonts w:eastAsia="標楷體" w:hAnsi="標楷體" w:hint="eastAsia"/>
                    </w:rPr>
                    <w:t>1900</w:t>
                  </w:r>
                  <w:r>
                    <w:rPr>
                      <w:rFonts w:eastAsia="標楷體" w:hAnsi="標楷體" w:hint="eastAsia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敦煌藏經洞之重啟，以及其後藏經洞文物</w:t>
                  </w:r>
                  <w:r w:rsidRPr="003416D2">
                    <w:rPr>
                      <w:rFonts w:ascii="標楷體" w:eastAsia="標楷體" w:hAnsi="標楷體" w:hint="eastAsia"/>
                      <w:spacing w:val="4"/>
                    </w:rPr>
                    <w:t>流散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的狀況與相關歷史。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lastRenderedPageBreak/>
                    <w:t>教學方法：教師講授、師生討論及互動。</w:t>
                  </w:r>
                </w:p>
                <w:p w:rsidR="00656B77" w:rsidRPr="006C6225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教學目標：介紹敦煌歷史與地理位置及其重要之意義與價值。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延伸教材：斯坦因著，姜波、秦立彥譯</w:t>
                  </w:r>
                  <w:r>
                    <w:rPr>
                      <w:rFonts w:ascii="標楷體" w:eastAsia="標楷體" w:hAnsi="標楷體" w:hint="eastAsia"/>
                    </w:rPr>
                    <w:t>《發現藏經洞》(台灣書房，2007)</w:t>
                  </w:r>
                  <w:r>
                    <w:rPr>
                      <w:rFonts w:eastAsia="標楷體" w:hAnsi="標楷體" w:hint="eastAsia"/>
                    </w:rPr>
                    <w:t>。余秋雨</w:t>
                  </w:r>
                  <w:r>
                    <w:rPr>
                      <w:rFonts w:ascii="標楷體" w:eastAsia="標楷體" w:hAnsi="標楷體" w:hint="eastAsia"/>
                    </w:rPr>
                    <w:t>《文化苦旅》(爾雅，1992)</w:t>
                  </w:r>
                </w:p>
                <w:p w:rsidR="00656B77" w:rsidRPr="008D7ACB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■第5週：「</w:t>
                  </w:r>
                  <w:r w:rsidRPr="000D51EF">
                    <w:rPr>
                      <w:rFonts w:ascii="標楷體" w:eastAsia="標楷體" w:hAnsi="標楷體" w:hint="eastAsia"/>
                      <w:b/>
                    </w:rPr>
                    <w:t>敦煌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文獻的學術價值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E8526C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</w:t>
                  </w:r>
                  <w:r w:rsidRPr="00517449">
                    <w:rPr>
                      <w:rFonts w:ascii="標楷體" w:eastAsia="標楷體" w:hAnsi="標楷體" w:hint="eastAsia"/>
                    </w:rPr>
                    <w:t>介紹</w:t>
                  </w:r>
                  <w:r>
                    <w:rPr>
                      <w:rFonts w:ascii="標楷體" w:eastAsia="標楷體" w:hAnsi="標楷體" w:hint="eastAsia"/>
                    </w:rPr>
                    <w:t>目前世界各國敦煌研究之現況，</w:t>
                  </w:r>
                  <w:r>
                    <w:rPr>
                      <w:rFonts w:eastAsia="標楷體" w:hAnsi="標楷體" w:hint="eastAsia"/>
                    </w:rPr>
                    <w:t>包括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 w:rsidRPr="00B32F36">
                    <w:rPr>
                      <w:rFonts w:eastAsia="標楷體" w:hAnsi="標楷體" w:hint="eastAsia"/>
                    </w:rPr>
                    <w:t>日本</w:t>
                  </w:r>
                  <w:r>
                    <w:rPr>
                      <w:rFonts w:eastAsia="標楷體" w:hAnsi="標楷體" w:hint="eastAsia"/>
                    </w:rPr>
                    <w:t>、</w:t>
                  </w:r>
                  <w:r w:rsidRPr="00B32F36">
                    <w:rPr>
                      <w:rFonts w:eastAsia="標楷體" w:hAnsi="標楷體" w:hint="eastAsia"/>
                    </w:rPr>
                    <w:t>歐美</w:t>
                  </w:r>
                  <w:r>
                    <w:rPr>
                      <w:rFonts w:eastAsia="標楷體" w:hAnsi="標楷體" w:hint="eastAsia"/>
                    </w:rPr>
                    <w:t>、</w:t>
                  </w:r>
                  <w:r w:rsidRPr="00B32F36">
                    <w:rPr>
                      <w:rFonts w:eastAsia="標楷體" w:hAnsi="標楷體" w:hint="eastAsia"/>
                    </w:rPr>
                    <w:t>中國大陸</w:t>
                  </w:r>
                  <w:r>
                    <w:rPr>
                      <w:rFonts w:eastAsia="標楷體" w:hAnsi="標楷體" w:hint="eastAsia"/>
                    </w:rPr>
                    <w:t>與</w:t>
                  </w:r>
                  <w:r w:rsidRPr="00B32F36">
                    <w:rPr>
                      <w:rFonts w:eastAsia="標楷體" w:hAnsi="標楷體" w:hint="eastAsia"/>
                    </w:rPr>
                    <w:t>臺灣</w:t>
                  </w:r>
                  <w:r>
                    <w:rPr>
                      <w:rFonts w:eastAsia="標楷體" w:hAnsi="標楷體" w:hint="eastAsia"/>
                    </w:rPr>
                    <w:t>。並介紹敦煌文學相關的各類基礎研究，例如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 w:rsidRPr="00FF04C8">
                    <w:rPr>
                      <w:rFonts w:eastAsia="標楷體" w:hAnsi="標楷體" w:hint="eastAsia"/>
                    </w:rPr>
                    <w:t>目錄學、版本學、校讎學、輯佚學、辨偽學的運用；俗字的認識</w:t>
                  </w:r>
                  <w:r>
                    <w:rPr>
                      <w:rFonts w:eastAsia="標楷體" w:hAnsi="標楷體" w:hint="eastAsia"/>
                    </w:rPr>
                    <w:t>與</w:t>
                  </w:r>
                  <w:r w:rsidRPr="00FF04C8">
                    <w:rPr>
                      <w:rFonts w:eastAsia="標楷體" w:hAnsi="標楷體" w:hint="eastAsia"/>
                    </w:rPr>
                    <w:t>寫本的閱讀</w:t>
                  </w:r>
                  <w:r>
                    <w:rPr>
                      <w:rFonts w:eastAsia="標楷體" w:hAnsi="標楷體" w:hint="eastAsia"/>
                    </w:rPr>
                    <w:t>等相關介紹。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教學目標：認識敦煌藏經洞所藏文獻之重要價值與意義。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6-8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</w:t>
                  </w:r>
                  <w:r w:rsidR="00CC73EE" w:rsidRPr="00CC73EE">
                    <w:rPr>
                      <w:rFonts w:ascii="標楷體" w:eastAsia="標楷體" w:hAnsi="標楷體" w:hint="eastAsia"/>
                      <w:b/>
                    </w:rPr>
                    <w:t>敦煌文獻的介紹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一-三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E8526C" w:rsidRDefault="00656B77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</w:t>
                  </w:r>
                  <w:r w:rsidR="00CC73EE">
                    <w:rPr>
                      <w:rFonts w:eastAsia="標楷體" w:hAnsi="標楷體" w:hint="eastAsia"/>
                    </w:rPr>
                    <w:t>介紹目前敦煌文獻相關分類，包括</w:t>
                  </w:r>
                  <w:r w:rsidR="00CC73EE">
                    <w:rPr>
                      <w:rFonts w:eastAsia="標楷體" w:hAnsi="標楷體" w:hint="eastAsia"/>
                    </w:rPr>
                    <w:t>:</w:t>
                  </w:r>
                  <w:r w:rsidR="00CC73EE">
                    <w:rPr>
                      <w:rFonts w:eastAsia="標楷體" w:hAnsi="標楷體" w:hint="eastAsia"/>
                    </w:rPr>
                    <w:t>四部典籍、佛教經典、社會史料與民俗文學及其之</w:t>
                  </w:r>
                  <w:r w:rsidR="00CC73EE" w:rsidRPr="009E63D8">
                    <w:rPr>
                      <w:rFonts w:eastAsia="標楷體" w:hAnsi="標楷體" w:hint="eastAsia"/>
                    </w:rPr>
                    <w:t>文獻、文物與文字價值</w:t>
                  </w:r>
                  <w:r w:rsidR="00CC73EE">
                    <w:rPr>
                      <w:rFonts w:eastAsia="標楷體" w:hAnsi="標楷體" w:hint="eastAsia"/>
                    </w:rPr>
                    <w:t>。透過敦煌所藏之經、史、子、集諸部典籍卷子與廣為傳抄的佛典故事，</w:t>
                  </w:r>
                  <w:r w:rsidR="00CC73EE" w:rsidRPr="0072361E">
                    <w:rPr>
                      <w:rFonts w:eastAsia="標楷體" w:hAnsi="標楷體" w:hint="eastAsia"/>
                    </w:rPr>
                    <w:t>可</w:t>
                  </w:r>
                  <w:r w:rsidR="00CC73EE">
                    <w:rPr>
                      <w:rFonts w:eastAsia="標楷體" w:hAnsi="標楷體" w:hint="eastAsia"/>
                    </w:rPr>
                    <w:t>觀察</w:t>
                  </w:r>
                  <w:r w:rsidR="00CC73EE" w:rsidRPr="0072361E">
                    <w:rPr>
                      <w:rFonts w:eastAsia="標楷體" w:hAnsi="標楷體" w:hint="eastAsia"/>
                    </w:rPr>
                    <w:t>唐</w:t>
                  </w:r>
                  <w:r w:rsidR="00CC73EE">
                    <w:rPr>
                      <w:rFonts w:eastAsia="標楷體" w:hAnsi="標楷體" w:hint="eastAsia"/>
                    </w:rPr>
                    <w:t>代</w:t>
                  </w:r>
                  <w:r w:rsidR="00CC73EE" w:rsidRPr="0072361E">
                    <w:rPr>
                      <w:rFonts w:eastAsia="標楷體" w:hAnsi="標楷體" w:hint="eastAsia"/>
                    </w:rPr>
                    <w:t>中</w:t>
                  </w:r>
                  <w:r w:rsidR="00CC73EE">
                    <w:rPr>
                      <w:rFonts w:eastAsia="標楷體" w:hAnsi="標楷體" w:hint="eastAsia"/>
                    </w:rPr>
                    <w:t>後期社會變化之種種</w:t>
                  </w:r>
                  <w:r w:rsidR="00CC73EE" w:rsidRPr="0072361E">
                    <w:rPr>
                      <w:rFonts w:eastAsia="標楷體" w:hAnsi="標楷體" w:hint="eastAsia"/>
                    </w:rPr>
                    <w:t>，諸如</w:t>
                  </w:r>
                  <w:r w:rsidR="00CC73EE">
                    <w:rPr>
                      <w:rFonts w:eastAsia="標楷體" w:hAnsi="標楷體" w:hint="eastAsia"/>
                    </w:rPr>
                    <w:t>門第升降</w:t>
                  </w:r>
                  <w:r w:rsidR="00CC73EE" w:rsidRPr="0072361E">
                    <w:rPr>
                      <w:rFonts w:eastAsia="標楷體" w:hAnsi="標楷體" w:hint="eastAsia"/>
                    </w:rPr>
                    <w:t>、興衰治亂</w:t>
                  </w:r>
                  <w:r w:rsidR="00CC73EE">
                    <w:rPr>
                      <w:rFonts w:eastAsia="標楷體" w:hAnsi="標楷體" w:hint="eastAsia"/>
                    </w:rPr>
                    <w:t>、地理人文、</w:t>
                  </w:r>
                  <w:r w:rsidR="00CC73EE" w:rsidRPr="0072361E">
                    <w:rPr>
                      <w:rFonts w:eastAsia="標楷體" w:hAnsi="標楷體" w:hint="eastAsia"/>
                    </w:rPr>
                    <w:t>文學藝術之變</w:t>
                  </w:r>
                  <w:r w:rsidR="00CC73EE">
                    <w:rPr>
                      <w:rFonts w:eastAsia="標楷體" w:hAnsi="標楷體" w:hint="eastAsia"/>
                    </w:rPr>
                    <w:t>與醫藥科技之變。並從這些典籍中載錄的宗教信仰、儒家思想與其他相關民生資料的文獻，彙整出中國中世紀的思想教育與社會發展之大致概況。</w:t>
                  </w:r>
                </w:p>
                <w:p w:rsidR="00CC73EE" w:rsidRPr="00CC73EE" w:rsidRDefault="00656B77" w:rsidP="00CC73EE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C73EE" w:rsidRDefault="00656B77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</w:t>
                  </w:r>
                  <w:r w:rsidR="00CC73EE">
                    <w:rPr>
                      <w:rFonts w:eastAsia="標楷體" w:hAnsi="標楷體" w:hint="eastAsia"/>
                    </w:rPr>
                    <w:t>以實際閱讀與講解文獻篇目，了解中世紀敦煌地區之人文思想與歷史概況</w:t>
                  </w:r>
                  <w:r>
                    <w:rPr>
                      <w:rFonts w:eastAsia="標楷體" w:hAnsi="標楷體" w:hint="eastAsia"/>
                    </w:rPr>
                    <w:t>。</w:t>
                  </w:r>
                </w:p>
                <w:p w:rsidR="00CC73EE" w:rsidRPr="000D51EF" w:rsidRDefault="00CC73EE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延伸教材：</w:t>
                  </w:r>
                  <w:r w:rsidRPr="007117CE">
                    <w:rPr>
                      <w:rFonts w:eastAsia="標楷體" w:hint="eastAsia"/>
                    </w:rPr>
                    <w:t>敦煌研究院編《敦煌遺目總目索引新編》，</w:t>
                  </w:r>
                  <w:r>
                    <w:rPr>
                      <w:rFonts w:eastAsia="標楷體" w:hint="eastAsia"/>
                    </w:rPr>
                    <w:t>(</w:t>
                  </w:r>
                  <w:r w:rsidRPr="007117CE">
                    <w:rPr>
                      <w:rFonts w:eastAsia="標楷體" w:hint="eastAsia"/>
                    </w:rPr>
                    <w:t>中華書局，</w:t>
                  </w:r>
                  <w:r w:rsidRPr="007117CE">
                    <w:rPr>
                      <w:rFonts w:eastAsia="標楷體" w:hint="eastAsia"/>
                    </w:rPr>
                    <w:t>2002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9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週：「期中考週」</w:t>
                  </w:r>
                </w:p>
                <w:p w:rsidR="00656B77" w:rsidRPr="00ED305F" w:rsidRDefault="00656B77" w:rsidP="00656B77">
                  <w:pPr>
                    <w:numPr>
                      <w:ilvl w:val="0"/>
                      <w:numId w:val="34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課程內容：期中考試</w:t>
                  </w:r>
                  <w:r w:rsidRPr="00263E9F">
                    <w:rPr>
                      <w:rFonts w:eastAsia="標楷體" w:hAnsi="標楷體" w:hint="eastAsia"/>
                    </w:rPr>
                    <w:t>。</w:t>
                  </w:r>
                </w:p>
                <w:p w:rsidR="00656B77" w:rsidRPr="00CC73EE" w:rsidRDefault="00656B77" w:rsidP="00CC73EE">
                  <w:pPr>
                    <w:numPr>
                      <w:ilvl w:val="0"/>
                      <w:numId w:val="34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課程目標：評量前揭課程理解程度。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10-17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</w:t>
                  </w:r>
                  <w:r w:rsidRPr="00990DBA">
                    <w:rPr>
                      <w:rFonts w:ascii="標楷體" w:eastAsia="標楷體" w:hAnsi="標楷體" w:hint="eastAsia"/>
                      <w:b/>
                    </w:rPr>
                    <w:t>敦煌石窟藝術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一-五」</w:t>
                  </w:r>
                </w:p>
                <w:p w:rsidR="00656B77" w:rsidRPr="00EB2DA5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課程內容：介紹敦煌石窟中的各項藝術，內容包括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>
                    <w:rPr>
                      <w:rFonts w:eastAsia="標楷體" w:hAnsi="標楷體" w:hint="eastAsia"/>
                    </w:rPr>
                    <w:t>石窟壁畫、塑像、圖案花紋、石窟建築規制與石窟中所載錄的舞蹈與音樂圖像。從不同時代與不同品項的敦煌石窟藝術中，探究中國中世紀敦煌地區的人們，其</w:t>
                  </w:r>
                  <w:r w:rsidRPr="00EB2DA5">
                    <w:rPr>
                      <w:rFonts w:eastAsia="標楷體" w:hAnsi="標楷體" w:hint="eastAsia"/>
                    </w:rPr>
                    <w:t>宗教信仰、文化民俗、政治歷史與經濟交通等</w:t>
                  </w:r>
                  <w:r>
                    <w:rPr>
                      <w:rFonts w:eastAsia="標楷體" w:hAnsi="標楷體" w:hint="eastAsia"/>
                    </w:rPr>
                    <w:t>各項日常</w:t>
                  </w:r>
                  <w:r w:rsidRPr="00EB2DA5">
                    <w:rPr>
                      <w:rFonts w:eastAsia="標楷體" w:hAnsi="標楷體" w:hint="eastAsia"/>
                    </w:rPr>
                    <w:t>活動樣貌，也了解</w:t>
                  </w:r>
                  <w:r>
                    <w:rPr>
                      <w:rFonts w:eastAsia="標楷體" w:hAnsi="標楷體" w:hint="eastAsia"/>
                    </w:rPr>
                    <w:t>當時宗教信仰如何全方位浸潤著人們的生活</w:t>
                  </w:r>
                  <w:r w:rsidRPr="00EB2DA5">
                    <w:rPr>
                      <w:rFonts w:eastAsia="標楷體" w:hAnsi="標楷體" w:hint="eastAsia"/>
                    </w:rPr>
                    <w:t>，</w:t>
                  </w:r>
                  <w:r>
                    <w:rPr>
                      <w:rFonts w:eastAsia="標楷體" w:hAnsi="標楷體" w:hint="eastAsia"/>
                    </w:rPr>
                    <w:t>並</w:t>
                  </w:r>
                  <w:r w:rsidRPr="00EB2DA5">
                    <w:rPr>
                      <w:rFonts w:eastAsia="標楷體" w:hAnsi="標楷體" w:hint="eastAsia"/>
                    </w:rPr>
                    <w:t>重現</w:t>
                  </w:r>
                  <w:r>
                    <w:rPr>
                      <w:rFonts w:eastAsia="標楷體" w:hAnsi="標楷體" w:hint="eastAsia"/>
                    </w:rPr>
                    <w:t>路上</w:t>
                  </w:r>
                  <w:r w:rsidRPr="00EB2DA5">
                    <w:rPr>
                      <w:rFonts w:eastAsia="標楷體" w:hAnsi="標楷體" w:hint="eastAsia"/>
                    </w:rPr>
                    <w:t>絲路</w:t>
                  </w:r>
                  <w:r>
                    <w:rPr>
                      <w:rFonts w:eastAsia="標楷體" w:hAnsi="標楷體" w:hint="eastAsia"/>
                    </w:rPr>
                    <w:t>黃金時期的</w:t>
                  </w:r>
                  <w:r w:rsidRPr="00EB2DA5">
                    <w:rPr>
                      <w:rFonts w:eastAsia="標楷體" w:hAnsi="標楷體" w:hint="eastAsia"/>
                    </w:rPr>
                    <w:t>庶民面貌。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教學目標：透過鑑賞石窟中各類宗教藝術，了解中世紀敦煌地區中所呈現之東西文化交流之美。</w:t>
                  </w:r>
                </w:p>
                <w:p w:rsidR="00656B77" w:rsidRPr="0096293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E8526C" w:rsidRDefault="00656B77" w:rsidP="00656B77">
                  <w:pPr>
                    <w:tabs>
                      <w:tab w:val="left" w:pos="730"/>
                    </w:tabs>
                    <w:rPr>
                      <w:rFonts w:eastAsia="標楷體" w:hAnsi="標楷體"/>
                      <w:b/>
                    </w:rPr>
                  </w:pPr>
                  <w:r w:rsidRPr="00E8526C">
                    <w:rPr>
                      <w:rFonts w:ascii="標楷體" w:eastAsia="標楷體" w:hAnsi="標楷體" w:hint="eastAsia"/>
                      <w:b/>
                    </w:rPr>
                    <w:t>█第1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8</w:t>
                  </w:r>
                  <w:r w:rsidRPr="00E8526C">
                    <w:rPr>
                      <w:rFonts w:ascii="標楷體" w:eastAsia="標楷體" w:hAnsi="標楷體" w:hint="eastAsia"/>
                      <w:b/>
                    </w:rPr>
                    <w:t>週「課程回顧與總檢討」</w:t>
                  </w:r>
                </w:p>
                <w:p w:rsidR="00656B77" w:rsidRDefault="00656B77" w:rsidP="00656B77">
                  <w:pPr>
                    <w:pStyle w:val="a8"/>
                    <w:numPr>
                      <w:ilvl w:val="0"/>
                      <w:numId w:val="29"/>
                    </w:numPr>
                    <w:tabs>
                      <w:tab w:val="left" w:pos="730"/>
                    </w:tabs>
                    <w:ind w:leftChars="0" w:left="851" w:hanging="404"/>
                    <w:rPr>
                      <w:rFonts w:ascii="Calibri" w:eastAsia="標楷體" w:hAnsi="Calibri"/>
                    </w:rPr>
                  </w:pPr>
                  <w:r w:rsidRPr="001C01CD">
                    <w:rPr>
                      <w:rFonts w:ascii="Cambria" w:eastAsia="標楷體" w:hAnsi="Cambria" w:hint="eastAsia"/>
                    </w:rPr>
                    <w:lastRenderedPageBreak/>
                    <w:t xml:space="preserve"> </w:t>
                  </w:r>
                  <w:r w:rsidRPr="001C01CD">
                    <w:rPr>
                      <w:rFonts w:ascii="Cambria" w:eastAsia="標楷體" w:hAnsi="Cambria"/>
                    </w:rPr>
                    <w:t>課程內</w:t>
                  </w:r>
                  <w:r w:rsidRPr="001C01CD">
                    <w:rPr>
                      <w:rFonts w:ascii="Calibri" w:eastAsia="標楷體" w:hAnsi="Calibri"/>
                    </w:rPr>
                    <w:t>容：回顧本學期課程，整合本學期之</w:t>
                  </w:r>
                  <w:r>
                    <w:rPr>
                      <w:rFonts w:ascii="Calibri" w:eastAsia="標楷體" w:hAnsi="Calibri" w:hint="eastAsia"/>
                    </w:rPr>
                    <w:t>課程內容</w:t>
                  </w:r>
                  <w:r w:rsidRPr="001C01CD">
                    <w:rPr>
                      <w:rFonts w:ascii="Calibri" w:eastAsia="標楷體" w:hAnsi="Calibri"/>
                    </w:rPr>
                    <w:t>。學生可提出期末課程回饋，意見可用以調整或提供下學期</w:t>
                  </w:r>
                  <w:r w:rsidRPr="001C01CD">
                    <w:rPr>
                      <w:rFonts w:ascii="Calibri" w:eastAsia="標楷體" w:hAnsi="Calibri" w:hint="eastAsia"/>
                    </w:rPr>
                    <w:t>課程內容</w:t>
                  </w:r>
                  <w:r w:rsidRPr="001C01CD">
                    <w:rPr>
                      <w:rFonts w:ascii="Calibri" w:eastAsia="標楷體" w:hAnsi="Calibri"/>
                    </w:rPr>
                    <w:t>或</w:t>
                  </w:r>
                  <w:r>
                    <w:rPr>
                      <w:rFonts w:ascii="Calibri" w:eastAsia="標楷體" w:hAnsi="Calibri"/>
                    </w:rPr>
                    <w:t>主軸規畫之修正</w:t>
                  </w:r>
                  <w:r>
                    <w:rPr>
                      <w:rFonts w:ascii="Calibri" w:eastAsia="標楷體" w:hAnsi="Calibri" w:hint="eastAsia"/>
                    </w:rPr>
                    <w:t>方案</w:t>
                  </w:r>
                  <w:r w:rsidRPr="001C01CD">
                    <w:rPr>
                      <w:rFonts w:ascii="Calibri" w:eastAsia="標楷體" w:hAnsi="Calibri"/>
                    </w:rPr>
                    <w:t>。</w:t>
                  </w:r>
                </w:p>
                <w:p w:rsidR="00656B77" w:rsidRPr="00C02FB8" w:rsidRDefault="00656B77" w:rsidP="00656B77">
                  <w:pPr>
                    <w:pStyle w:val="a8"/>
                    <w:numPr>
                      <w:ilvl w:val="0"/>
                      <w:numId w:val="29"/>
                    </w:numPr>
                    <w:tabs>
                      <w:tab w:val="left" w:pos="730"/>
                    </w:tabs>
                    <w:ind w:leftChars="0" w:left="851" w:hanging="404"/>
                    <w:rPr>
                      <w:rFonts w:ascii="Calibri" w:eastAsia="標楷體" w:hAnsi="Calibri"/>
                    </w:rPr>
                  </w:pPr>
                  <w:r>
                    <w:rPr>
                      <w:rFonts w:ascii="Calibri" w:eastAsia="標楷體" w:hAnsi="Calibri" w:hint="eastAsia"/>
                      <w:kern w:val="0"/>
                    </w:rPr>
                    <w:t xml:space="preserve"> </w:t>
                  </w:r>
                  <w:r w:rsidRPr="001C01CD">
                    <w:rPr>
                      <w:rFonts w:ascii="Calibri" w:eastAsia="標楷體" w:hAnsi="Calibri"/>
                      <w:kern w:val="0"/>
                    </w:rPr>
                    <w:t>教學方法：師生分享、意見回饋與互動。</w:t>
                  </w:r>
                </w:p>
                <w:p w:rsidR="00656B77" w:rsidRPr="001D3D13" w:rsidRDefault="00656B77" w:rsidP="00656B77">
                  <w:pPr>
                    <w:tabs>
                      <w:tab w:val="left" w:pos="730"/>
                    </w:tabs>
                    <w:ind w:left="447"/>
                    <w:rPr>
                      <w:rFonts w:ascii="Calibri" w:eastAsia="標楷體" w:hAnsi="Calibri"/>
                    </w:rPr>
                  </w:pPr>
                </w:p>
              </w:tc>
            </w:tr>
          </w:tbl>
          <w:p w:rsidR="003D344B" w:rsidRPr="00F7300F" w:rsidRDefault="003D344B" w:rsidP="0064781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D185C" w:rsidRPr="005D185C" w:rsidTr="006B67CB">
        <w:trPr>
          <w:trHeight w:val="55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一、敦煌文獻圖版書舉要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上海古籍出版社、法國國家圖書館編《法藏敦煌西域文獻》（三十四冊），上海：上海古籍出版社，1994-2005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上海古籍出版社等編《俄藏敦煌文獻》（十七冊），上海：上海古籍出版社，1992-2001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中國社會科學院歷史研究所等編《英藏敦煌文獻（漢文佛經以外部分）》（十四冊），成都：四川人民出版社，1990-1995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中國國家圖書館編《國家圖書館藏敦煌遺書》，北京：北京圖書館出版社，</w:t>
            </w:r>
            <w:r>
              <w:rPr>
                <w:rFonts w:ascii="標楷體" w:eastAsia="標楷體" w:hint="eastAsia"/>
              </w:rPr>
              <w:t>1999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二、敦煌學與敦煌文學研究重要論著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《中國敦煌學百年文庫》，蘭州：甘肅文化出版社，1999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《敦煌文化叢書》，蘭州：甘肅人民出版社，2000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周紹良、白化文編《敦煌變文論文錄》，上海：上海古籍出版社，1982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林家平、寧強、羅華慶《中國敦煌學史》，北京：北京語言學院出版社，1992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林聰明《敦煌文書學》，台北：新文豐出版公司，1991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高國藩《敦煌學百年史述要》，台北：臺灣商務印書館，2003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張弓主編《敦煌典籍與唐五代歷史文化》，北京：中國社會科學出版社，2006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榮新江《敦煌學十八講》，北京：北京大學出版社，2001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蔣寅主編《中國古代文學通論．隋唐五代卷》，瀋陽：遼寧人民出版社，2005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顏廷亮主編《敦煌文學概論》，蘭州：甘肅人民出版社，</w:t>
            </w:r>
            <w:r>
              <w:rPr>
                <w:rFonts w:ascii="標楷體" w:eastAsia="標楷體" w:hint="eastAsia"/>
              </w:rPr>
              <w:t>1993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三、敦煌文獻目錄與敦煌學研究論著目錄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敦煌研究院編《敦煌遺目總目索引新編》，北京：中華書局，2002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黃永武《敦煌古籍敘錄新編》，台北：新文豐出版公司，1986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榮新江《海外敦煌吐魯番文獻知見錄》，南昌：江西人民出版社，</w:t>
            </w:r>
            <w:r>
              <w:rPr>
                <w:rFonts w:ascii="標楷體" w:eastAsia="標楷體" w:hint="eastAsia"/>
              </w:rPr>
              <w:t>1996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鄭阿財、朱鳳玉主編《1998-2005敦煌學研究論著目錄》，台北：樂學書局，2006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</w:t>
            </w:r>
            <w:r w:rsidRPr="0069275E">
              <w:rPr>
                <w:rFonts w:ascii="標楷體" w:eastAsia="標楷體" w:hint="eastAsia"/>
              </w:rPr>
              <w:t>、敦煌文學各文類之彙校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任半塘《敦煌歌辭總編》，上海：上海古籍出版社，1987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徐　俊《敦煌詩集殘卷輯考》，北京：中華書局，2000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郝春文主編《英藏敦煌社會歷史文獻釋錄》，北京：科學出版社，</w:t>
            </w:r>
            <w:r w:rsidR="00C95B46">
              <w:rPr>
                <w:rFonts w:ascii="標楷體" w:eastAsia="標楷體" w:hint="eastAsia"/>
              </w:rPr>
              <w:t>2001。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張錫厚《全敦煌詩》，北京：作家出版社，2006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張錫厚《敦煌賦彙》，南京：江蘇古籍出版社，1996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黃征、張涌泉校注《敦煌變文校注》，北京：中華書局，1997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（日）池田溫《中國古代寫本識語集錄》，東京：大藏出版株氏會社，1990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3D344B" w:rsidRDefault="00022B2C" w:rsidP="00C56108">
            <w:pPr>
              <w:ind w:firstLineChars="9" w:firstLine="22"/>
              <w:rPr>
                <w:rFonts w:ascii="標楷體" w:eastAsia="標楷體" w:hAnsi="標楷體"/>
              </w:rPr>
            </w:pPr>
            <w:r w:rsidRPr="00B30E64">
              <w:rPr>
                <w:rFonts w:ascii="標楷體" w:eastAsia="標楷體" w:hAnsi="標楷體"/>
              </w:rPr>
              <w:t>其他補充教材，隨堂</w:t>
            </w:r>
            <w:r>
              <w:rPr>
                <w:rFonts w:ascii="標楷體" w:eastAsia="標楷體" w:hAnsi="標楷體" w:hint="eastAsia"/>
              </w:rPr>
              <w:t>補充。</w:t>
            </w:r>
          </w:p>
          <w:p w:rsidR="00454ACA" w:rsidRDefault="00454ACA" w:rsidP="00C56108">
            <w:pPr>
              <w:ind w:firstLineChars="9" w:firstLine="22"/>
              <w:rPr>
                <w:rFonts w:ascii="標楷體" w:eastAsia="標楷體" w:hAnsi="標楷體"/>
              </w:rPr>
            </w:pPr>
          </w:p>
          <w:p w:rsidR="00454ACA" w:rsidRDefault="00454ACA" w:rsidP="00C56108">
            <w:pPr>
              <w:ind w:firstLineChars="9" w:firstLine="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五、敦煌石窟藝術類</w:t>
            </w:r>
          </w:p>
          <w:p w:rsidR="007B038F" w:rsidRDefault="00BF5517" w:rsidP="00C56108">
            <w:pPr>
              <w:ind w:firstLineChars="9" w:firstLine="22"/>
              <w:rPr>
                <w:rFonts w:ascii="標楷體" w:eastAsia="標楷體"/>
              </w:rPr>
            </w:pPr>
            <w:r w:rsidRPr="00BF5517">
              <w:rPr>
                <w:rFonts w:eastAsia="標楷體" w:hint="eastAsia"/>
              </w:rPr>
              <w:t>趙聲良</w:t>
            </w:r>
            <w:r w:rsidRPr="0069275E">
              <w:rPr>
                <w:rFonts w:ascii="標楷體" w:eastAsia="標楷體" w:hint="eastAsia"/>
              </w:rPr>
              <w:t>《</w:t>
            </w:r>
            <w:r w:rsidRPr="00BF5517">
              <w:rPr>
                <w:rFonts w:eastAsia="標楷體" w:hint="eastAsia"/>
              </w:rPr>
              <w:t>敦煌石窟藝術簡史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，北京：中國青年出版社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BF5517" w:rsidRDefault="00BF5517" w:rsidP="00C56108">
            <w:pPr>
              <w:ind w:firstLineChars="9" w:firstLine="22"/>
              <w:rPr>
                <w:rFonts w:ascii="標楷體" w:eastAsia="標楷體"/>
              </w:rPr>
            </w:pPr>
            <w:r w:rsidRPr="00BF5517">
              <w:rPr>
                <w:rFonts w:eastAsia="標楷體" w:hint="eastAsia"/>
              </w:rPr>
              <w:t>柴劍虹</w:t>
            </w:r>
            <w:r>
              <w:rPr>
                <w:rFonts w:eastAsia="標楷體" w:hint="eastAsia"/>
              </w:rPr>
              <w:t>、</w:t>
            </w:r>
            <w:r w:rsidRPr="00BF5517">
              <w:rPr>
                <w:rFonts w:eastAsia="標楷體" w:hint="eastAsia"/>
              </w:rPr>
              <w:t>劉進寶</w:t>
            </w:r>
            <w:r w:rsidRPr="0069275E">
              <w:rPr>
                <w:rFonts w:ascii="標楷體" w:eastAsia="標楷體" w:hint="eastAsia"/>
              </w:rPr>
              <w:t>《</w:t>
            </w:r>
            <w:r>
              <w:rPr>
                <w:rFonts w:eastAsia="標楷體" w:hint="eastAsia"/>
              </w:rPr>
              <w:t>敦煌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，北京：朝華出版社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2018。</w:t>
            </w:r>
          </w:p>
          <w:p w:rsidR="00A26F20" w:rsidRDefault="00A26F20" w:rsidP="00A26F20">
            <w:pPr>
              <w:ind w:firstLineChars="9" w:firstLine="22"/>
              <w:rPr>
                <w:rFonts w:ascii="標楷體" w:eastAsia="標楷體"/>
              </w:rPr>
            </w:pPr>
            <w:r w:rsidRPr="00A26F20">
              <w:rPr>
                <w:rFonts w:eastAsia="標楷體" w:hint="eastAsia"/>
              </w:rPr>
              <w:t>關友惠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解讀敦煌：敦煌裝飾圖案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，上海：華東大學出版社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A26F20" w:rsidRPr="00A26F20" w:rsidRDefault="00A26F20" w:rsidP="00A26F20">
            <w:pPr>
              <w:ind w:firstLineChars="9" w:firstLine="22"/>
              <w:rPr>
                <w:rFonts w:eastAsia="標楷體"/>
              </w:rPr>
            </w:pPr>
            <w:r w:rsidRPr="00A26F20">
              <w:rPr>
                <w:rFonts w:eastAsia="標楷體" w:hint="eastAsia"/>
              </w:rPr>
              <w:t>劉永增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解讀敦煌：敦煌彩塑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，上海：華東大學出版社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A26F20" w:rsidRPr="00A26F20" w:rsidRDefault="00A26F20" w:rsidP="00A26F20">
            <w:pPr>
              <w:ind w:firstLineChars="9" w:firstLine="22"/>
              <w:rPr>
                <w:rFonts w:eastAsia="標楷體"/>
              </w:rPr>
            </w:pPr>
            <w:r w:rsidRPr="00A26F20">
              <w:rPr>
                <w:rFonts w:eastAsia="標楷體" w:hint="eastAsia"/>
              </w:rPr>
              <w:t>李建隆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敦煌壁畫中的樂舞演出與演出空間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，上海:</w:t>
            </w:r>
            <w:r w:rsidRPr="00A26F20">
              <w:rPr>
                <w:rFonts w:eastAsia="標楷體" w:hint="eastAsia"/>
              </w:rPr>
              <w:t>上海書店出版社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2013</w:t>
            </w:r>
            <w:r>
              <w:rPr>
                <w:rFonts w:eastAsia="標楷體" w:hint="eastAsia"/>
              </w:rPr>
              <w:t>。</w:t>
            </w:r>
          </w:p>
          <w:p w:rsidR="00BF5517" w:rsidRPr="005D185C" w:rsidRDefault="00BF5517" w:rsidP="00A26F20">
            <w:pPr>
              <w:rPr>
                <w:rFonts w:eastAsia="標楷體"/>
              </w:rPr>
            </w:pPr>
          </w:p>
        </w:tc>
      </w:tr>
      <w:tr w:rsidR="005D185C" w:rsidRPr="005D185C" w:rsidTr="006B67CB">
        <w:trPr>
          <w:trHeight w:val="215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評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量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方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EFA" w:rsidRDefault="00202EFA" w:rsidP="00202EF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020C8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202EFA" w:rsidRPr="00E3470C" w:rsidRDefault="00202EFA" w:rsidP="00202EFA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454AC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6B67CB" w:rsidRDefault="006B67CB" w:rsidP="006B67C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:rsidR="00022B2C" w:rsidRDefault="00022B2C" w:rsidP="00022B2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 xml:space="preserve"> 課堂參與</w:t>
            </w:r>
            <w:r>
              <w:rPr>
                <w:rFonts w:eastAsia="標楷體" w:hint="eastAsia"/>
              </w:rPr>
              <w:t>（</w:t>
            </w:r>
            <w:r w:rsidR="006B67CB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﹪）</w:t>
            </w:r>
            <w:r w:rsidR="00A3777D">
              <w:rPr>
                <w:rFonts w:eastAsia="標楷體" w:hint="eastAsia"/>
              </w:rPr>
              <w:t>:</w:t>
            </w:r>
            <w:r w:rsidR="00202EFA">
              <w:rPr>
                <w:rFonts w:ascii="標楷體" w:eastAsia="標楷體" w:hAnsi="標楷體" w:cs="新細明體"/>
                <w:kern w:val="0"/>
              </w:rPr>
              <w:t xml:space="preserve"> 到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>課</w:t>
            </w:r>
            <w:r w:rsidR="00202EFA" w:rsidRPr="00AF22C8">
              <w:rPr>
                <w:rFonts w:ascii="標楷體" w:eastAsia="標楷體" w:hAnsi="標楷體" w:cs="新細明體"/>
                <w:kern w:val="0"/>
              </w:rPr>
              <w:t>聆聽</w:t>
            </w:r>
            <w:r w:rsidR="00C362FC">
              <w:rPr>
                <w:rFonts w:ascii="標楷體" w:eastAsia="標楷體" w:hAnsi="標楷體" w:cs="新細明體" w:hint="eastAsia"/>
                <w:kern w:val="0"/>
              </w:rPr>
              <w:t>、小組討論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>與其他課堂參與及表現。</w:t>
            </w:r>
          </w:p>
          <w:p w:rsidR="00022B2C" w:rsidRDefault="00022B2C" w:rsidP="00022B2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期中測驗（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﹪）</w:t>
            </w:r>
            <w:r w:rsidR="00CE067A">
              <w:rPr>
                <w:rFonts w:eastAsia="標楷體" w:hint="eastAsia"/>
              </w:rPr>
              <w:t xml:space="preserve">: </w:t>
            </w:r>
            <w:r w:rsidR="00CE067A">
              <w:rPr>
                <w:rFonts w:eastAsia="標楷體" w:hint="eastAsia"/>
              </w:rPr>
              <w:t>紙筆測驗</w:t>
            </w:r>
            <w:r w:rsidR="0069275E">
              <w:rPr>
                <w:rFonts w:eastAsia="標楷體" w:hint="eastAsia"/>
              </w:rPr>
              <w:t>。</w:t>
            </w:r>
          </w:p>
          <w:p w:rsidR="00022B2C" w:rsidRDefault="00022B2C" w:rsidP="006B67CB">
            <w:pPr>
              <w:spacing w:line="0" w:lineRule="atLeast"/>
              <w:ind w:left="2290" w:hangingChars="954" w:hanging="229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 w:rsidR="006B67CB">
              <w:rPr>
                <w:rFonts w:eastAsia="標楷體" w:hint="eastAsia"/>
              </w:rPr>
              <w:t>個人</w:t>
            </w:r>
            <w:r>
              <w:rPr>
                <w:rFonts w:eastAsia="標楷體" w:hint="eastAsia"/>
              </w:rPr>
              <w:t>報告（</w:t>
            </w:r>
            <w:r w:rsidR="0069275E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﹪）</w:t>
            </w:r>
            <w:r w:rsidR="00CE067A">
              <w:rPr>
                <w:rFonts w:eastAsia="標楷體" w:hint="eastAsia"/>
              </w:rPr>
              <w:t>:</w:t>
            </w:r>
            <w:r w:rsidR="0051767B">
              <w:rPr>
                <w:rFonts w:eastAsia="標楷體" w:hint="eastAsia"/>
              </w:rPr>
              <w:t xml:space="preserve"> </w:t>
            </w:r>
            <w:r w:rsidR="0069275E">
              <w:rPr>
                <w:rFonts w:eastAsia="標楷體" w:hint="eastAsia"/>
              </w:rPr>
              <w:t>學期末需以本學期課堂內容為主題</w:t>
            </w:r>
            <w:r w:rsidR="0069275E">
              <w:rPr>
                <w:rFonts w:eastAsia="標楷體" w:hint="eastAsia"/>
              </w:rPr>
              <w:t>(</w:t>
            </w:r>
            <w:r w:rsidR="0069275E">
              <w:rPr>
                <w:rFonts w:eastAsia="標楷體" w:hint="eastAsia"/>
              </w:rPr>
              <w:t>或相關範疇</w:t>
            </w:r>
            <w:r w:rsidR="0069275E">
              <w:rPr>
                <w:rFonts w:eastAsia="標楷體" w:hint="eastAsia"/>
              </w:rPr>
              <w:t>)</w:t>
            </w:r>
            <w:r w:rsidR="0069275E">
              <w:rPr>
                <w:rFonts w:eastAsia="標楷體" w:hint="eastAsia"/>
              </w:rPr>
              <w:t>，撰寫書面報告乙份</w:t>
            </w:r>
            <w:r w:rsidR="0069275E">
              <w:rPr>
                <w:rFonts w:eastAsia="標楷體" w:hint="eastAsia"/>
              </w:rPr>
              <w:t>(1000</w:t>
            </w:r>
            <w:r w:rsidR="0069275E">
              <w:rPr>
                <w:rFonts w:eastAsia="標楷體" w:hint="eastAsia"/>
              </w:rPr>
              <w:t>字</w:t>
            </w:r>
            <w:r w:rsidR="0069275E">
              <w:rPr>
                <w:rFonts w:eastAsia="標楷體" w:hint="eastAsia"/>
              </w:rPr>
              <w:t>)</w:t>
            </w:r>
            <w:r w:rsidR="00CE067A" w:rsidRPr="00CE067A">
              <w:rPr>
                <w:rFonts w:eastAsia="標楷體" w:hint="eastAsia"/>
              </w:rPr>
              <w:t>。</w:t>
            </w:r>
          </w:p>
          <w:p w:rsidR="0069275E" w:rsidRPr="00022B2C" w:rsidRDefault="0069275E" w:rsidP="00202EFA">
            <w:pPr>
              <w:spacing w:line="0" w:lineRule="atLeast"/>
              <w:ind w:left="2290" w:hangingChars="954" w:hanging="2290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>學習紀錄</w:t>
            </w:r>
            <w:r>
              <w:rPr>
                <w:rFonts w:ascii="標楷體" w:eastAsia="標楷體" w:hAnsi="標楷體" w:cs="新細明體" w:hint="eastAsia"/>
                <w:kern w:val="0"/>
              </w:rPr>
              <w:t>(20</w:t>
            </w:r>
            <w:r w:rsidRPr="00AF22C8">
              <w:rPr>
                <w:rFonts w:ascii="標楷體" w:eastAsia="標楷體" w:hAnsi="標楷體" w:cs="新細明體"/>
                <w:kern w:val="0"/>
              </w:rPr>
              <w:t>%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)</w:t>
            </w:r>
            <w:r w:rsidRPr="00AF22C8">
              <w:rPr>
                <w:rFonts w:ascii="標楷體" w:eastAsia="標楷體" w:hAnsi="標楷體" w:cs="新細明體"/>
                <w:kern w:val="0"/>
              </w:rPr>
              <w:t>:</w:t>
            </w:r>
            <w:r w:rsidR="0051767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020C8C">
              <w:rPr>
                <w:rFonts w:ascii="標楷體" w:eastAsia="標楷體" w:hAnsi="標楷體" w:cs="新細明體" w:hint="eastAsia"/>
                <w:kern w:val="0"/>
              </w:rPr>
              <w:t>課堂筆記與隨堂學習紀錄。</w:t>
            </w:r>
          </w:p>
        </w:tc>
      </w:tr>
      <w:tr w:rsidR="006B67CB" w:rsidRPr="005D185C" w:rsidTr="006B67C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CB" w:rsidRPr="00AA7A2D" w:rsidRDefault="006B67CB" w:rsidP="006B67CB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7CB" w:rsidRPr="00572C78" w:rsidRDefault="006B67CB" w:rsidP="006B67CB">
            <w:pPr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AA7A2D">
              <w:rPr>
                <w:rFonts w:eastAsia="標楷體" w:hint="eastAsia"/>
              </w:rPr>
              <w:t>自編教材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教科書作者提供</w:t>
            </w:r>
          </w:p>
        </w:tc>
      </w:tr>
      <w:tr w:rsidR="006B67CB" w:rsidRPr="005D185C" w:rsidTr="006B67C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CB" w:rsidRPr="00AA7A2D" w:rsidRDefault="006B67CB" w:rsidP="006B67CB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7CB" w:rsidRPr="00572C78" w:rsidRDefault="006B67CB" w:rsidP="006B67CB">
            <w:pPr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AA7A2D">
              <w:rPr>
                <w:rFonts w:eastAsia="標楷體" w:hint="eastAsia"/>
              </w:rPr>
              <w:t>投影片講述</w:t>
            </w:r>
            <w:r w:rsidRPr="00AA7A2D">
              <w:rPr>
                <w:rFonts w:eastAsia="標楷體" w:hint="eastAsia"/>
              </w:rPr>
              <w:t xml:space="preserve">  </w:t>
            </w:r>
            <w:r w:rsidRPr="00572C78">
              <w:rPr>
                <w:rFonts w:ascii="新細明體" w:hAnsi="新細明體"/>
              </w:rPr>
              <w:t>■</w:t>
            </w:r>
            <w:r w:rsidRPr="00AA7A2D">
              <w:rPr>
                <w:rFonts w:eastAsia="標楷體" w:hint="eastAsia"/>
              </w:rPr>
              <w:t>板書講述</w:t>
            </w:r>
          </w:p>
        </w:tc>
      </w:tr>
      <w:tr w:rsidR="006B67CB" w:rsidRPr="005D185C" w:rsidTr="006B67C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CB" w:rsidRPr="00AA7A2D" w:rsidRDefault="006B67CB" w:rsidP="006B67CB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7CB" w:rsidRPr="00572C78" w:rsidRDefault="00181877" w:rsidP="006B67C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6B67CB" w:rsidRPr="00AA7A2D">
              <w:rPr>
                <w:rFonts w:eastAsia="標楷體" w:hint="eastAsia"/>
              </w:rPr>
              <w:t>課程網站</w:t>
            </w:r>
            <w:r w:rsidR="006B67CB" w:rsidRPr="00AA7A2D">
              <w:rPr>
                <w:rFonts w:eastAsia="標楷體" w:hint="eastAsia"/>
              </w:rPr>
              <w:t xml:space="preserve">  </w:t>
            </w:r>
            <w:r w:rsidR="006B67CB" w:rsidRPr="00572C78">
              <w:rPr>
                <w:rFonts w:ascii="新細明體" w:hAnsi="新細明體"/>
              </w:rPr>
              <w:t>■</w:t>
            </w:r>
            <w:r w:rsidR="006B67CB" w:rsidRPr="00AA7A2D">
              <w:rPr>
                <w:rFonts w:eastAsia="標楷體" w:hint="eastAsia"/>
              </w:rPr>
              <w:t>教材電子檔供下載</w:t>
            </w:r>
            <w:r w:rsidR="006B67CB" w:rsidRPr="00AA7A2D">
              <w:rPr>
                <w:rFonts w:eastAsia="標楷體" w:hint="eastAsia"/>
              </w:rPr>
              <w:t xml:space="preserve">  </w:t>
            </w:r>
            <w:r w:rsidR="006B67CB">
              <w:rPr>
                <w:rFonts w:eastAsia="標楷體" w:hint="eastAsia"/>
              </w:rPr>
              <w:t>□</w:t>
            </w:r>
            <w:r w:rsidR="006B67CB" w:rsidRPr="00AA7A2D">
              <w:rPr>
                <w:rFonts w:eastAsia="標楷體" w:hint="eastAsia"/>
              </w:rPr>
              <w:t>實習網站</w:t>
            </w:r>
          </w:p>
        </w:tc>
      </w:tr>
      <w:tr w:rsidR="005D185C" w:rsidRPr="005D185C" w:rsidTr="006B67CB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2A2" w:rsidRPr="005D185C" w:rsidRDefault="00F512A2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通識課程</w:t>
                  </w:r>
                </w:p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本課程能培養學生此項核心能力者請打</w:t>
                  </w:r>
                  <w:r w:rsidRPr="005D185C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5D185C">
                    <w:rPr>
                      <w:rFonts w:eastAsia="標楷體"/>
                    </w:rPr>
                    <w:t xml:space="preserve"> 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5D185C">
                    <w:rPr>
                      <w:rFonts w:eastAsia="標楷體" w:hAnsi="標楷體"/>
                      <w:sz w:val="22"/>
                      <w:szCs w:val="22"/>
                    </w:rPr>
                    <w:t>請複選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3~5</w:t>
                  </w:r>
                  <w:r w:rsidRPr="005D185C">
                    <w:rPr>
                      <w:rFonts w:eastAsia="標楷體" w:hAnsi="標楷體"/>
                      <w:sz w:val="22"/>
                      <w:szCs w:val="22"/>
                    </w:rPr>
                    <w:t>項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)</w:t>
                  </w:r>
                </w:p>
              </w:tc>
            </w:tr>
            <w:tr w:rsidR="005D185C" w:rsidRPr="005D185C" w:rsidTr="00283BD9">
              <w:tc>
                <w:tcPr>
                  <w:tcW w:w="2847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(1)</w:t>
                  </w:r>
                  <w:r w:rsidRPr="005D185C">
                    <w:rPr>
                      <w:rFonts w:eastAsia="標楷體" w:hAnsi="標楷體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512A2" w:rsidRPr="005D185C" w:rsidRDefault="00F512A2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5D185C">
                    <w:rPr>
                      <w:rFonts w:ascii="Times New Roman" w:eastAsia="標楷體" w:hAnsi="標楷體" w:cs="Times New Roman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F512A2" w:rsidRPr="005D185C" w:rsidRDefault="00F512A2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62A1A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(2)</w:t>
                  </w:r>
                  <w:r w:rsidRPr="005D185C">
                    <w:rPr>
                      <w:rFonts w:eastAsia="標楷體" w:hAnsi="標楷體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283BD9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(3)</w:t>
                  </w:r>
                  <w:r w:rsidRPr="005D185C">
                    <w:rPr>
                      <w:rFonts w:eastAsia="標楷體" w:hAnsi="標楷體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283BD9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5D185C" w:rsidRPr="005D185C" w:rsidTr="0022464B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(4)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283BD9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(5)</w:t>
                  </w:r>
                  <w:r w:rsidRPr="005D185C">
                    <w:rPr>
                      <w:rFonts w:eastAsia="標楷體" w:hAnsi="標楷體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C50715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(6)</w:t>
                  </w:r>
                  <w:r w:rsidRPr="005D185C">
                    <w:rPr>
                      <w:rFonts w:eastAsia="標楷體" w:hAnsi="標楷體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6B67CB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v</w:t>
                  </w: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(7)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(8)</w:t>
                  </w:r>
                  <w:r w:rsidRPr="005D185C">
                    <w:rPr>
                      <w:rFonts w:eastAsia="標楷體" w:hAnsi="標楷體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380B88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(9)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6B67CB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v</w:t>
                  </w:r>
                </w:p>
              </w:tc>
            </w:tr>
          </w:tbl>
          <w:p w:rsidR="00F512A2" w:rsidRPr="005D185C" w:rsidRDefault="00F512A2" w:rsidP="00D46F94">
            <w:pPr>
              <w:spacing w:beforeLines="50" w:before="180" w:line="0" w:lineRule="atLeast"/>
              <w:ind w:left="674" w:hangingChars="281" w:hanging="674"/>
              <w:rPr>
                <w:rFonts w:eastAsia="標楷體"/>
              </w:rPr>
            </w:pPr>
          </w:p>
        </w:tc>
      </w:tr>
      <w:tr w:rsidR="006B67CB" w:rsidRPr="005D185C" w:rsidTr="006B67CB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備</w:t>
            </w:r>
            <w:r w:rsidRPr="005D185C">
              <w:rPr>
                <w:rFonts w:eastAsia="標楷體"/>
              </w:rPr>
              <w:t xml:space="preserve">          </w:t>
            </w:r>
            <w:r w:rsidRPr="005D185C">
              <w:rPr>
                <w:rFonts w:eastAsia="標楷體" w:hAnsi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學系：通識教育中心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李映瑾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6B67CB" w:rsidRPr="005D185C" w:rsidTr="00CD7724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教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師</w:t>
            </w: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教授</w:t>
            </w:r>
            <w:r w:rsidRPr="005D185C">
              <w:rPr>
                <w:rFonts w:eastAsia="標楷體"/>
              </w:rPr>
              <w:t xml:space="preserve">     </w:t>
            </w: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副教授</w:t>
            </w:r>
            <w:r w:rsidRPr="005D185C"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 w:rsidRPr="005D185C">
              <w:rPr>
                <w:rFonts w:eastAsia="標楷體" w:hAnsi="標楷體"/>
              </w:rPr>
              <w:t>助理教授</w:t>
            </w:r>
            <w:r w:rsidRPr="005D185C">
              <w:rPr>
                <w:rFonts w:eastAsia="標楷體"/>
              </w:rPr>
              <w:t xml:space="preserve">     </w:t>
            </w: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講師</w:t>
            </w:r>
          </w:p>
        </w:tc>
      </w:tr>
      <w:tr w:rsidR="006B67CB" w:rsidRPr="005D185C" w:rsidTr="00CD7724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簡單學、經歷及研究領域：</w:t>
            </w:r>
          </w:p>
          <w:tbl>
            <w:tblPr>
              <w:tblpPr w:leftFromText="180" w:rightFromText="180" w:vertAnchor="text" w:horzAnchor="margin" w:tblpXSpec="center" w:tblpY="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6641"/>
            </w:tblGrid>
            <w:tr w:rsidR="006B67CB" w:rsidRPr="00F828BB" w:rsidTr="000D30D9">
              <w:tc>
                <w:tcPr>
                  <w:tcW w:w="1195" w:type="dxa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現任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國立中正大學通識教育中心</w:t>
                  </w:r>
                  <w:r>
                    <w:rPr>
                      <w:rFonts w:ascii="標楷體" w:eastAsia="標楷體" w:hAnsi="標楷體" w:hint="eastAsia"/>
                    </w:rPr>
                    <w:t>專案助理教授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Merge w:val="restart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學歷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</w:t>
                  </w:r>
                  <w:r>
                    <w:rPr>
                      <w:rFonts w:ascii="標楷體" w:eastAsia="標楷體" w:hAnsi="標楷體" w:hint="eastAsia"/>
                    </w:rPr>
                    <w:t>中正</w:t>
                  </w:r>
                  <w:r w:rsidRPr="00F828BB">
                    <w:rPr>
                      <w:rFonts w:ascii="標楷體" w:eastAsia="標楷體" w:hAnsi="標楷體"/>
                    </w:rPr>
                    <w:t>大學</w:t>
                  </w:r>
                  <w:r>
                    <w:rPr>
                      <w:rFonts w:ascii="標楷體" w:eastAsia="標楷體" w:hAnsi="標楷體" w:hint="eastAsia"/>
                    </w:rPr>
                    <w:t>中文</w:t>
                  </w:r>
                  <w:r w:rsidRPr="00F828BB">
                    <w:rPr>
                      <w:rFonts w:ascii="標楷體" w:eastAsia="標楷體" w:hAnsi="標楷體"/>
                    </w:rPr>
                    <w:t>所博士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Merge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國立中正大學中文所碩士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學術專長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DFMing-Md-HK-BF" w:hint="eastAsia"/>
                    </w:rPr>
                    <w:t>中國古典文學、閱讀寫作引導</w:t>
                  </w:r>
                </w:p>
              </w:tc>
            </w:tr>
          </w:tbl>
          <w:p w:rsidR="006B67CB" w:rsidRPr="006B67CB" w:rsidRDefault="006B67CB" w:rsidP="006B67CB">
            <w:pPr>
              <w:spacing w:line="0" w:lineRule="atLeast"/>
              <w:rPr>
                <w:rFonts w:eastAsia="標楷體"/>
              </w:rPr>
            </w:pPr>
          </w:p>
        </w:tc>
      </w:tr>
      <w:tr w:rsidR="006B67CB" w:rsidRPr="005D185C" w:rsidTr="00CD7724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Pr="005D185C" w:rsidRDefault="00010195">
      <w:pPr>
        <w:rPr>
          <w:rFonts w:eastAsia="標楷體"/>
        </w:rPr>
      </w:pPr>
    </w:p>
    <w:sectPr w:rsidR="00010195" w:rsidRPr="005D185C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94" w:rsidRDefault="00FB3994" w:rsidP="00F53800">
      <w:r>
        <w:separator/>
      </w:r>
    </w:p>
  </w:endnote>
  <w:endnote w:type="continuationSeparator" w:id="0">
    <w:p w:rsidR="00FB3994" w:rsidRDefault="00FB3994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Ming-Md-HK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94" w:rsidRDefault="00FB3994" w:rsidP="00F53800">
      <w:r>
        <w:separator/>
      </w:r>
    </w:p>
  </w:footnote>
  <w:footnote w:type="continuationSeparator" w:id="0">
    <w:p w:rsidR="00FB3994" w:rsidRDefault="00FB3994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DD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1037A6F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03405D2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05222049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 w15:restartNumberingAfterBreak="0">
    <w:nsid w:val="0A213362"/>
    <w:multiLevelType w:val="hybridMultilevel"/>
    <w:tmpl w:val="021E7444"/>
    <w:lvl w:ilvl="0" w:tplc="7F2E8C0A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0C3A31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195B6D9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1AFA1B15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 w15:restartNumberingAfterBreak="0">
    <w:nsid w:val="23CE4F87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 w15:restartNumberingAfterBreak="0">
    <w:nsid w:val="24C438EB"/>
    <w:multiLevelType w:val="hybridMultilevel"/>
    <w:tmpl w:val="CFA8F4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A800A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1" w15:restartNumberingAfterBreak="0">
    <w:nsid w:val="2D1E1BA1"/>
    <w:multiLevelType w:val="hybridMultilevel"/>
    <w:tmpl w:val="0BEEF8E8"/>
    <w:lvl w:ilvl="0" w:tplc="8092D07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2E1B00BB"/>
    <w:multiLevelType w:val="hybridMultilevel"/>
    <w:tmpl w:val="3072E73E"/>
    <w:lvl w:ilvl="0" w:tplc="B9E0539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3" w15:restartNumberingAfterBreak="0">
    <w:nsid w:val="318E4EC7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4" w15:restartNumberingAfterBreak="0">
    <w:nsid w:val="31D86946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5" w15:restartNumberingAfterBreak="0">
    <w:nsid w:val="32E831D2"/>
    <w:multiLevelType w:val="hybridMultilevel"/>
    <w:tmpl w:val="8D6E1574"/>
    <w:lvl w:ilvl="0" w:tplc="EFA051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6" w15:restartNumberingAfterBreak="0">
    <w:nsid w:val="34C112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7" w15:restartNumberingAfterBreak="0">
    <w:nsid w:val="36E10AC0"/>
    <w:multiLevelType w:val="hybridMultilevel"/>
    <w:tmpl w:val="1CB014B2"/>
    <w:lvl w:ilvl="0" w:tplc="46D49178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8" w15:restartNumberingAfterBreak="0">
    <w:nsid w:val="38345FA8"/>
    <w:multiLevelType w:val="hybridMultilevel"/>
    <w:tmpl w:val="8D6E1574"/>
    <w:lvl w:ilvl="0" w:tplc="EFA051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9" w15:restartNumberingAfterBreak="0">
    <w:nsid w:val="3AF34E08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0" w15:restartNumberingAfterBreak="0">
    <w:nsid w:val="3C67758A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1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2" w15:restartNumberingAfterBreak="0">
    <w:nsid w:val="41812F4B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6B1F4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4" w15:restartNumberingAfterBreak="0">
    <w:nsid w:val="450D4F1F"/>
    <w:multiLevelType w:val="hybridMultilevel"/>
    <w:tmpl w:val="42E6E2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5396D9D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6" w15:restartNumberingAfterBreak="0">
    <w:nsid w:val="4F4A0B3E"/>
    <w:multiLevelType w:val="hybridMultilevel"/>
    <w:tmpl w:val="0A688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4D509C"/>
    <w:multiLevelType w:val="hybridMultilevel"/>
    <w:tmpl w:val="1D360E16"/>
    <w:lvl w:ilvl="0" w:tplc="4270571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8" w15:restartNumberingAfterBreak="0">
    <w:nsid w:val="51851783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9" w15:restartNumberingAfterBreak="0">
    <w:nsid w:val="52037DC1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0" w15:restartNumberingAfterBreak="0">
    <w:nsid w:val="54492F0B"/>
    <w:multiLevelType w:val="hybridMultilevel"/>
    <w:tmpl w:val="DA78CDF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B7271B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2" w15:restartNumberingAfterBreak="0">
    <w:nsid w:val="5F453241"/>
    <w:multiLevelType w:val="hybridMultilevel"/>
    <w:tmpl w:val="C602AD0C"/>
    <w:lvl w:ilvl="0" w:tplc="9E2A28C8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3" w15:restartNumberingAfterBreak="0">
    <w:nsid w:val="653B4A1C"/>
    <w:multiLevelType w:val="hybridMultilevel"/>
    <w:tmpl w:val="9C90C8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5E552F8"/>
    <w:multiLevelType w:val="hybridMultilevel"/>
    <w:tmpl w:val="455C2768"/>
    <w:lvl w:ilvl="0" w:tplc="AC44360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5" w15:restartNumberingAfterBreak="0">
    <w:nsid w:val="67F321B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6" w15:restartNumberingAfterBreak="0">
    <w:nsid w:val="6C251D8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7" w15:restartNumberingAfterBreak="0">
    <w:nsid w:val="6F7A600B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8" w15:restartNumberingAfterBreak="0">
    <w:nsid w:val="768B715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9" w15:restartNumberingAfterBreak="0">
    <w:nsid w:val="7A101A31"/>
    <w:multiLevelType w:val="hybridMultilevel"/>
    <w:tmpl w:val="259C2506"/>
    <w:lvl w:ilvl="0" w:tplc="D8D2838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0" w15:restartNumberingAfterBreak="0">
    <w:nsid w:val="7C907947"/>
    <w:multiLevelType w:val="hybridMultilevel"/>
    <w:tmpl w:val="10DC43FE"/>
    <w:lvl w:ilvl="0" w:tplc="DE2E4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30"/>
  </w:num>
  <w:num w:numId="3">
    <w:abstractNumId w:val="9"/>
  </w:num>
  <w:num w:numId="4">
    <w:abstractNumId w:val="33"/>
  </w:num>
  <w:num w:numId="5">
    <w:abstractNumId w:val="26"/>
  </w:num>
  <w:num w:numId="6">
    <w:abstractNumId w:val="21"/>
  </w:num>
  <w:num w:numId="7">
    <w:abstractNumId w:val="12"/>
  </w:num>
  <w:num w:numId="8">
    <w:abstractNumId w:val="8"/>
  </w:num>
  <w:num w:numId="9">
    <w:abstractNumId w:val="28"/>
  </w:num>
  <w:num w:numId="10">
    <w:abstractNumId w:val="18"/>
  </w:num>
  <w:num w:numId="11">
    <w:abstractNumId w:val="17"/>
  </w:num>
  <w:num w:numId="12">
    <w:abstractNumId w:val="39"/>
  </w:num>
  <w:num w:numId="13">
    <w:abstractNumId w:val="27"/>
  </w:num>
  <w:num w:numId="14">
    <w:abstractNumId w:val="32"/>
  </w:num>
  <w:num w:numId="15">
    <w:abstractNumId w:val="34"/>
  </w:num>
  <w:num w:numId="16">
    <w:abstractNumId w:val="14"/>
  </w:num>
  <w:num w:numId="17">
    <w:abstractNumId w:val="3"/>
  </w:num>
  <w:num w:numId="18">
    <w:abstractNumId w:val="29"/>
  </w:num>
  <w:num w:numId="19">
    <w:abstractNumId w:val="13"/>
  </w:num>
  <w:num w:numId="20">
    <w:abstractNumId w:val="40"/>
  </w:num>
  <w:num w:numId="21">
    <w:abstractNumId w:val="11"/>
  </w:num>
  <w:num w:numId="22">
    <w:abstractNumId w:val="4"/>
  </w:num>
  <w:num w:numId="23">
    <w:abstractNumId w:val="31"/>
  </w:num>
  <w:num w:numId="24">
    <w:abstractNumId w:val="25"/>
  </w:num>
  <w:num w:numId="25">
    <w:abstractNumId w:val="19"/>
  </w:num>
  <w:num w:numId="26">
    <w:abstractNumId w:val="7"/>
  </w:num>
  <w:num w:numId="27">
    <w:abstractNumId w:val="15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6"/>
  </w:num>
  <w:num w:numId="32">
    <w:abstractNumId w:val="20"/>
  </w:num>
  <w:num w:numId="33">
    <w:abstractNumId w:val="5"/>
  </w:num>
  <w:num w:numId="34">
    <w:abstractNumId w:val="0"/>
  </w:num>
  <w:num w:numId="35">
    <w:abstractNumId w:val="37"/>
  </w:num>
  <w:num w:numId="36">
    <w:abstractNumId w:val="2"/>
  </w:num>
  <w:num w:numId="37">
    <w:abstractNumId w:val="23"/>
  </w:num>
  <w:num w:numId="38">
    <w:abstractNumId w:val="35"/>
  </w:num>
  <w:num w:numId="39">
    <w:abstractNumId w:val="36"/>
  </w:num>
  <w:num w:numId="40">
    <w:abstractNumId w:val="10"/>
  </w:num>
  <w:num w:numId="41">
    <w:abstractNumId w:val="3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10195"/>
    <w:rsid w:val="00020C8C"/>
    <w:rsid w:val="00022B2C"/>
    <w:rsid w:val="00033123"/>
    <w:rsid w:val="000563FD"/>
    <w:rsid w:val="000604D7"/>
    <w:rsid w:val="000621F7"/>
    <w:rsid w:val="0008085D"/>
    <w:rsid w:val="00084F53"/>
    <w:rsid w:val="0008534C"/>
    <w:rsid w:val="000A2001"/>
    <w:rsid w:val="000C571C"/>
    <w:rsid w:val="000D51EF"/>
    <w:rsid w:val="0010564F"/>
    <w:rsid w:val="00123AC0"/>
    <w:rsid w:val="00180BA5"/>
    <w:rsid w:val="00181877"/>
    <w:rsid w:val="00191FF4"/>
    <w:rsid w:val="001C3BB8"/>
    <w:rsid w:val="001D3D13"/>
    <w:rsid w:val="001E2D9D"/>
    <w:rsid w:val="001E7409"/>
    <w:rsid w:val="001F59EF"/>
    <w:rsid w:val="00202EFA"/>
    <w:rsid w:val="00205B84"/>
    <w:rsid w:val="0021043E"/>
    <w:rsid w:val="00283BD9"/>
    <w:rsid w:val="002A7381"/>
    <w:rsid w:val="002F54EC"/>
    <w:rsid w:val="00310BC0"/>
    <w:rsid w:val="003A6F5D"/>
    <w:rsid w:val="003D344B"/>
    <w:rsid w:val="00425EE7"/>
    <w:rsid w:val="00443BFE"/>
    <w:rsid w:val="00454ACA"/>
    <w:rsid w:val="004D359B"/>
    <w:rsid w:val="0050410E"/>
    <w:rsid w:val="005061AA"/>
    <w:rsid w:val="00507C23"/>
    <w:rsid w:val="0051031D"/>
    <w:rsid w:val="0051767B"/>
    <w:rsid w:val="00566D68"/>
    <w:rsid w:val="00574387"/>
    <w:rsid w:val="00576083"/>
    <w:rsid w:val="005D185C"/>
    <w:rsid w:val="005D7415"/>
    <w:rsid w:val="005F5CDF"/>
    <w:rsid w:val="0060038E"/>
    <w:rsid w:val="0060136E"/>
    <w:rsid w:val="00623BED"/>
    <w:rsid w:val="00645AAA"/>
    <w:rsid w:val="00647814"/>
    <w:rsid w:val="006504E6"/>
    <w:rsid w:val="006524F5"/>
    <w:rsid w:val="00656B77"/>
    <w:rsid w:val="00685B27"/>
    <w:rsid w:val="0069275E"/>
    <w:rsid w:val="00696F3F"/>
    <w:rsid w:val="006B0B2B"/>
    <w:rsid w:val="006B67CB"/>
    <w:rsid w:val="006C0FC5"/>
    <w:rsid w:val="006C1882"/>
    <w:rsid w:val="006D0891"/>
    <w:rsid w:val="007117CE"/>
    <w:rsid w:val="0072361E"/>
    <w:rsid w:val="0072692B"/>
    <w:rsid w:val="007352B6"/>
    <w:rsid w:val="00756E6D"/>
    <w:rsid w:val="007A274C"/>
    <w:rsid w:val="007A3F83"/>
    <w:rsid w:val="007B038F"/>
    <w:rsid w:val="007B7471"/>
    <w:rsid w:val="007E655A"/>
    <w:rsid w:val="008153E0"/>
    <w:rsid w:val="008238AD"/>
    <w:rsid w:val="008762E1"/>
    <w:rsid w:val="008B6A42"/>
    <w:rsid w:val="008C4E67"/>
    <w:rsid w:val="008D7ACB"/>
    <w:rsid w:val="008F3698"/>
    <w:rsid w:val="008F58DE"/>
    <w:rsid w:val="009205CF"/>
    <w:rsid w:val="009328E1"/>
    <w:rsid w:val="00990DBA"/>
    <w:rsid w:val="009E63D8"/>
    <w:rsid w:val="00A15323"/>
    <w:rsid w:val="00A24ECE"/>
    <w:rsid w:val="00A26F20"/>
    <w:rsid w:val="00A3777D"/>
    <w:rsid w:val="00A4115D"/>
    <w:rsid w:val="00A73043"/>
    <w:rsid w:val="00AB2975"/>
    <w:rsid w:val="00B079BE"/>
    <w:rsid w:val="00B20E3F"/>
    <w:rsid w:val="00B23AF1"/>
    <w:rsid w:val="00B32F36"/>
    <w:rsid w:val="00B600BA"/>
    <w:rsid w:val="00B82B01"/>
    <w:rsid w:val="00BE1389"/>
    <w:rsid w:val="00BF5517"/>
    <w:rsid w:val="00C02FB8"/>
    <w:rsid w:val="00C22A11"/>
    <w:rsid w:val="00C362FC"/>
    <w:rsid w:val="00C402B8"/>
    <w:rsid w:val="00C462EF"/>
    <w:rsid w:val="00C56108"/>
    <w:rsid w:val="00C95B46"/>
    <w:rsid w:val="00CC73EE"/>
    <w:rsid w:val="00CD0EE2"/>
    <w:rsid w:val="00CE067A"/>
    <w:rsid w:val="00D46F94"/>
    <w:rsid w:val="00DA3D8C"/>
    <w:rsid w:val="00E3470C"/>
    <w:rsid w:val="00E417FE"/>
    <w:rsid w:val="00EB2DA5"/>
    <w:rsid w:val="00EC4047"/>
    <w:rsid w:val="00EC4757"/>
    <w:rsid w:val="00ED305F"/>
    <w:rsid w:val="00ED5C2D"/>
    <w:rsid w:val="00EE7A85"/>
    <w:rsid w:val="00F009FC"/>
    <w:rsid w:val="00F0658D"/>
    <w:rsid w:val="00F06966"/>
    <w:rsid w:val="00F512A2"/>
    <w:rsid w:val="00F53800"/>
    <w:rsid w:val="00F7300F"/>
    <w:rsid w:val="00F90A70"/>
    <w:rsid w:val="00FB3994"/>
    <w:rsid w:val="00FD3E8F"/>
    <w:rsid w:val="00FE0BCC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36EE3"/>
  <w15:docId w15:val="{F844AD8B-0F94-469D-A9FE-8FCF5CF3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x-gary1">
    <w:name w:val="內文12px-gary1"/>
    <w:basedOn w:val="a"/>
    <w:rsid w:val="00F512A2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8">
    <w:name w:val="List Paragraph"/>
    <w:basedOn w:val="a"/>
    <w:uiPriority w:val="34"/>
    <w:qFormat/>
    <w:rsid w:val="00F512A2"/>
    <w:pPr>
      <w:ind w:leftChars="200" w:left="480"/>
    </w:pPr>
  </w:style>
  <w:style w:type="character" w:styleId="a9">
    <w:name w:val="Hyperlink"/>
    <w:basedOn w:val="a0"/>
    <w:rsid w:val="00F512A2"/>
    <w:rPr>
      <w:color w:val="0000FF"/>
      <w:u w:val="single"/>
    </w:rPr>
  </w:style>
  <w:style w:type="character" w:styleId="aa">
    <w:name w:val="Emphasis"/>
    <w:basedOn w:val="a0"/>
    <w:qFormat/>
    <w:rsid w:val="00022B2C"/>
    <w:rPr>
      <w:i/>
      <w:iCs/>
    </w:rPr>
  </w:style>
  <w:style w:type="paragraph" w:styleId="ab">
    <w:name w:val="No Spacing"/>
    <w:uiPriority w:val="1"/>
    <w:qFormat/>
    <w:rsid w:val="00443BFE"/>
    <w:pPr>
      <w:widowControl w:val="0"/>
    </w:pPr>
    <w:rPr>
      <w:rFonts w:ascii="Calibri" w:eastAsia="新細明體" w:hAnsi="Calibri" w:cs="Times New Roman"/>
    </w:rPr>
  </w:style>
  <w:style w:type="paragraph" w:customStyle="1" w:styleId="ac">
    <w:name w:val="大標題"/>
    <w:basedOn w:val="a"/>
    <w:rsid w:val="006B67CB"/>
    <w:pPr>
      <w:spacing w:before="100" w:beforeAutospacing="1" w:after="100" w:afterAutospacing="1" w:line="480" w:lineRule="exact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E6D79-F96E-4367-A7EC-CD331578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20</cp:revision>
  <cp:lastPrinted>2015-05-13T07:25:00Z</cp:lastPrinted>
  <dcterms:created xsi:type="dcterms:W3CDTF">2019-02-25T02:29:00Z</dcterms:created>
  <dcterms:modified xsi:type="dcterms:W3CDTF">2019-05-13T07:58:00Z</dcterms:modified>
</cp:coreProperties>
</file>