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</w:pPr>
    </w:p>
    <w:p>
      <w:pPr>
        <w:pStyle w:val="Normal.0"/>
        <w:spacing w:line="20" w:lineRule="atLeast"/>
        <w:jc w:val="center"/>
        <w:rPr>
          <w:rFonts w:ascii="標楷體" w:cs="標楷體" w:hAnsi="標楷體" w:eastAsia="標楷體"/>
          <w:sz w:val="36"/>
          <w:szCs w:val="36"/>
        </w:rPr>
      </w:pPr>
      <w:r>
        <w:rPr>
          <w:rtl w:val="0"/>
          <w:lang w:val="en-US"/>
        </w:rPr>
        <w:t xml:space="preserve"> </w:t>
      </w:r>
      <w:r>
        <w:rPr>
          <w:rFonts w:eastAsia="標楷體" w:hint="eastAsia"/>
          <w:sz w:val="36"/>
          <w:szCs w:val="36"/>
          <w:rtl w:val="0"/>
          <w:lang w:val="zh-TW" w:eastAsia="zh-TW"/>
        </w:rPr>
        <w:t>國立中正大學通識教育課程教學大綱</w:t>
      </w:r>
      <w:r>
        <w:rPr>
          <w:rFonts w:ascii="標楷體" w:hAnsi="標楷體"/>
          <w:sz w:val="36"/>
          <w:szCs w:val="36"/>
          <w:rtl w:val="0"/>
          <w:lang w:val="en-US"/>
        </w:rPr>
        <w:t xml:space="preserve"> </w:t>
      </w:r>
    </w:p>
    <w:tbl>
      <w:tblPr>
        <w:tblW w:w="10589" w:type="dxa"/>
        <w:jc w:val="center"/>
        <w:tblInd w:w="1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75"/>
        <w:gridCol w:w="9214"/>
      </w:tblGrid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13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開設學年度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學期</w:t>
            </w:r>
          </w:p>
        </w:tc>
        <w:tc>
          <w:tcPr>
            <w:tcW w:type="dxa" w:w="9214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109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學年度第</w:t>
            </w:r>
            <w:r>
              <w:rPr>
                <w:rFonts w:ascii="標楷體" w:hAnsi="標楷體"/>
                <w:rtl w:val="0"/>
                <w:lang w:val="en-US"/>
              </w:rPr>
              <w:t>2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學期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課程名稱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中文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台灣戲劇欣賞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課程名稱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英文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tl w:val="0"/>
                <w:lang w:val="en-US"/>
              </w:rPr>
              <w:t xml:space="preserve">Performing Arts in </w:t>
            </w:r>
            <w:r>
              <w:rPr>
                <w:rtl w:val="0"/>
                <w:lang w:val="en-US"/>
              </w:rPr>
              <w:t xml:space="preserve">Taiwan </w:t>
            </w:r>
          </w:p>
        </w:tc>
      </w:tr>
      <w:tr>
        <w:tblPrEx>
          <w:shd w:val="clear" w:color="auto" w:fill="ced7e7"/>
        </w:tblPrEx>
        <w:trPr>
          <w:trHeight w:val="371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授課教師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劉亮延</w:t>
            </w:r>
          </w:p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開課年級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學分數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71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授課方式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ascii="新細明體" w:cs="新細明體" w:hAnsi="新細明體" w:eastAsia="新細明體"/>
                <w:u w:val="none"/>
                <w:shd w:val="nil" w:color="auto" w:fill="auto"/>
                <w:rtl w:val="0"/>
                <w:lang w:val="en-US"/>
              </w:rPr>
              <w:t>■</w:t>
            </w:r>
            <w:r>
              <w:rPr>
                <w:rFonts w:eastAsia="標楷體" w:hint="eastAsia"/>
                <w:u w:val="none"/>
                <w:shd w:val="nil" w:color="auto" w:fill="auto"/>
                <w:rtl w:val="0"/>
                <w:lang w:val="zh-TW" w:eastAsia="zh-TW"/>
              </w:rPr>
              <w:t>課堂上課（每週，）</w:t>
            </w:r>
            <w:r>
              <w:rPr>
                <w:rFonts w:ascii="新細明體" w:cs="新細明體" w:hAnsi="新細明體" w:eastAsia="新細明體"/>
                <w:u w:val="none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" w:hint="eastAsia"/>
                <w:u w:val="none"/>
                <w:shd w:val="nil" w:color="auto" w:fill="auto"/>
                <w:rtl w:val="0"/>
                <w:lang w:val="zh-TW" w:eastAsia="zh-TW"/>
              </w:rPr>
              <w:t>網路教學</w:t>
            </w:r>
            <w:r>
              <w:rPr>
                <w:u w:val="none"/>
                <w:shd w:val="nil" w:color="auto" w:fill="auto"/>
                <w:rtl w:val="0"/>
                <w:lang w:val="en-US"/>
              </w:rPr>
              <w:t xml:space="preserve">    </w:t>
            </w:r>
            <w:r>
              <w:rPr>
                <w:rFonts w:ascii="新細明體" w:cs="新細明體" w:hAnsi="新細明體" w:eastAsia="新細明體"/>
                <w:u w:val="none"/>
                <w:shd w:val="nil" w:color="auto" w:fill="auto"/>
                <w:rtl w:val="0"/>
                <w:lang w:val="en-US"/>
              </w:rPr>
              <w:t>■</w:t>
            </w:r>
            <w:r>
              <w:rPr>
                <w:rFonts w:eastAsia="標楷體" w:hint="eastAsia"/>
                <w:u w:val="none"/>
                <w:shd w:val="nil" w:color="auto" w:fill="auto"/>
                <w:rtl w:val="0"/>
                <w:lang w:val="zh-TW" w:eastAsia="zh-TW"/>
              </w:rPr>
              <w:t>其他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  <w:rPr>
                <w:kern w:val="0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先修科目或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先備能力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教學目標與範圍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彩色清單 - 輔色 11"/>
              <w:ind w:left="0" w:firstLine="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ascii="標楷體" w:hAnsi="標楷體"/>
                <w:shd w:val="nil" w:color="auto" w:fill="auto"/>
                <w:rtl w:val="0"/>
                <w:lang w:val="en-US"/>
              </w:rPr>
              <w:t xml:space="preserve">1, </w:t>
            </w:r>
            <w:r>
              <w:rPr>
                <w:rFonts w:eastAsia="標楷體" w:hint="eastAsia"/>
                <w:rtl w:val="0"/>
                <w:lang w:val="zh-TW" w:eastAsia="zh-TW"/>
              </w:rPr>
              <w:t>強化介紹民間戲劇</w:t>
            </w:r>
            <w:r>
              <w:rPr>
                <w:rFonts w:eastAsia="標楷體" w:hint="eastAsia"/>
                <w:rtl w:val="0"/>
                <w:lang w:val="zh-TW" w:eastAsia="zh-TW"/>
              </w:rPr>
              <w:t>相關脈絡，即戲劇與生活的連結。</w:t>
            </w:r>
          </w:p>
          <w:p>
            <w:pPr>
              <w:pStyle w:val="彩色清單 - 輔色 11"/>
              <w:bidi w:val="0"/>
              <w:ind w:left="0" w:right="0" w:firstLine="0"/>
              <w:jc w:val="left"/>
              <w:rPr>
                <w:rFonts w:ascii="標楷體" w:cs="標楷體" w:hAnsi="標楷體" w:eastAsia="標楷體"/>
                <w:shd w:val="nil" w:color="auto" w:fill="auto"/>
                <w:rtl w:val="0"/>
              </w:rPr>
            </w:pPr>
            <w:r>
              <w:rPr>
                <w:rFonts w:ascii="標楷體" w:hAnsi="標楷體"/>
                <w:shd w:val="nil" w:color="auto" w:fill="auto"/>
                <w:rtl w:val="0"/>
                <w:lang w:val="en-US"/>
              </w:rPr>
              <w:t xml:space="preserve">2, </w:t>
            </w:r>
            <w:r>
              <w:rPr>
                <w:rFonts w:eastAsia="標楷體" w:hint="eastAsia"/>
                <w:rtl w:val="0"/>
                <w:lang w:val="zh-TW" w:eastAsia="zh-TW"/>
              </w:rPr>
              <w:t>著重介紹二戰後台灣劇場發展情形。</w:t>
            </w:r>
          </w:p>
          <w:p>
            <w:pPr>
              <w:pStyle w:val="彩色清單 - 輔色 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標楷體" w:hAnsi="標楷體"/>
                <w:shd w:val="nil" w:color="auto" w:fill="auto"/>
                <w:rtl w:val="0"/>
                <w:lang w:val="en-US"/>
              </w:rPr>
              <w:t xml:space="preserve">3, 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授課內容</w:t>
            </w:r>
            <w:r>
              <w:rPr>
                <w:rFonts w:eastAsia="標楷體" w:hint="eastAsia"/>
                <w:rtl w:val="0"/>
                <w:lang w:val="zh-TW" w:eastAsia="zh-TW"/>
              </w:rPr>
              <w:t>除文字文本，將視情形採用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視覺文本</w:t>
            </w:r>
            <w:r>
              <w:rPr>
                <w:rFonts w:eastAsia="標楷體" w:hint="eastAsia"/>
                <w:rtl w:val="0"/>
                <w:lang w:val="zh-TW" w:eastAsia="zh-TW"/>
              </w:rPr>
              <w:t>、如文宣資料、劇照，或演講示範等方式進行。</w:t>
            </w:r>
          </w:p>
        </w:tc>
      </w:tr>
      <w:tr>
        <w:tblPrEx>
          <w:shd w:val="clear" w:color="auto" w:fill="ced7e7"/>
        </w:tblPrEx>
        <w:trPr>
          <w:trHeight w:val="975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與通識教育核心精神之關聯性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幫助學生</w:t>
            </w:r>
            <w:r>
              <w:rPr>
                <w:rFonts w:eastAsia="標楷體" w:hint="eastAsia"/>
                <w:rtl w:val="0"/>
                <w:lang w:val="zh-TW" w:eastAsia="zh-TW"/>
              </w:rPr>
              <w:t>認識台灣表演藝術發展情形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，</w:t>
            </w:r>
            <w:r>
              <w:rPr>
                <w:rFonts w:eastAsia="標楷體" w:hint="eastAsia"/>
                <w:rtl w:val="0"/>
                <w:lang w:val="zh-TW" w:eastAsia="zh-TW"/>
              </w:rPr>
              <w:t>掌握其類型與發展脈絡</w:t>
            </w:r>
          </w:p>
        </w:tc>
      </w:tr>
      <w:tr>
        <w:tblPrEx>
          <w:shd w:val="clear" w:color="auto" w:fill="ced7e7"/>
        </w:tblPrEx>
        <w:trPr>
          <w:trHeight w:val="9424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授課大綱</w:t>
            </w:r>
          </w:p>
        </w:tc>
        <w:tc>
          <w:tcPr>
            <w:tcW w:type="dxa" w:w="92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大標題 A"/>
              <w:spacing w:line="240" w:lineRule="auto"/>
              <w:outlineLvl w:val="1"/>
              <w:rPr>
                <w:rFonts w:ascii="標楷體" w:cs="標楷體" w:hAnsi="標楷體" w:eastAsia="標楷體"/>
                <w:b w:val="0"/>
                <w:bCs w:val="0"/>
                <w:kern w:val="0"/>
                <w:sz w:val="24"/>
                <w:szCs w:val="24"/>
                <w:shd w:val="nil" w:color="auto" w:fill="auto"/>
                <w:lang w:val="zh-TW" w:eastAsia="zh-TW"/>
              </w:rPr>
            </w:pPr>
            <w:r>
              <w:rPr>
                <w:rFonts w:eastAsia="標楷體" w:hint="eastAsia"/>
                <w:b w:val="0"/>
                <w:bCs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預定每週教學進度及內容</w:t>
            </w:r>
            <w:r>
              <w:rPr>
                <w:rFonts w:ascii="標楷體" w:cs="標楷體" w:hAnsi="標楷體" w:eastAsia="標楷體"/>
                <w:b w:val="0"/>
                <w:bCs w:val="0"/>
                <w:sz w:val="24"/>
                <w:szCs w:val="24"/>
                <w:lang w:val="zh-TW" w:eastAsia="zh-TW"/>
              </w:rPr>
              <w:br w:type="textWrapping"/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課程介紹</w:t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</w:t>
            </w:r>
            <w:r>
              <w:rPr>
                <w:rFonts w:eastAsia="標楷體" w:hint="eastAsia"/>
                <w:rtl w:val="0"/>
                <w:lang w:val="zh-TW" w:eastAsia="zh-TW"/>
              </w:rPr>
              <w:t>歌仔戲</w:t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</w:t>
            </w:r>
            <w:r>
              <w:rPr>
                <w:rFonts w:eastAsia="標楷體" w:hint="eastAsia"/>
                <w:rtl w:val="0"/>
                <w:lang w:val="zh-TW" w:eastAsia="zh-TW"/>
              </w:rPr>
              <w:t>歌仔戲</w:t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</w:t>
            </w:r>
            <w:r>
              <w:rPr>
                <w:rFonts w:eastAsia="標楷體" w:hint="eastAsia"/>
                <w:rtl w:val="0"/>
                <w:lang w:val="zh-TW" w:eastAsia="zh-TW"/>
              </w:rPr>
              <w:t>歌仔戲</w:t>
            </w:r>
          </w:p>
          <w:p>
            <w:pPr>
              <w:pStyle w:val="Normal.0"/>
              <w:rPr>
                <w:rFonts w:ascii="標楷體" w:cs="標楷體" w:hAnsi="標楷體" w:eastAsia="標楷體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隨堂</w:t>
            </w:r>
            <w:r>
              <w:rPr>
                <w:rFonts w:eastAsia="標楷體" w:hint="eastAsia"/>
                <w:rtl w:val="0"/>
                <w:lang w:val="zh-TW" w:eastAsia="zh-TW"/>
              </w:rPr>
              <w:t>小考一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</w:t>
            </w:r>
            <w:r>
              <w:rPr>
                <w:rFonts w:eastAsia="標楷體" w:hint="eastAsia"/>
                <w:rtl w:val="0"/>
                <w:lang w:val="zh-TW" w:eastAsia="zh-TW"/>
              </w:rPr>
              <w:t>京劇</w:t>
            </w:r>
          </w:p>
          <w:p>
            <w:pPr>
              <w:pStyle w:val="Normal.0"/>
              <w:rPr>
                <w:rFonts w:ascii="標楷體" w:cs="標楷體" w:hAnsi="標楷體" w:eastAsia="標楷體"/>
                <w:kern w:val="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台灣京劇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隨堂小考</w:t>
            </w:r>
            <w:r>
              <w:rPr>
                <w:rFonts w:eastAsia="標楷體" w:hint="eastAsia"/>
                <w:rtl w:val="0"/>
                <w:lang w:val="zh-TW" w:eastAsia="zh-TW"/>
              </w:rPr>
              <w:t>二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9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台灣現代劇場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台灣現代劇場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11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台灣現代劇場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12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隨堂小考</w:t>
            </w:r>
            <w:r>
              <w:rPr>
                <w:rFonts w:eastAsia="標楷體" w:hint="eastAsia"/>
                <w:rtl w:val="0"/>
                <w:lang w:val="zh-TW" w:eastAsia="zh-TW"/>
              </w:rPr>
              <w:t>三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13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民間陣頭</w:t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14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民間陣頭</w:t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15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隨堂小考四</w:t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16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樂舞、民族舞蹈、山歌採茶戲</w:t>
            </w:r>
          </w:p>
          <w:p>
            <w:pPr>
              <w:pStyle w:val="Normal.0"/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17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樂舞、民族舞蹈、山歌採茶戲</w:t>
            </w:r>
          </w:p>
          <w:p>
            <w:pPr>
              <w:pStyle w:val="Normal.0"/>
              <w:rPr>
                <w:rFonts w:ascii="標楷體" w:cs="標楷體" w:hAnsi="標楷體" w:eastAsia="標楷體"/>
                <w:lang w:val="zh-TW" w:eastAsia="zh-TW"/>
              </w:rPr>
            </w:pPr>
          </w:p>
          <w:p>
            <w:pPr>
              <w:pStyle w:val="Normal.0"/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第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18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週</w:t>
              <w:tab/>
              <w:tab/>
            </w:r>
            <w:r>
              <w:rPr>
                <w:rFonts w:eastAsia="標楷體" w:hint="eastAsia"/>
                <w:rtl w:val="0"/>
                <w:lang w:val="zh-TW" w:eastAsia="zh-TW"/>
              </w:rPr>
              <w:t>隨堂小考五</w:t>
            </w:r>
            <w:r>
              <w:rPr>
                <w:rFonts w:ascii="標楷體" w:cs="標楷體" w:hAnsi="標楷體" w:eastAsia="標楷體"/>
                <w:shd w:val="nil" w:color="auto" w:fill="auto"/>
                <w:lang w:val="zh-TW" w:eastAsia="zh-TW"/>
              </w:rPr>
            </w:r>
          </w:p>
        </w:tc>
      </w:tr>
      <w:tr>
        <w:tblPrEx>
          <w:shd w:val="clear" w:color="auto" w:fill="ced7e7"/>
        </w:tblPrEx>
        <w:trPr>
          <w:trHeight w:val="975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教科書及參考書</w:t>
            </w:r>
          </w:p>
        </w:tc>
        <w:tc>
          <w:tcPr>
            <w:tcW w:type="dxa" w:w="921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rPr>
                <w:sz w:val="23"/>
                <w:szCs w:val="23"/>
                <w:shd w:val="nil" w:color="auto" w:fill="auto"/>
              </w:rPr>
            </w:pPr>
            <w:r>
              <w:rPr>
                <w:rFonts w:eastAsia="標楷體" w:hint="eastAsia"/>
                <w:sz w:val="23"/>
                <w:szCs w:val="23"/>
                <w:shd w:val="nil" w:color="auto" w:fill="auto"/>
                <w:rtl w:val="0"/>
                <w:lang w:val="zh-TW" w:eastAsia="zh-TW"/>
              </w:rPr>
              <w:t>王友輝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eastAsia="標楷體" w:hint="eastAsia"/>
                <w:sz w:val="23"/>
                <w:szCs w:val="23"/>
                <w:shd w:val="nil" w:color="auto" w:fill="auto"/>
                <w:rtl w:val="0"/>
                <w:lang w:val="zh-TW" w:eastAsia="zh-TW"/>
              </w:rPr>
              <w:t>郭強生主編﹐《台灣現代文學教程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>-</w:t>
            </w:r>
            <w:r>
              <w:rPr>
                <w:rFonts w:eastAsia="標楷體" w:hint="eastAsia"/>
                <w:sz w:val="23"/>
                <w:szCs w:val="23"/>
                <w:shd w:val="nil" w:color="auto" w:fill="auto"/>
                <w:rtl w:val="0"/>
                <w:lang w:val="zh-TW" w:eastAsia="zh-TW"/>
              </w:rPr>
              <w:t>戲劇讀本》台北﹕二魚文化﹐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>2003</w:t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  <w:rtl w:val="0"/>
                <w:lang w:val="zh-TW" w:eastAsia="zh-TW"/>
              </w:rPr>
              <w:t>林鶴宜</w:t>
            </w:r>
            <w:r>
              <w:rPr>
                <w:rFonts w:eastAsia="標楷體" w:hint="eastAsia"/>
                <w:sz w:val="23"/>
                <w:szCs w:val="23"/>
                <w:shd w:val="nil" w:color="auto" w:fill="auto"/>
                <w:rtl w:val="0"/>
                <w:lang w:val="zh-TW" w:eastAsia="zh-TW"/>
              </w:rPr>
              <w:t>﹐《台灣</w:t>
            </w:r>
            <w:r>
              <w:rPr>
                <w:rFonts w:eastAsia="標楷體" w:hint="eastAsia"/>
                <w:sz w:val="23"/>
                <w:szCs w:val="23"/>
                <w:rtl w:val="0"/>
                <w:lang w:val="zh-TW" w:eastAsia="zh-TW"/>
              </w:rPr>
              <w:t>戲劇史</w:t>
            </w:r>
            <w:r>
              <w:rPr>
                <w:rFonts w:eastAsia="標楷體" w:hint="eastAsia"/>
                <w:sz w:val="23"/>
                <w:szCs w:val="23"/>
                <w:shd w:val="nil" w:color="auto" w:fill="auto"/>
                <w:rtl w:val="0"/>
                <w:lang w:val="zh-TW" w:eastAsia="zh-TW"/>
              </w:rPr>
              <w:t>》台北﹕</w:t>
            </w:r>
            <w:r>
              <w:rPr>
                <w:rFonts w:eastAsia="標楷體" w:hint="eastAsia"/>
                <w:sz w:val="23"/>
                <w:szCs w:val="23"/>
                <w:rtl w:val="0"/>
                <w:lang w:val="zh-TW" w:eastAsia="zh-TW"/>
              </w:rPr>
              <w:t>台大出版中心</w:t>
            </w:r>
            <w:r>
              <w:rPr>
                <w:rFonts w:eastAsia="標楷體" w:hint="eastAsia"/>
                <w:sz w:val="23"/>
                <w:szCs w:val="23"/>
                <w:shd w:val="nil" w:color="auto" w:fill="auto"/>
                <w:rtl w:val="0"/>
                <w:lang w:val="zh-TW" w:eastAsia="zh-TW"/>
              </w:rPr>
              <w:t>﹐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>20</w:t>
            </w:r>
            <w:r>
              <w:rPr>
                <w:sz w:val="23"/>
                <w:szCs w:val="23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劉振祥等，《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20x25</w:t>
            </w:r>
            <w:r>
              <w:rPr>
                <w:rFonts w:eastAsia="標楷體" w:hint="eastAsia"/>
                <w:kern w:val="0"/>
                <w:shd w:val="nil" w:color="auto" w:fill="auto"/>
                <w:rtl w:val="0"/>
                <w:lang w:val="zh-TW" w:eastAsia="zh-TW"/>
              </w:rPr>
              <w:t>表演藝術攝影集》，國家兩廳院，</w:t>
            </w:r>
            <w:r>
              <w:rPr>
                <w:rFonts w:ascii="標楷體" w:hAnsi="標楷體"/>
                <w:kern w:val="0"/>
                <w:shd w:val="nil" w:color="auto" w:fill="auto"/>
                <w:rtl w:val="0"/>
                <w:lang w:val="en-US"/>
              </w:rPr>
              <w:t>2012</w:t>
            </w:r>
            <w:r>
              <w:rPr>
                <w:rFonts w:ascii="標楷體" w:cs="標楷體" w:hAnsi="標楷體" w:eastAsia="標楷體"/>
                <w:kern w:val="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評量方式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clear" w:color="auto" w:fill="000000"/>
                <w:rtl w:val="0"/>
                <w:lang w:val="en-US"/>
              </w:rPr>
              <w:t>□</w:t>
            </w:r>
            <w:r>
              <w:rPr>
                <w:rFonts w:eastAsia="標楷體" w:hint="eastAsia"/>
                <w:rtl w:val="0"/>
                <w:lang w:val="zh-TW" w:eastAsia="zh-TW"/>
              </w:rPr>
              <w:t>隨堂小考</w:t>
            </w:r>
            <w:r>
              <w:rPr>
                <w:rFonts w:ascii="標楷體" w:hAnsi="標楷體"/>
                <w:rtl w:val="0"/>
                <w:lang w:val="zh-TW" w:eastAsia="zh-TW"/>
              </w:rPr>
              <w:t xml:space="preserve"> 5</w:t>
            </w:r>
            <w:r>
              <w:rPr>
                <w:shd w:val="nil" w:color="auto" w:fill="auto"/>
                <w:rtl w:val="0"/>
                <w:lang w:val="en-US"/>
              </w:rPr>
              <w:t xml:space="preserve">0%   </w:t>
            </w:r>
            <w:r>
              <w:rPr>
                <w:shd w:val="clear" w:color="auto" w:fill="000000"/>
                <w:rtl w:val="0"/>
                <w:lang w:val="en-US"/>
              </w:rPr>
              <w:t>□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出席與表現</w:t>
            </w:r>
            <w:r>
              <w:rPr>
                <w:shd w:val="nil" w:color="auto" w:fill="auto"/>
                <w:rtl w:val="0"/>
                <w:lang w:val="en-US"/>
              </w:rPr>
              <w:t>50</w:t>
            </w:r>
            <w:r>
              <w:rPr>
                <w:shd w:val="nil" w:color="auto" w:fill="auto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教材編選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標楷體" w:hAnsi="標楷體" w:hint="default"/>
                <w:shd w:val="nil" w:color="auto" w:fill="auto"/>
                <w:rtl w:val="0"/>
                <w:lang w:val="en-US"/>
              </w:rPr>
              <w:t>█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自編教材</w:t>
            </w:r>
            <w:r>
              <w:rPr>
                <w:shd w:val="nil" w:color="auto" w:fill="auto"/>
                <w:rtl w:val="0"/>
                <w:lang w:val="en-US"/>
              </w:rPr>
              <w:t xml:space="preserve">    □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教科書作者提供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教學方法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標楷體" w:hAnsi="標楷體" w:hint="default"/>
                <w:shd w:val="nil" w:color="auto" w:fill="auto"/>
                <w:rtl w:val="0"/>
                <w:lang w:val="en-US"/>
              </w:rPr>
              <w:t>█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投影片講述</w:t>
            </w:r>
            <w:r>
              <w:rPr>
                <w:shd w:val="nil" w:color="auto" w:fill="auto"/>
                <w:rtl w:val="0"/>
                <w:lang w:val="en-US"/>
              </w:rPr>
              <w:t xml:space="preserve">  □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板書講述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教學資源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標楷體" w:hAnsi="標楷體" w:hint="default"/>
                <w:shd w:val="nil" w:color="auto" w:fill="auto"/>
                <w:rtl w:val="0"/>
                <w:lang w:val="en-US"/>
              </w:rPr>
              <w:t>█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課程網站</w:t>
            </w:r>
            <w:r>
              <w:rPr>
                <w:shd w:val="nil" w:color="auto" w:fill="auto"/>
                <w:rtl w:val="0"/>
                <w:lang w:val="en-US"/>
              </w:rPr>
              <w:t xml:space="preserve">    □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教材電子檔供下載</w:t>
            </w:r>
            <w:r>
              <w:rPr>
                <w:shd w:val="nil" w:color="auto" w:fill="auto"/>
                <w:rtl w:val="0"/>
                <w:lang w:val="en-US"/>
              </w:rPr>
              <w:t xml:space="preserve">  □</w:t>
            </w: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實習網站</w:t>
            </w:r>
          </w:p>
        </w:tc>
      </w:tr>
      <w:tr>
        <w:tblPrEx>
          <w:shd w:val="clear" w:color="auto" w:fill="ced7e7"/>
        </w:tblPrEx>
        <w:trPr>
          <w:trHeight w:val="2834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核心能力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line="480" w:lineRule="exact"/>
              <w:rPr>
                <w:lang w:val="zh-TW" w:eastAsia="zh-TW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思考與創新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480" w:lineRule="exact"/>
              <w:ind w:right="0"/>
              <w:jc w:val="left"/>
              <w:rPr>
                <w:rtl w:val="0"/>
                <w:lang w:val="zh-TW" w:eastAsia="zh-TW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公民素養與社會參與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480" w:lineRule="exact"/>
              <w:ind w:right="0"/>
              <w:jc w:val="left"/>
              <w:rPr>
                <w:rtl w:val="0"/>
                <w:lang w:val="zh-TW" w:eastAsia="zh-TW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人文關懷與環境保育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480" w:lineRule="exact"/>
              <w:ind w:right="0"/>
              <w:jc w:val="left"/>
              <w:rPr>
                <w:rtl w:val="0"/>
                <w:lang w:val="zh-TW" w:eastAsia="zh-TW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溝通表達與團隊合作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480" w:lineRule="exact"/>
              <w:ind w:right="0"/>
              <w:jc w:val="left"/>
              <w:rPr>
                <w:rtl w:val="0"/>
                <w:lang w:val="zh-TW" w:eastAsia="zh-TW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國際視野與多元文化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480" w:lineRule="exact"/>
              <w:ind w:right="0"/>
              <w:jc w:val="left"/>
              <w:rPr>
                <w:rFonts w:eastAsia="標楷體" w:hint="eastAsia"/>
                <w:rtl w:val="0"/>
                <w:lang w:val="zh-TW" w:eastAsia="zh-TW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美感與藝術欣賞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授課教師</w:t>
            </w:r>
          </w:p>
        </w:tc>
        <w:tc>
          <w:tcPr>
            <w:tcW w:type="dxa" w:w="9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5"/>
              </w:tabs>
              <w:spacing w:line="20" w:lineRule="atLeast"/>
              <w:rPr>
                <w:rFonts w:ascii="標楷體" w:cs="標楷體" w:hAnsi="標楷體" w:eastAsia="標楷體"/>
                <w:shd w:val="nil" w:color="auto" w:fill="auto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學系：台灣文學與創意應用研究所</w:t>
            </w:r>
          </w:p>
          <w:p>
            <w:pPr>
              <w:pStyle w:val="Normal.0"/>
              <w:tabs>
                <w:tab w:val="left" w:pos="15"/>
              </w:tabs>
              <w:bidi w:val="0"/>
              <w:spacing w:line="20" w:lineRule="atLeast"/>
              <w:ind w:left="0" w:right="0" w:firstLine="0"/>
              <w:jc w:val="left"/>
              <w:rPr>
                <w:rFonts w:ascii="標楷體" w:cs="標楷體" w:hAnsi="標楷體" w:eastAsia="標楷體"/>
                <w:shd w:val="nil" w:color="auto" w:fill="auto"/>
                <w:rtl w:val="0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姓名：劉亮延 專案助理教授</w:t>
            </w:r>
          </w:p>
          <w:p>
            <w:pPr>
              <w:pStyle w:val="Normal.0"/>
              <w:tabs>
                <w:tab w:val="left" w:pos="15"/>
              </w:tabs>
              <w:spacing w:line="20" w:lineRule="atLeast"/>
              <w:rPr>
                <w:rFonts w:ascii="標楷體" w:cs="標楷體" w:hAnsi="標楷體" w:eastAsia="標楷體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15"/>
              </w:tabs>
              <w:bidi w:val="0"/>
              <w:spacing w:line="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標楷體" w:hint="eastAsia"/>
                <w:shd w:val="nil" w:color="auto" w:fill="auto"/>
                <w:rtl w:val="0"/>
                <w:lang w:val="zh-TW" w:eastAsia="zh-TW"/>
              </w:rPr>
              <w:t>國立交通大學社會與文化研究所文學博士、交通大學應用藝術研究所碩士。詩人、劇場編導。從事劇場工作超過二十年，發表原創劇目超過十八齣，創作類型為跨文化戲曲，學術研究領域以戰後台灣、日本、中國劇場之文化形構問題為主。</w:t>
            </w:r>
            <w:r>
              <w:rPr>
                <w:rFonts w:ascii="標楷體" w:cs="標楷體" w:hAnsi="標楷體" w:eastAsia="標楷體"/>
                <w:shd w:val="nil" w:color="auto" w:fill="auto"/>
              </w:rPr>
            </w:r>
          </w:p>
        </w:tc>
      </w:tr>
    </w:tbl>
    <w:p>
      <w:pPr>
        <w:pStyle w:val="Normal.0"/>
        <w:ind w:left="28" w:hanging="28"/>
        <w:jc w:val="center"/>
        <w:rPr>
          <w:rFonts w:ascii="標楷體" w:cs="標楷體" w:hAnsi="標楷體" w:eastAsia="標楷體"/>
          <w:sz w:val="36"/>
          <w:szCs w:val="36"/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709" w:right="567" w:bottom="709" w:left="567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標楷體">
    <w:charset w:val="00"/>
    <w:family w:val="roman"/>
    <w:pitch w:val="default"/>
  </w:font>
  <w:font w:name="Calibri">
    <w:charset w:val="00"/>
    <w:family w:val="roman"/>
    <w:pitch w:val="default"/>
  </w:font>
  <w:font w:name="新細明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標楷體" w:cs="Arial Unicode MS" w:hAnsi="標楷體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彩色清單 - 輔色 11">
    <w:name w:val="彩色清單 - 輔色 11"/>
    <w:next w:val="彩色清單 - 輔色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新細明體" w:cs="新細明體" w:hAnsi="新細明體" w:eastAsia="新細明體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大標題 A">
    <w:name w:val="大標題 A"/>
    <w:next w:val="大標題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0" w:after="100" w:line="480" w:lineRule="exact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