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557"/>
      </w:tblGrid>
      <w:tr w:rsidR="00FE0BCC" w:rsidTr="00E3470C">
        <w:trPr>
          <w:trHeight w:val="419"/>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bookmarkStart w:id="0" w:name="_GoBack"/>
            <w:bookmarkEnd w:id="0"/>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FE0BCC" w:rsidRDefault="009F603C" w:rsidP="007F22D6">
            <w:pPr>
              <w:spacing w:line="0" w:lineRule="atLeast"/>
              <w:jc w:val="center"/>
              <w:rPr>
                <w:rFonts w:eastAsia="標楷體"/>
              </w:rPr>
            </w:pPr>
            <w:r w:rsidRPr="008F64F1">
              <w:rPr>
                <w:rFonts w:ascii="標楷體" w:eastAsia="標楷體" w:hAnsi="標楷體" w:hint="eastAsia"/>
                <w:sz w:val="28"/>
              </w:rPr>
              <w:t>統計與生活</w:t>
            </w:r>
          </w:p>
        </w:tc>
      </w:tr>
      <w:tr w:rsidR="00FE0BCC" w:rsidTr="00E3470C">
        <w:trPr>
          <w:trHeight w:val="412"/>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FE0BCC" w:rsidRDefault="009F603C" w:rsidP="007F22D6">
            <w:pPr>
              <w:spacing w:line="0" w:lineRule="atLeast"/>
              <w:jc w:val="center"/>
              <w:rPr>
                <w:rFonts w:eastAsia="標楷體"/>
              </w:rPr>
            </w:pPr>
            <w:r>
              <w:rPr>
                <w:rFonts w:eastAsia="標楷體" w:hint="eastAsia"/>
              </w:rPr>
              <w:t>Statistics and Living</w:t>
            </w:r>
          </w:p>
        </w:tc>
      </w:tr>
      <w:tr w:rsidR="00FE0BCC" w:rsidTr="00E3470C">
        <w:trPr>
          <w:trHeight w:val="521"/>
          <w:jc w:val="center"/>
        </w:trPr>
        <w:tc>
          <w:tcPr>
            <w:tcW w:w="1980" w:type="dxa"/>
            <w:tcBorders>
              <w:top w:val="single" w:sz="4" w:space="0" w:color="auto"/>
              <w:bottom w:val="single" w:sz="4" w:space="0" w:color="auto"/>
              <w:right w:val="single" w:sz="4" w:space="0" w:color="auto"/>
            </w:tcBorders>
            <w:vAlign w:val="center"/>
          </w:tcPr>
          <w:p w:rsidR="00FE0BCC" w:rsidRDefault="00FE0BCC" w:rsidP="00E3470C">
            <w:pPr>
              <w:spacing w:line="0" w:lineRule="atLeast"/>
              <w:jc w:val="center"/>
              <w:rPr>
                <w:rFonts w:eastAsia="標楷體"/>
              </w:rPr>
            </w:pPr>
            <w:r>
              <w:rPr>
                <w:rFonts w:eastAsia="標楷體" w:hint="eastAsia"/>
              </w:rPr>
              <w:t>課碼</w:t>
            </w:r>
          </w:p>
        </w:tc>
        <w:tc>
          <w:tcPr>
            <w:tcW w:w="3960" w:type="dxa"/>
            <w:tcBorders>
              <w:top w:val="single" w:sz="4" w:space="0" w:color="auto"/>
              <w:left w:val="single" w:sz="4" w:space="0" w:color="auto"/>
              <w:bottom w:val="single" w:sz="4" w:space="0" w:color="auto"/>
              <w:right w:val="single" w:sz="4" w:space="0" w:color="auto"/>
            </w:tcBorders>
            <w:vAlign w:val="center"/>
          </w:tcPr>
          <w:p w:rsidR="00FE0BCC" w:rsidRDefault="009F603C" w:rsidP="007F22D6">
            <w:pPr>
              <w:spacing w:line="0" w:lineRule="atLeast"/>
              <w:jc w:val="center"/>
              <w:rPr>
                <w:rFonts w:eastAsia="標楷體"/>
              </w:rPr>
            </w:pPr>
            <w:r>
              <w:t>720400</w:t>
            </w:r>
            <w:r>
              <w:rPr>
                <w:rFonts w:hint="eastAsia"/>
              </w:rPr>
              <w:t>3</w:t>
            </w:r>
          </w:p>
        </w:tc>
        <w:tc>
          <w:tcPr>
            <w:tcW w:w="1080" w:type="dxa"/>
            <w:tcBorders>
              <w:top w:val="single" w:sz="4" w:space="0" w:color="auto"/>
              <w:left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學分數</w:t>
            </w:r>
          </w:p>
        </w:tc>
        <w:tc>
          <w:tcPr>
            <w:tcW w:w="3557" w:type="dxa"/>
            <w:tcBorders>
              <w:top w:val="single" w:sz="4" w:space="0" w:color="auto"/>
              <w:left w:val="single" w:sz="4" w:space="0" w:color="auto"/>
              <w:bottom w:val="single" w:sz="4" w:space="0" w:color="auto"/>
            </w:tcBorders>
            <w:vAlign w:val="center"/>
          </w:tcPr>
          <w:p w:rsidR="00FE0BCC" w:rsidRDefault="009F603C" w:rsidP="007F22D6">
            <w:pPr>
              <w:spacing w:line="0" w:lineRule="atLeast"/>
              <w:jc w:val="center"/>
              <w:rPr>
                <w:rFonts w:eastAsia="標楷體"/>
              </w:rPr>
            </w:pPr>
            <w:r>
              <w:rPr>
                <w:rFonts w:eastAsia="標楷體" w:hint="eastAsia"/>
              </w:rPr>
              <w:t>2</w:t>
            </w:r>
          </w:p>
        </w:tc>
      </w:tr>
      <w:tr w:rsidR="00FE0BCC" w:rsidTr="00E3470C">
        <w:trPr>
          <w:cantSplit/>
          <w:trHeight w:val="965"/>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授課方式</w:t>
            </w:r>
          </w:p>
        </w:tc>
        <w:tc>
          <w:tcPr>
            <w:tcW w:w="8597" w:type="dxa"/>
            <w:gridSpan w:val="3"/>
            <w:tcBorders>
              <w:top w:val="single" w:sz="4" w:space="0" w:color="auto"/>
              <w:left w:val="single" w:sz="4" w:space="0" w:color="auto"/>
              <w:bottom w:val="single" w:sz="4" w:space="0" w:color="auto"/>
            </w:tcBorders>
            <w:vAlign w:val="center"/>
          </w:tcPr>
          <w:p w:rsidR="007A3F83" w:rsidRDefault="007A3F83" w:rsidP="007F22D6">
            <w:pPr>
              <w:spacing w:line="0" w:lineRule="atLeast"/>
              <w:jc w:val="both"/>
              <w:rPr>
                <w:rFonts w:eastAsia="標楷體"/>
                <w:u w:val="single"/>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7A3F83" w:rsidRPr="007A3F83" w:rsidTr="00E3470C">
              <w:tc>
                <w:tcPr>
                  <w:tcW w:w="1709" w:type="dxa"/>
                </w:tcPr>
                <w:p w:rsidR="007A3F83" w:rsidRPr="007A3F83" w:rsidRDefault="009F603C" w:rsidP="00E550F6">
                  <w:pPr>
                    <w:rPr>
                      <w:rFonts w:ascii="標楷體" w:eastAsia="標楷體" w:hAnsi="標楷體"/>
                    </w:rPr>
                  </w:pPr>
                  <w:r w:rsidRPr="0063075B">
                    <w:rPr>
                      <w:rFonts w:eastAsia="標楷體" w:hint="eastAsia"/>
                      <w:sz w:val="22"/>
                      <w:szCs w:val="22"/>
                      <w:bdr w:val="single" w:sz="4" w:space="0" w:color="auto"/>
                    </w:rPr>
                    <w:t>V</w:t>
                  </w:r>
                  <w:r w:rsidR="007A3F83">
                    <w:rPr>
                      <w:rFonts w:ascii="標楷體" w:eastAsia="標楷體" w:hAnsi="標楷體" w:hint="eastAsia"/>
                    </w:rPr>
                    <w:t>課堂授課</w:t>
                  </w:r>
                </w:p>
              </w:tc>
              <w:tc>
                <w:tcPr>
                  <w:tcW w:w="1701" w:type="dxa"/>
                </w:tcPr>
                <w:p w:rsidR="007A3F83" w:rsidRPr="007A3F83" w:rsidRDefault="007A3F83" w:rsidP="00E550F6">
                  <w:pPr>
                    <w:rPr>
                      <w:rFonts w:ascii="標楷體" w:eastAsia="標楷體" w:hAnsi="標楷體"/>
                    </w:rPr>
                  </w:pPr>
                  <w:r w:rsidRPr="007A3F83">
                    <w:rPr>
                      <w:rFonts w:ascii="標楷體" w:eastAsia="標楷體" w:hAnsi="標楷體" w:hint="eastAsia"/>
                    </w:rPr>
                    <w:t>□</w:t>
                  </w:r>
                  <w:r>
                    <w:rPr>
                      <w:rFonts w:eastAsia="標楷體" w:hint="eastAsia"/>
                    </w:rPr>
                    <w:t>網路教學</w:t>
                  </w:r>
                </w:p>
              </w:tc>
              <w:tc>
                <w:tcPr>
                  <w:tcW w:w="1701" w:type="dxa"/>
                </w:tcPr>
                <w:p w:rsidR="007A3F83" w:rsidRPr="007A3F83" w:rsidRDefault="007A3F83" w:rsidP="00E550F6">
                  <w:pPr>
                    <w:rPr>
                      <w:rFonts w:ascii="標楷體" w:eastAsia="標楷體" w:hAnsi="標楷體"/>
                    </w:rPr>
                  </w:pPr>
                  <w:r w:rsidRPr="007A3F83">
                    <w:rPr>
                      <w:rFonts w:ascii="標楷體" w:eastAsia="標楷體" w:hAnsi="標楷體" w:hint="eastAsia"/>
                    </w:rPr>
                    <w:t>□</w:t>
                  </w:r>
                  <w:r>
                    <w:rPr>
                      <w:rFonts w:ascii="標楷體" w:eastAsia="標楷體" w:hAnsi="標楷體" w:hint="eastAsia"/>
                    </w:rPr>
                    <w:t>分組討論</w:t>
                  </w:r>
                </w:p>
              </w:tc>
              <w:tc>
                <w:tcPr>
                  <w:tcW w:w="1418" w:type="dxa"/>
                </w:tcPr>
                <w:p w:rsidR="007A3F83" w:rsidRPr="007A3F83" w:rsidRDefault="007A3F83" w:rsidP="00E550F6">
                  <w:pPr>
                    <w:rPr>
                      <w:rFonts w:ascii="標楷體" w:eastAsia="標楷體" w:hAnsi="標楷體"/>
                    </w:rPr>
                  </w:pPr>
                  <w:r w:rsidRPr="007A3F83">
                    <w:rPr>
                      <w:rFonts w:ascii="標楷體" w:eastAsia="標楷體" w:hAnsi="標楷體" w:hint="eastAsia"/>
                    </w:rPr>
                    <w:t>□</w:t>
                  </w:r>
                  <w:r>
                    <w:rPr>
                      <w:rFonts w:ascii="標楷體" w:eastAsia="標楷體" w:hAnsi="標楷體" w:hint="eastAsia"/>
                    </w:rPr>
                    <w:t>校外教學</w:t>
                  </w:r>
                </w:p>
              </w:tc>
              <w:tc>
                <w:tcPr>
                  <w:tcW w:w="1572" w:type="dxa"/>
                </w:tcPr>
                <w:p w:rsidR="007A3F83" w:rsidRPr="007A3F83" w:rsidRDefault="007A3F83" w:rsidP="00E550F6">
                  <w:pPr>
                    <w:rPr>
                      <w:rFonts w:ascii="標楷體" w:eastAsia="標楷體" w:hAnsi="標楷體"/>
                    </w:rPr>
                  </w:pPr>
                </w:p>
              </w:tc>
            </w:tr>
            <w:tr w:rsidR="00E3470C" w:rsidRPr="007A3F83" w:rsidTr="00E3470C">
              <w:tc>
                <w:tcPr>
                  <w:tcW w:w="8101" w:type="dxa"/>
                  <w:gridSpan w:val="5"/>
                </w:tcPr>
                <w:p w:rsidR="00E3470C" w:rsidRPr="007A3F83" w:rsidRDefault="00E3470C" w:rsidP="007A3F83">
                  <w:pPr>
                    <w:rPr>
                      <w:rFonts w:ascii="標楷體" w:eastAsia="標楷體" w:hAnsi="標楷體"/>
                    </w:rPr>
                  </w:pPr>
                  <w:r w:rsidRPr="007A3F83">
                    <w:rPr>
                      <w:rFonts w:ascii="標楷體" w:eastAsia="標楷體" w:hAnsi="標楷體" w:hint="eastAsia"/>
                    </w:rPr>
                    <w:t>□</w:t>
                  </w:r>
                  <w:r>
                    <w:rPr>
                      <w:rFonts w:ascii="標楷體" w:eastAsia="標楷體" w:hAnsi="標楷體" w:hint="eastAsia"/>
                    </w:rPr>
                    <w:t>其他</w:t>
                  </w:r>
                </w:p>
              </w:tc>
            </w:tr>
          </w:tbl>
          <w:p w:rsidR="007A3F83" w:rsidRDefault="007A3F83" w:rsidP="007F22D6">
            <w:pPr>
              <w:spacing w:line="0" w:lineRule="atLeast"/>
              <w:jc w:val="both"/>
              <w:rPr>
                <w:rFonts w:eastAsia="標楷體"/>
                <w:u w:val="single"/>
              </w:rPr>
            </w:pPr>
          </w:p>
        </w:tc>
      </w:tr>
      <w:tr w:rsidR="00FE0BCC" w:rsidTr="00E3470C">
        <w:trPr>
          <w:trHeight w:val="1050"/>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tcBorders>
          </w:tcPr>
          <w:p w:rsidR="00FE0BCC" w:rsidRDefault="009F603C" w:rsidP="007F22D6">
            <w:pPr>
              <w:spacing w:line="0" w:lineRule="atLeast"/>
              <w:rPr>
                <w:rFonts w:eastAsia="標楷體"/>
              </w:rPr>
            </w:pPr>
            <w:r w:rsidRPr="007F05F9">
              <w:rPr>
                <w:rFonts w:eastAsia="標楷體" w:hAnsi="標楷體" w:hint="eastAsia"/>
              </w:rPr>
              <w:t>教導學生如何觀察生活中各種隨機或不確定現象，以及何為有用資料，來探討這些現象對生活的影響及做正確的決策，並訓練學生應用統計學的基本觀念與分析技巧於各層面與行業的實際問題。</w:t>
            </w:r>
          </w:p>
        </w:tc>
      </w:tr>
      <w:tr w:rsidR="00FE0BCC" w:rsidTr="00E3470C">
        <w:trPr>
          <w:trHeight w:val="994"/>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sidRPr="00526268">
              <w:rPr>
                <w:rFonts w:ascii="標楷體" w:eastAsia="標楷體" w:hAnsi="標楷體" w:hint="eastAsia"/>
                <w:bCs/>
              </w:rPr>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597" w:type="dxa"/>
            <w:gridSpan w:val="3"/>
            <w:tcBorders>
              <w:top w:val="single" w:sz="4" w:space="0" w:color="auto"/>
              <w:left w:val="single" w:sz="4" w:space="0" w:color="auto"/>
              <w:bottom w:val="single" w:sz="4" w:space="0" w:color="auto"/>
            </w:tcBorders>
          </w:tcPr>
          <w:p w:rsidR="00FE0BCC" w:rsidRPr="00526268" w:rsidRDefault="009F603C" w:rsidP="007F22D6">
            <w:pPr>
              <w:spacing w:line="0" w:lineRule="atLeast"/>
              <w:rPr>
                <w:rFonts w:eastAsia="標楷體"/>
              </w:rPr>
            </w:pPr>
            <w:r>
              <w:rPr>
                <w:rFonts w:eastAsia="標楷體" w:hint="eastAsia"/>
                <w:color w:val="000000"/>
              </w:rPr>
              <w:t>在</w:t>
            </w:r>
            <w:r w:rsidRPr="007F05F9">
              <w:rPr>
                <w:rFonts w:eastAsia="標楷體" w:hint="eastAsia"/>
                <w:color w:val="000000"/>
              </w:rPr>
              <w:t>此課程中的訓練與引導設計，試圖使學生進行獨立性、批判性、系統性或整合性等面向的思考，且</w:t>
            </w:r>
            <w:r w:rsidRPr="007F05F9">
              <w:rPr>
                <w:rFonts w:eastAsia="標楷體" w:hint="eastAsia"/>
                <w:color w:val="000000"/>
                <w:kern w:val="0"/>
              </w:rPr>
              <w:t>能夠主動探索自我的價值或生命的真諦，或能具體實踐在自我生涯的規劃或發展。在具體操作的報告完成過程中</w:t>
            </w:r>
            <w:r w:rsidRPr="007F05F9">
              <w:rPr>
                <w:rFonts w:eastAsia="標楷體" w:hint="eastAsia"/>
                <w:color w:val="000000"/>
              </w:rPr>
              <w:t>，可</w:t>
            </w:r>
            <w:r w:rsidRPr="007F05F9">
              <w:rPr>
                <w:rFonts w:eastAsia="標楷體" w:hint="eastAsia"/>
                <w:color w:val="000000"/>
                <w:kern w:val="0"/>
              </w:rPr>
              <w:t>善用各種不同的表達方式進行有效的人際溝通，與他人完成共同的事物或目標。此外</w:t>
            </w:r>
            <w:r w:rsidRPr="007F05F9">
              <w:rPr>
                <w:rFonts w:eastAsia="標楷體" w:hint="eastAsia"/>
                <w:color w:val="000000"/>
              </w:rPr>
              <w:t>，</w:t>
            </w:r>
            <w:r w:rsidRPr="007F05F9">
              <w:rPr>
                <w:rFonts w:eastAsia="標楷體" w:hint="eastAsia"/>
                <w:color w:val="000000"/>
                <w:kern w:val="0"/>
              </w:rPr>
              <w:t>透過多元化的思維訓練，可以體驗各種不同的方式來發現問題、解析問題，或能進一步透過思考以有效解決問題。</w:t>
            </w:r>
          </w:p>
        </w:tc>
      </w:tr>
      <w:tr w:rsidR="00FE0BCC" w:rsidTr="0063075B">
        <w:trPr>
          <w:trHeight w:val="3385"/>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授課大綱</w:t>
            </w:r>
          </w:p>
          <w:p w:rsidR="00FE0BCC" w:rsidRDefault="00FE0BCC" w:rsidP="007F22D6">
            <w:pPr>
              <w:spacing w:line="0" w:lineRule="atLeast"/>
              <w:jc w:val="center"/>
              <w:rPr>
                <w:rFonts w:eastAsia="標楷體"/>
              </w:rPr>
            </w:pPr>
            <w:r>
              <w:rPr>
                <w:rFonts w:eastAsia="標楷體" w:hint="eastAsia"/>
              </w:rPr>
              <w:t>(</w:t>
            </w:r>
            <w:r>
              <w:rPr>
                <w:rFonts w:eastAsia="標楷體" w:hint="eastAsia"/>
              </w:rPr>
              <w:t>須含週次表及每週課程進度說明</w:t>
            </w:r>
            <w:r>
              <w:rPr>
                <w:rFonts w:eastAsia="標楷體" w:hint="eastAsia"/>
              </w:rPr>
              <w:t>)</w:t>
            </w:r>
          </w:p>
        </w:tc>
        <w:tc>
          <w:tcPr>
            <w:tcW w:w="8597" w:type="dxa"/>
            <w:gridSpan w:val="3"/>
            <w:tcBorders>
              <w:top w:val="single" w:sz="4" w:space="0" w:color="auto"/>
              <w:left w:val="single" w:sz="4" w:space="0" w:color="auto"/>
              <w:bottom w:val="single" w:sz="4" w:space="0" w:color="auto"/>
            </w:tcBorders>
          </w:tcPr>
          <w:p w:rsidR="007A3F8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3903"/>
            </w:tblGrid>
            <w:tr w:rsidR="008C3804" w:rsidTr="000C550F">
              <w:trPr>
                <w:jc w:val="center"/>
              </w:trPr>
              <w:tc>
                <w:tcPr>
                  <w:tcW w:w="712" w:type="dxa"/>
                </w:tcPr>
                <w:p w:rsidR="008C3804" w:rsidRPr="009E1461" w:rsidRDefault="008C3804" w:rsidP="007F22D6">
                  <w:pPr>
                    <w:spacing w:line="0" w:lineRule="atLeast"/>
                    <w:rPr>
                      <w:rFonts w:eastAsia="標楷體"/>
                    </w:rPr>
                  </w:pPr>
                  <w:r w:rsidRPr="009E1461">
                    <w:rPr>
                      <w:rFonts w:eastAsia="標楷體"/>
                    </w:rPr>
                    <w:t>週次</w:t>
                  </w:r>
                </w:p>
              </w:tc>
              <w:tc>
                <w:tcPr>
                  <w:tcW w:w="3903" w:type="dxa"/>
                </w:tcPr>
                <w:p w:rsidR="008C3804" w:rsidRPr="009E1461" w:rsidRDefault="008C3804" w:rsidP="007A3F83">
                  <w:pPr>
                    <w:spacing w:line="0" w:lineRule="atLeast"/>
                    <w:jc w:val="center"/>
                    <w:rPr>
                      <w:rFonts w:eastAsia="標楷體"/>
                    </w:rPr>
                  </w:pPr>
                  <w:r w:rsidRPr="009E1461">
                    <w:rPr>
                      <w:rFonts w:eastAsia="標楷體"/>
                    </w:rPr>
                    <w:t>主題</w:t>
                  </w:r>
                </w:p>
              </w:tc>
            </w:tr>
            <w:tr w:rsidR="008C3804" w:rsidTr="000C550F">
              <w:trPr>
                <w:jc w:val="center"/>
              </w:trPr>
              <w:tc>
                <w:tcPr>
                  <w:tcW w:w="712" w:type="dxa"/>
                </w:tcPr>
                <w:p w:rsidR="008C3804" w:rsidRPr="009E1461" w:rsidRDefault="008C3804" w:rsidP="007A3F83">
                  <w:pPr>
                    <w:spacing w:line="0" w:lineRule="atLeast"/>
                    <w:jc w:val="center"/>
                    <w:rPr>
                      <w:rFonts w:eastAsia="標楷體"/>
                    </w:rPr>
                  </w:pPr>
                  <w:r w:rsidRPr="009E1461">
                    <w:rPr>
                      <w:rFonts w:eastAsia="標楷體" w:hint="eastAsia"/>
                    </w:rPr>
                    <w:t>1</w:t>
                  </w:r>
                </w:p>
              </w:tc>
              <w:tc>
                <w:tcPr>
                  <w:tcW w:w="3903" w:type="dxa"/>
                </w:tcPr>
                <w:p w:rsidR="008C3804" w:rsidRPr="009E1461" w:rsidRDefault="009F603C" w:rsidP="007F22D6">
                  <w:pPr>
                    <w:spacing w:line="0" w:lineRule="atLeast"/>
                    <w:rPr>
                      <w:rFonts w:eastAsia="標楷體"/>
                    </w:rPr>
                  </w:pPr>
                  <w:r w:rsidRPr="009E1461">
                    <w:rPr>
                      <w:rFonts w:eastAsia="標楷體" w:hint="eastAsia"/>
                      <w:kern w:val="0"/>
                    </w:rPr>
                    <w:t>抽樣</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2</w:t>
                  </w:r>
                </w:p>
              </w:tc>
              <w:tc>
                <w:tcPr>
                  <w:tcW w:w="3903" w:type="dxa"/>
                  <w:vAlign w:val="center"/>
                </w:tcPr>
                <w:p w:rsidR="009F603C" w:rsidRPr="009E1461" w:rsidRDefault="009F603C" w:rsidP="004255B1">
                  <w:pPr>
                    <w:adjustRightInd w:val="0"/>
                    <w:snapToGrid w:val="0"/>
                    <w:spacing w:line="260" w:lineRule="exact"/>
                    <w:rPr>
                      <w:rFonts w:eastAsia="標楷體"/>
                    </w:rPr>
                  </w:pPr>
                  <w:r w:rsidRPr="009E1461">
                    <w:rPr>
                      <w:rFonts w:eastAsia="標楷體" w:hint="eastAsia"/>
                    </w:rPr>
                    <w:t>隨機試驗</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3</w:t>
                  </w:r>
                </w:p>
              </w:tc>
              <w:tc>
                <w:tcPr>
                  <w:tcW w:w="3903" w:type="dxa"/>
                  <w:vAlign w:val="center"/>
                </w:tcPr>
                <w:p w:rsidR="009F603C" w:rsidRPr="009E1461" w:rsidRDefault="009F603C" w:rsidP="004255B1">
                  <w:pPr>
                    <w:adjustRightInd w:val="0"/>
                    <w:snapToGrid w:val="0"/>
                    <w:spacing w:line="260" w:lineRule="exact"/>
                    <w:rPr>
                      <w:rFonts w:eastAsia="標楷體"/>
                    </w:rPr>
                  </w:pPr>
                  <w:r w:rsidRPr="009E1461">
                    <w:rPr>
                      <w:rFonts w:eastAsia="標楷體" w:hint="eastAsia"/>
                    </w:rPr>
                    <w:t>隨機試驗</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4</w:t>
                  </w:r>
                </w:p>
              </w:tc>
              <w:tc>
                <w:tcPr>
                  <w:tcW w:w="3903" w:type="dxa"/>
                </w:tcPr>
                <w:p w:rsidR="009F603C" w:rsidRPr="009E1461" w:rsidRDefault="009F603C" w:rsidP="007F22D6">
                  <w:pPr>
                    <w:spacing w:line="0" w:lineRule="atLeast"/>
                    <w:rPr>
                      <w:rFonts w:eastAsia="標楷體"/>
                    </w:rPr>
                  </w:pPr>
                  <w:r w:rsidRPr="009E1461">
                    <w:rPr>
                      <w:rFonts w:eastAsia="標楷體" w:hint="eastAsia"/>
                    </w:rPr>
                    <w:t>試驗設計</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5</w:t>
                  </w:r>
                </w:p>
              </w:tc>
              <w:tc>
                <w:tcPr>
                  <w:tcW w:w="3903" w:type="dxa"/>
                </w:tcPr>
                <w:p w:rsidR="009F603C" w:rsidRPr="009E1461" w:rsidRDefault="009F603C" w:rsidP="007F22D6">
                  <w:pPr>
                    <w:spacing w:line="0" w:lineRule="atLeast"/>
                    <w:rPr>
                      <w:rFonts w:eastAsia="標楷體"/>
                    </w:rPr>
                  </w:pPr>
                  <w:r w:rsidRPr="009E1461">
                    <w:rPr>
                      <w:rFonts w:eastAsia="標楷體" w:hint="eastAsia"/>
                    </w:rPr>
                    <w:t>樣本資料</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6</w:t>
                  </w:r>
                </w:p>
              </w:tc>
              <w:tc>
                <w:tcPr>
                  <w:tcW w:w="3903" w:type="dxa"/>
                </w:tcPr>
                <w:p w:rsidR="009F603C" w:rsidRPr="009E1461" w:rsidRDefault="009F603C" w:rsidP="007F22D6">
                  <w:pPr>
                    <w:spacing w:line="0" w:lineRule="atLeast"/>
                    <w:rPr>
                      <w:rFonts w:eastAsia="標楷體"/>
                    </w:rPr>
                  </w:pPr>
                  <w:r w:rsidRPr="009E1461">
                    <w:rPr>
                      <w:rFonts w:eastAsia="標楷體" w:hint="eastAsia"/>
                    </w:rPr>
                    <w:t>樣本資料</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7</w:t>
                  </w:r>
                </w:p>
              </w:tc>
              <w:tc>
                <w:tcPr>
                  <w:tcW w:w="3903" w:type="dxa"/>
                </w:tcPr>
                <w:p w:rsidR="009F603C" w:rsidRPr="009E1461" w:rsidRDefault="009F603C" w:rsidP="007F22D6">
                  <w:pPr>
                    <w:spacing w:line="0" w:lineRule="atLeast"/>
                    <w:rPr>
                      <w:rFonts w:eastAsia="標楷體"/>
                    </w:rPr>
                  </w:pPr>
                  <w:r w:rsidRPr="009E1461">
                    <w:rPr>
                      <w:rFonts w:eastAsia="標楷體" w:hint="eastAsia"/>
                    </w:rPr>
                    <w:t>分配與參數</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8</w:t>
                  </w:r>
                </w:p>
              </w:tc>
              <w:tc>
                <w:tcPr>
                  <w:tcW w:w="3903" w:type="dxa"/>
                </w:tcPr>
                <w:p w:rsidR="009F603C" w:rsidRPr="009E1461" w:rsidRDefault="009F603C" w:rsidP="007F22D6">
                  <w:pPr>
                    <w:spacing w:line="0" w:lineRule="atLeast"/>
                    <w:rPr>
                      <w:rFonts w:eastAsia="標楷體"/>
                    </w:rPr>
                  </w:pPr>
                  <w:r w:rsidRPr="009E1461">
                    <w:rPr>
                      <w:rFonts w:eastAsia="標楷體" w:hint="eastAsia"/>
                    </w:rPr>
                    <w:t>分配與參數</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9</w:t>
                  </w:r>
                </w:p>
              </w:tc>
              <w:tc>
                <w:tcPr>
                  <w:tcW w:w="3903" w:type="dxa"/>
                </w:tcPr>
                <w:p w:rsidR="009F603C" w:rsidRPr="009E1461" w:rsidRDefault="009F603C" w:rsidP="007F22D6">
                  <w:pPr>
                    <w:spacing w:line="0" w:lineRule="atLeast"/>
                    <w:rPr>
                      <w:rFonts w:eastAsia="標楷體"/>
                    </w:rPr>
                  </w:pPr>
                  <w:r w:rsidRPr="009E1461">
                    <w:rPr>
                      <w:rFonts w:eastAsia="標楷體" w:hint="eastAsia"/>
                    </w:rPr>
                    <w:t>分配與參數</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10</w:t>
                  </w:r>
                </w:p>
              </w:tc>
              <w:tc>
                <w:tcPr>
                  <w:tcW w:w="3903" w:type="dxa"/>
                </w:tcPr>
                <w:p w:rsidR="009F603C" w:rsidRPr="009E1461" w:rsidRDefault="00B72C75" w:rsidP="007F22D6">
                  <w:pPr>
                    <w:spacing w:line="0" w:lineRule="atLeast"/>
                    <w:rPr>
                      <w:rFonts w:eastAsia="標楷體"/>
                    </w:rPr>
                  </w:pPr>
                  <w:r>
                    <w:rPr>
                      <w:rFonts w:eastAsia="標楷體" w:hint="eastAsia"/>
                    </w:rPr>
                    <w:t>期中考</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11</w:t>
                  </w:r>
                </w:p>
              </w:tc>
              <w:tc>
                <w:tcPr>
                  <w:tcW w:w="3903" w:type="dxa"/>
                </w:tcPr>
                <w:p w:rsidR="009F603C" w:rsidRPr="009E1461" w:rsidRDefault="009F603C" w:rsidP="007F22D6">
                  <w:pPr>
                    <w:spacing w:line="0" w:lineRule="atLeast"/>
                    <w:rPr>
                      <w:rFonts w:eastAsia="標楷體"/>
                    </w:rPr>
                  </w:pPr>
                  <w:r w:rsidRPr="009E1461">
                    <w:rPr>
                      <w:rFonts w:eastAsia="標楷體" w:hint="eastAsia"/>
                    </w:rPr>
                    <w:t>基本機率與決策</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12</w:t>
                  </w:r>
                </w:p>
              </w:tc>
              <w:tc>
                <w:tcPr>
                  <w:tcW w:w="3903" w:type="dxa"/>
                </w:tcPr>
                <w:p w:rsidR="009F603C" w:rsidRPr="009E1461" w:rsidRDefault="009F603C" w:rsidP="007F22D6">
                  <w:pPr>
                    <w:spacing w:line="0" w:lineRule="atLeast"/>
                    <w:rPr>
                      <w:rFonts w:eastAsia="標楷體"/>
                    </w:rPr>
                  </w:pPr>
                  <w:r w:rsidRPr="009E1461">
                    <w:rPr>
                      <w:rFonts w:eastAsia="標楷體" w:hint="eastAsia"/>
                    </w:rPr>
                    <w:t>基本機率與決策</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13</w:t>
                  </w:r>
                </w:p>
              </w:tc>
              <w:tc>
                <w:tcPr>
                  <w:tcW w:w="3903" w:type="dxa"/>
                </w:tcPr>
                <w:p w:rsidR="009F603C" w:rsidRPr="009E1461" w:rsidRDefault="009F603C" w:rsidP="007F22D6">
                  <w:pPr>
                    <w:spacing w:line="0" w:lineRule="atLeast"/>
                    <w:rPr>
                      <w:rFonts w:eastAsia="標楷體"/>
                    </w:rPr>
                  </w:pPr>
                  <w:r w:rsidRPr="009E1461">
                    <w:rPr>
                      <w:rFonts w:eastAsia="標楷體" w:hint="eastAsia"/>
                    </w:rPr>
                    <w:t>估計與意義</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14</w:t>
                  </w:r>
                </w:p>
              </w:tc>
              <w:tc>
                <w:tcPr>
                  <w:tcW w:w="3903" w:type="dxa"/>
                </w:tcPr>
                <w:p w:rsidR="009F603C" w:rsidRPr="009E1461" w:rsidRDefault="009F603C" w:rsidP="007F22D6">
                  <w:pPr>
                    <w:spacing w:line="0" w:lineRule="atLeast"/>
                    <w:rPr>
                      <w:rFonts w:eastAsia="標楷體"/>
                    </w:rPr>
                  </w:pPr>
                  <w:r w:rsidRPr="009E1461">
                    <w:rPr>
                      <w:rFonts w:eastAsia="標楷體" w:hint="eastAsia"/>
                    </w:rPr>
                    <w:t>估計與意義</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15</w:t>
                  </w:r>
                </w:p>
              </w:tc>
              <w:tc>
                <w:tcPr>
                  <w:tcW w:w="3903" w:type="dxa"/>
                  <w:vAlign w:val="center"/>
                </w:tcPr>
                <w:p w:rsidR="009F603C" w:rsidRPr="009E1461" w:rsidRDefault="009F603C" w:rsidP="004255B1">
                  <w:pPr>
                    <w:widowControl/>
                    <w:spacing w:line="260" w:lineRule="exact"/>
                    <w:rPr>
                      <w:rFonts w:eastAsia="標楷體"/>
                    </w:rPr>
                  </w:pPr>
                  <w:r w:rsidRPr="009E1461">
                    <w:rPr>
                      <w:rFonts w:eastAsia="標楷體" w:hint="eastAsia"/>
                    </w:rPr>
                    <w:t>檢定與決策</w:t>
                  </w:r>
                </w:p>
              </w:tc>
            </w:tr>
            <w:tr w:rsidR="009F603C" w:rsidTr="000C550F">
              <w:trPr>
                <w:jc w:val="center"/>
              </w:trPr>
              <w:tc>
                <w:tcPr>
                  <w:tcW w:w="712" w:type="dxa"/>
                </w:tcPr>
                <w:p w:rsidR="009F603C" w:rsidRPr="009E1461" w:rsidRDefault="009F603C" w:rsidP="007A3F83">
                  <w:pPr>
                    <w:spacing w:line="0" w:lineRule="atLeast"/>
                    <w:jc w:val="center"/>
                    <w:rPr>
                      <w:rFonts w:eastAsia="標楷體"/>
                    </w:rPr>
                  </w:pPr>
                  <w:r w:rsidRPr="009E1461">
                    <w:rPr>
                      <w:rFonts w:eastAsia="標楷體" w:hint="eastAsia"/>
                    </w:rPr>
                    <w:t>16</w:t>
                  </w:r>
                </w:p>
              </w:tc>
              <w:tc>
                <w:tcPr>
                  <w:tcW w:w="3903" w:type="dxa"/>
                  <w:vAlign w:val="center"/>
                </w:tcPr>
                <w:p w:rsidR="009F603C" w:rsidRPr="009E1461" w:rsidRDefault="009F603C" w:rsidP="004255B1">
                  <w:pPr>
                    <w:widowControl/>
                    <w:spacing w:line="260" w:lineRule="exact"/>
                    <w:rPr>
                      <w:rFonts w:eastAsia="標楷體"/>
                    </w:rPr>
                  </w:pPr>
                  <w:r w:rsidRPr="009E1461">
                    <w:rPr>
                      <w:rFonts w:eastAsia="標楷體" w:hint="eastAsia"/>
                    </w:rPr>
                    <w:t>檢定與決策</w:t>
                  </w:r>
                </w:p>
              </w:tc>
            </w:tr>
            <w:tr w:rsidR="002E4A14" w:rsidTr="000C550F">
              <w:trPr>
                <w:jc w:val="center"/>
              </w:trPr>
              <w:tc>
                <w:tcPr>
                  <w:tcW w:w="712" w:type="dxa"/>
                </w:tcPr>
                <w:p w:rsidR="002E4A14" w:rsidRPr="009E1461" w:rsidRDefault="002E4A14" w:rsidP="007A3F83">
                  <w:pPr>
                    <w:spacing w:line="0" w:lineRule="atLeast"/>
                    <w:jc w:val="center"/>
                    <w:rPr>
                      <w:rFonts w:eastAsia="標楷體"/>
                    </w:rPr>
                  </w:pPr>
                  <w:r w:rsidRPr="009E1461">
                    <w:rPr>
                      <w:rFonts w:eastAsia="標楷體" w:hint="eastAsia"/>
                    </w:rPr>
                    <w:t>17</w:t>
                  </w:r>
                </w:p>
              </w:tc>
              <w:tc>
                <w:tcPr>
                  <w:tcW w:w="3903" w:type="dxa"/>
                </w:tcPr>
                <w:p w:rsidR="002E4A14" w:rsidRPr="009E1461" w:rsidRDefault="002E4A14" w:rsidP="005C6CFF">
                  <w:pPr>
                    <w:spacing w:line="0" w:lineRule="atLeast"/>
                    <w:rPr>
                      <w:rFonts w:eastAsia="標楷體"/>
                    </w:rPr>
                  </w:pPr>
                  <w:r w:rsidRPr="009E1461">
                    <w:rPr>
                      <w:rFonts w:eastAsia="標楷體" w:hint="eastAsia"/>
                    </w:rPr>
                    <w:t>統計結論之釐定</w:t>
                  </w:r>
                </w:p>
              </w:tc>
            </w:tr>
            <w:tr w:rsidR="002E4A14" w:rsidTr="000C550F">
              <w:trPr>
                <w:jc w:val="center"/>
              </w:trPr>
              <w:tc>
                <w:tcPr>
                  <w:tcW w:w="712" w:type="dxa"/>
                </w:tcPr>
                <w:p w:rsidR="002E4A14" w:rsidRPr="009E1461" w:rsidRDefault="002E4A14" w:rsidP="007A3F83">
                  <w:pPr>
                    <w:spacing w:line="0" w:lineRule="atLeast"/>
                    <w:jc w:val="center"/>
                    <w:rPr>
                      <w:rFonts w:eastAsia="標楷體"/>
                    </w:rPr>
                  </w:pPr>
                  <w:r w:rsidRPr="009E1461">
                    <w:rPr>
                      <w:rFonts w:eastAsia="標楷體" w:hint="eastAsia"/>
                    </w:rPr>
                    <w:t>18</w:t>
                  </w:r>
                </w:p>
              </w:tc>
              <w:tc>
                <w:tcPr>
                  <w:tcW w:w="3903" w:type="dxa"/>
                </w:tcPr>
                <w:p w:rsidR="002E4A14" w:rsidRPr="009E1461" w:rsidRDefault="002E4A14" w:rsidP="007F22D6">
                  <w:pPr>
                    <w:spacing w:line="0" w:lineRule="atLeast"/>
                    <w:rPr>
                      <w:rFonts w:eastAsia="標楷體"/>
                    </w:rPr>
                  </w:pPr>
                  <w:r>
                    <w:rPr>
                      <w:rFonts w:eastAsia="標楷體" w:hint="eastAsia"/>
                    </w:rPr>
                    <w:t>期末考</w:t>
                  </w:r>
                </w:p>
              </w:tc>
            </w:tr>
          </w:tbl>
          <w:p w:rsidR="009E1461" w:rsidRPr="009E1461" w:rsidRDefault="009F603C" w:rsidP="009F603C">
            <w:pPr>
              <w:spacing w:beforeLines="30" w:before="108" w:line="0" w:lineRule="atLeast"/>
              <w:ind w:leftChars="14" w:left="992" w:hangingChars="399" w:hanging="958"/>
              <w:rPr>
                <w:rFonts w:eastAsia="標楷體"/>
                <w:kern w:val="0"/>
              </w:rPr>
            </w:pPr>
            <w:r>
              <w:rPr>
                <w:rFonts w:eastAsia="標楷體" w:hint="eastAsia"/>
              </w:rPr>
              <w:t>第</w:t>
            </w:r>
            <w:r w:rsidR="009E1461">
              <w:rPr>
                <w:rFonts w:eastAsia="標楷體" w:hint="eastAsia"/>
              </w:rPr>
              <w:t>1</w:t>
            </w:r>
            <w:r>
              <w:rPr>
                <w:rFonts w:eastAsia="標楷體" w:hint="eastAsia"/>
              </w:rPr>
              <w:t>週：</w:t>
            </w:r>
            <w:r w:rsidR="009E1461" w:rsidRPr="009E1461">
              <w:rPr>
                <w:rFonts w:eastAsia="標楷體" w:hint="eastAsia"/>
                <w:kern w:val="0"/>
              </w:rPr>
              <w:t>抽樣</w:t>
            </w:r>
          </w:p>
          <w:p w:rsidR="009E1461" w:rsidRPr="009E1461" w:rsidRDefault="00947B09" w:rsidP="000C550F">
            <w:pPr>
              <w:spacing w:line="0" w:lineRule="atLeast"/>
              <w:ind w:firstLineChars="200" w:firstLine="480"/>
              <w:rPr>
                <w:rFonts w:eastAsia="標楷體"/>
              </w:rPr>
            </w:pPr>
            <w:r>
              <w:rPr>
                <w:rFonts w:eastAsia="標楷體" w:hint="eastAsia"/>
              </w:rPr>
              <w:t>內容網要</w:t>
            </w:r>
            <w:r w:rsidR="009E1461">
              <w:rPr>
                <w:rFonts w:eastAsia="標楷體" w:hint="eastAsia"/>
              </w:rPr>
              <w:t>：</w:t>
            </w:r>
            <w:r w:rsidR="009E1461" w:rsidRPr="009E1461">
              <w:rPr>
                <w:rFonts w:eastAsia="標楷體" w:hint="eastAsia"/>
              </w:rPr>
              <w:t>母體與母體分配，樣本的實質意義，各類抽樣方式</w:t>
            </w:r>
            <w:r w:rsidR="000F62A1">
              <w:rPr>
                <w:rFonts w:eastAsia="標楷體" w:hint="eastAsia"/>
              </w:rPr>
              <w:t>。</w:t>
            </w:r>
          </w:p>
          <w:p w:rsidR="009F603C" w:rsidRDefault="009E1461" w:rsidP="000C550F">
            <w:pPr>
              <w:spacing w:line="0" w:lineRule="atLeast"/>
              <w:ind w:firstLineChars="200" w:firstLine="480"/>
              <w:rPr>
                <w:rFonts w:eastAsia="標楷體"/>
              </w:rPr>
            </w:pPr>
            <w:r>
              <w:rPr>
                <w:rFonts w:eastAsia="標楷體" w:hint="eastAsia"/>
              </w:rPr>
              <w:t>課程</w:t>
            </w:r>
            <w:r w:rsidR="00947B09">
              <w:rPr>
                <w:rFonts w:eastAsia="標楷體" w:hint="eastAsia"/>
              </w:rPr>
              <w:t>說明</w:t>
            </w:r>
            <w:r>
              <w:rPr>
                <w:rFonts w:eastAsia="標楷體" w:hint="eastAsia"/>
              </w:rPr>
              <w:t>：</w:t>
            </w:r>
            <w:r w:rsidR="009F603C">
              <w:rPr>
                <w:rFonts w:eastAsia="標楷體" w:hint="eastAsia"/>
              </w:rPr>
              <w:t>數據從何而來？何謂好樣本與壞樣本？樣本告訴我們母體的概況。</w:t>
            </w:r>
          </w:p>
          <w:p w:rsidR="009E1461" w:rsidRDefault="009F603C" w:rsidP="009F603C">
            <w:pPr>
              <w:spacing w:beforeLines="30" w:before="108" w:line="0" w:lineRule="atLeast"/>
              <w:ind w:leftChars="14" w:left="992" w:hangingChars="399" w:hanging="958"/>
              <w:rPr>
                <w:rFonts w:eastAsia="標楷體"/>
              </w:rPr>
            </w:pPr>
            <w:r>
              <w:rPr>
                <w:rFonts w:eastAsia="標楷體" w:hint="eastAsia"/>
              </w:rPr>
              <w:t>第</w:t>
            </w:r>
            <w:r w:rsidR="009E1461">
              <w:rPr>
                <w:rFonts w:eastAsia="標楷體" w:hint="eastAsia"/>
              </w:rPr>
              <w:t>2</w:t>
            </w:r>
            <w:r>
              <w:rPr>
                <w:rFonts w:eastAsia="標楷體" w:hint="eastAsia"/>
              </w:rPr>
              <w:t>週：</w:t>
            </w:r>
            <w:r w:rsidR="009E1461" w:rsidRPr="009E1461">
              <w:rPr>
                <w:rFonts w:eastAsia="標楷體" w:hint="eastAsia"/>
              </w:rPr>
              <w:t>隨機試驗</w:t>
            </w:r>
          </w:p>
          <w:p w:rsidR="009E1461" w:rsidRPr="009E1461" w:rsidRDefault="009E1461" w:rsidP="000C550F">
            <w:pPr>
              <w:spacing w:line="0" w:lineRule="atLeast"/>
              <w:ind w:leftChars="200" w:left="1579" w:hangingChars="458" w:hanging="1099"/>
              <w:rPr>
                <w:rFonts w:eastAsia="標楷體"/>
              </w:rPr>
            </w:pPr>
            <w:r>
              <w:rPr>
                <w:rFonts w:eastAsia="標楷體" w:hint="eastAsia"/>
              </w:rPr>
              <w:t>內容網要：</w:t>
            </w:r>
            <w:r w:rsidRPr="009E1461">
              <w:rPr>
                <w:rFonts w:eastAsia="標楷體" w:hint="eastAsia"/>
              </w:rPr>
              <w:t>樣本空間，事件，隨機變數</w:t>
            </w:r>
            <w:r w:rsidR="000F62A1">
              <w:rPr>
                <w:rFonts w:eastAsia="標楷體" w:hint="eastAsia"/>
              </w:rPr>
              <w:t>。</w:t>
            </w:r>
          </w:p>
          <w:p w:rsidR="009F603C" w:rsidRDefault="009E1461" w:rsidP="000C550F">
            <w:pPr>
              <w:spacing w:line="0" w:lineRule="atLeast"/>
              <w:ind w:leftChars="200" w:left="1632" w:hangingChars="480" w:hanging="1152"/>
              <w:rPr>
                <w:rFonts w:eastAsia="標楷體"/>
              </w:rPr>
            </w:pPr>
            <w:r>
              <w:rPr>
                <w:rFonts w:eastAsia="標楷體" w:hint="eastAsia"/>
              </w:rPr>
              <w:t>課程說明</w:t>
            </w:r>
            <w:r w:rsidR="000C550F">
              <w:rPr>
                <w:rFonts w:eastAsia="標楷體" w:hint="eastAsia"/>
              </w:rPr>
              <w:t>：</w:t>
            </w:r>
            <w:r w:rsidR="009F603C">
              <w:rPr>
                <w:rFonts w:eastAsia="標楷體" w:hint="eastAsia"/>
              </w:rPr>
              <w:t>從樣本到母體，樣本是母體的縮影嗎？抽樣調查怎樣出錯？各類抽樣方式的說明。</w:t>
            </w:r>
          </w:p>
          <w:p w:rsidR="0063075B" w:rsidRDefault="0063075B" w:rsidP="000C550F">
            <w:pPr>
              <w:spacing w:line="0" w:lineRule="atLeast"/>
              <w:ind w:leftChars="200" w:left="1632" w:hangingChars="480" w:hanging="1152"/>
              <w:rPr>
                <w:rFonts w:eastAsia="標楷體"/>
              </w:rPr>
            </w:pPr>
          </w:p>
          <w:p w:rsidR="009E1461" w:rsidRDefault="009F603C" w:rsidP="009F603C">
            <w:pPr>
              <w:spacing w:beforeLines="30" w:before="108" w:line="0" w:lineRule="atLeast"/>
              <w:ind w:leftChars="14" w:left="992" w:hangingChars="399" w:hanging="958"/>
              <w:rPr>
                <w:rFonts w:eastAsia="標楷體"/>
              </w:rPr>
            </w:pPr>
            <w:r>
              <w:rPr>
                <w:rFonts w:eastAsia="標楷體" w:hint="eastAsia"/>
              </w:rPr>
              <w:t>第</w:t>
            </w:r>
            <w:r w:rsidR="009E1461">
              <w:rPr>
                <w:rFonts w:eastAsia="標楷體" w:hint="eastAsia"/>
              </w:rPr>
              <w:t>3</w:t>
            </w:r>
            <w:r>
              <w:rPr>
                <w:rFonts w:eastAsia="標楷體" w:hint="eastAsia"/>
              </w:rPr>
              <w:t>週：</w:t>
            </w:r>
            <w:r w:rsidR="009E1461" w:rsidRPr="009E1461">
              <w:rPr>
                <w:rFonts w:eastAsia="標楷體" w:hint="eastAsia"/>
              </w:rPr>
              <w:t>隨機試驗</w:t>
            </w:r>
          </w:p>
          <w:p w:rsidR="009E1461" w:rsidRPr="009E1461" w:rsidRDefault="009E1461" w:rsidP="000C550F">
            <w:pPr>
              <w:spacing w:line="0" w:lineRule="atLeast"/>
              <w:ind w:leftChars="186" w:left="1579" w:hangingChars="472" w:hanging="1133"/>
              <w:rPr>
                <w:rFonts w:eastAsia="標楷體"/>
              </w:rPr>
            </w:pPr>
            <w:r>
              <w:rPr>
                <w:rFonts w:eastAsia="標楷體" w:hint="eastAsia"/>
              </w:rPr>
              <w:t>內容網要：</w:t>
            </w:r>
            <w:r w:rsidRPr="009E1461">
              <w:rPr>
                <w:rFonts w:eastAsia="標楷體" w:hint="eastAsia"/>
              </w:rPr>
              <w:t>樣本空間，事件，隨機變數</w:t>
            </w:r>
            <w:r w:rsidR="000F62A1">
              <w:rPr>
                <w:rFonts w:eastAsia="標楷體" w:hint="eastAsia"/>
              </w:rPr>
              <w:t>。</w:t>
            </w:r>
          </w:p>
          <w:p w:rsidR="009F603C" w:rsidRDefault="009E1461" w:rsidP="000C550F">
            <w:pPr>
              <w:spacing w:line="0" w:lineRule="atLeast"/>
              <w:ind w:leftChars="186" w:left="1579" w:hangingChars="472" w:hanging="1133"/>
              <w:rPr>
                <w:rFonts w:eastAsia="標楷體"/>
              </w:rPr>
            </w:pPr>
            <w:r>
              <w:rPr>
                <w:rFonts w:eastAsia="標楷體" w:hint="eastAsia"/>
              </w:rPr>
              <w:t>課程說明：</w:t>
            </w:r>
            <w:r w:rsidR="009F603C">
              <w:rPr>
                <w:rFonts w:eastAsia="標楷體" w:hint="eastAsia"/>
              </w:rPr>
              <w:t>真實世界中的抽樣調查怎麼做？何謂隨機樣本？樣本資料真的隨機嗎？是否資料有偏差。</w:t>
            </w:r>
          </w:p>
          <w:p w:rsidR="009E1461" w:rsidRDefault="009F603C" w:rsidP="009F603C">
            <w:pPr>
              <w:spacing w:beforeLines="30" w:before="108" w:line="0" w:lineRule="atLeast"/>
              <w:ind w:leftChars="14" w:left="992" w:hangingChars="399" w:hanging="958"/>
              <w:rPr>
                <w:rFonts w:eastAsia="標楷體"/>
              </w:rPr>
            </w:pPr>
            <w:r>
              <w:rPr>
                <w:rFonts w:eastAsia="標楷體" w:hint="eastAsia"/>
              </w:rPr>
              <w:t>第</w:t>
            </w:r>
            <w:r w:rsidR="009E1461">
              <w:rPr>
                <w:rFonts w:eastAsia="標楷體" w:hint="eastAsia"/>
              </w:rPr>
              <w:t>4</w:t>
            </w:r>
            <w:r>
              <w:rPr>
                <w:rFonts w:eastAsia="標楷體" w:hint="eastAsia"/>
              </w:rPr>
              <w:t>週：</w:t>
            </w:r>
            <w:r w:rsidR="000C550F" w:rsidRPr="009E1461">
              <w:rPr>
                <w:rFonts w:eastAsia="標楷體" w:hint="eastAsia"/>
              </w:rPr>
              <w:t>試驗設計</w:t>
            </w:r>
          </w:p>
          <w:p w:rsidR="000C550F" w:rsidRDefault="009E1461" w:rsidP="000C550F">
            <w:pPr>
              <w:spacing w:line="0" w:lineRule="atLeast"/>
              <w:ind w:leftChars="186" w:left="1579" w:hangingChars="472" w:hanging="1133"/>
              <w:rPr>
                <w:rFonts w:eastAsia="標楷體"/>
              </w:rPr>
            </w:pPr>
            <w:r>
              <w:rPr>
                <w:rFonts w:eastAsia="標楷體" w:hint="eastAsia"/>
              </w:rPr>
              <w:t>內容網要：</w:t>
            </w:r>
            <w:r w:rsidR="000C550F" w:rsidRPr="000F62A1">
              <w:rPr>
                <w:rFonts w:eastAsia="標楷體" w:hint="eastAsia"/>
              </w:rPr>
              <w:t>依母體資訊如何設計取最有資訊之資料</w:t>
            </w:r>
            <w:r w:rsidR="000F62A1">
              <w:rPr>
                <w:rFonts w:eastAsia="標楷體" w:hint="eastAsia"/>
              </w:rPr>
              <w:t>。</w:t>
            </w:r>
          </w:p>
          <w:p w:rsidR="009F603C" w:rsidRDefault="000C550F" w:rsidP="000C550F">
            <w:pPr>
              <w:spacing w:line="0" w:lineRule="atLeast"/>
              <w:ind w:leftChars="186" w:left="1579" w:hangingChars="472" w:hanging="1133"/>
              <w:rPr>
                <w:rFonts w:eastAsia="標楷體"/>
              </w:rPr>
            </w:pPr>
            <w:r>
              <w:rPr>
                <w:rFonts w:eastAsia="標楷體" w:hint="eastAsia"/>
              </w:rPr>
              <w:t>課程說明：</w:t>
            </w:r>
            <w:r w:rsidR="009F603C">
              <w:rPr>
                <w:rFonts w:eastAsia="標楷體" w:hint="eastAsia"/>
              </w:rPr>
              <w:t>何謂主流？何謂平均數與模型？如何以平均數與模型作有關主流的結論。</w:t>
            </w:r>
          </w:p>
          <w:p w:rsidR="009F603C" w:rsidRDefault="009F603C" w:rsidP="009F603C">
            <w:pPr>
              <w:spacing w:beforeLines="30" w:before="108" w:line="0" w:lineRule="atLeast"/>
              <w:ind w:leftChars="14" w:left="992" w:hangingChars="399" w:hanging="958"/>
              <w:rPr>
                <w:rFonts w:eastAsia="標楷體"/>
              </w:rPr>
            </w:pPr>
            <w:r>
              <w:rPr>
                <w:rFonts w:eastAsia="標楷體" w:hint="eastAsia"/>
              </w:rPr>
              <w:t>第</w:t>
            </w:r>
            <w:r w:rsidR="000C550F">
              <w:rPr>
                <w:rFonts w:eastAsia="標楷體" w:hint="eastAsia"/>
              </w:rPr>
              <w:t>5</w:t>
            </w:r>
            <w:r>
              <w:rPr>
                <w:rFonts w:eastAsia="標楷體" w:hint="eastAsia"/>
              </w:rPr>
              <w:t>週：</w:t>
            </w:r>
            <w:r w:rsidR="000C550F" w:rsidRPr="009E1461">
              <w:rPr>
                <w:rFonts w:eastAsia="標楷體" w:hint="eastAsia"/>
              </w:rPr>
              <w:t>樣本資料</w:t>
            </w:r>
          </w:p>
          <w:p w:rsidR="000C550F" w:rsidRDefault="000C550F" w:rsidP="000C550F">
            <w:pPr>
              <w:spacing w:line="0" w:lineRule="atLeast"/>
              <w:ind w:leftChars="200" w:left="1613" w:hangingChars="472" w:hanging="1133"/>
              <w:rPr>
                <w:rFonts w:eastAsia="標楷體"/>
              </w:rPr>
            </w:pPr>
            <w:r>
              <w:rPr>
                <w:rFonts w:eastAsia="標楷體" w:hint="eastAsia"/>
              </w:rPr>
              <w:t>內容網要：</w:t>
            </w:r>
            <w:r w:rsidRPr="009F02D6">
              <w:rPr>
                <w:rFonts w:eastAsia="標楷體" w:hint="eastAsia"/>
                <w:sz w:val="22"/>
                <w:szCs w:val="22"/>
              </w:rPr>
              <w:t>樣本分配與母體分配的關係，大數法則</w:t>
            </w:r>
            <w:r w:rsidR="000F62A1">
              <w:rPr>
                <w:rFonts w:eastAsia="標楷體" w:hint="eastAsia"/>
                <w:sz w:val="22"/>
                <w:szCs w:val="22"/>
              </w:rPr>
              <w:t>。</w:t>
            </w:r>
          </w:p>
          <w:p w:rsidR="000C550F" w:rsidRPr="000C550F" w:rsidRDefault="000C550F" w:rsidP="000C550F">
            <w:pPr>
              <w:spacing w:line="0" w:lineRule="atLeast"/>
              <w:ind w:leftChars="200" w:left="1613" w:hangingChars="472" w:hanging="1133"/>
              <w:rPr>
                <w:rFonts w:eastAsia="標楷體"/>
              </w:rPr>
            </w:pPr>
            <w:r>
              <w:rPr>
                <w:rFonts w:eastAsia="標楷體" w:hint="eastAsia"/>
              </w:rPr>
              <w:t>課程說明：隨機試驗的結果所形成的樣本空間，事件，以及每個事件發生的機率如何釐定。</w:t>
            </w:r>
          </w:p>
          <w:p w:rsidR="009F603C" w:rsidRDefault="009F603C" w:rsidP="009F603C">
            <w:pPr>
              <w:spacing w:beforeLines="30" w:before="108" w:line="0" w:lineRule="atLeast"/>
              <w:ind w:leftChars="14" w:left="992" w:hangingChars="399" w:hanging="958"/>
              <w:rPr>
                <w:rFonts w:eastAsia="標楷體"/>
              </w:rPr>
            </w:pPr>
            <w:r>
              <w:rPr>
                <w:rFonts w:eastAsia="標楷體" w:hint="eastAsia"/>
              </w:rPr>
              <w:t>第</w:t>
            </w:r>
            <w:r w:rsidR="000C550F">
              <w:rPr>
                <w:rFonts w:eastAsia="標楷體" w:hint="eastAsia"/>
              </w:rPr>
              <w:t>6</w:t>
            </w:r>
            <w:r>
              <w:rPr>
                <w:rFonts w:eastAsia="標楷體" w:hint="eastAsia"/>
              </w:rPr>
              <w:t>週：</w:t>
            </w:r>
            <w:r w:rsidR="000C550F" w:rsidRPr="009E1461">
              <w:rPr>
                <w:rFonts w:eastAsia="標楷體" w:hint="eastAsia"/>
              </w:rPr>
              <w:t>樣本資料</w:t>
            </w:r>
          </w:p>
          <w:p w:rsidR="000C550F" w:rsidRDefault="000C550F" w:rsidP="000C550F">
            <w:pPr>
              <w:ind w:leftChars="200" w:left="960" w:hangingChars="200" w:hanging="480"/>
              <w:rPr>
                <w:rFonts w:eastAsia="標楷體"/>
              </w:rPr>
            </w:pPr>
            <w:r>
              <w:rPr>
                <w:rFonts w:eastAsia="標楷體" w:hint="eastAsia"/>
              </w:rPr>
              <w:t>內容網要：</w:t>
            </w:r>
            <w:r w:rsidRPr="009F02D6">
              <w:rPr>
                <w:rFonts w:eastAsia="標楷體" w:hint="eastAsia"/>
                <w:sz w:val="22"/>
                <w:szCs w:val="22"/>
              </w:rPr>
              <w:t>樣本分配與母體分配的關係，大數法則</w:t>
            </w:r>
          </w:p>
          <w:p w:rsidR="000C550F" w:rsidRDefault="000C550F" w:rsidP="000C550F">
            <w:pPr>
              <w:ind w:leftChars="200" w:left="960" w:hangingChars="200" w:hanging="480"/>
              <w:rPr>
                <w:rFonts w:eastAsia="標楷體"/>
              </w:rPr>
            </w:pPr>
            <w:r>
              <w:rPr>
                <w:rFonts w:eastAsia="標楷體" w:hint="eastAsia"/>
              </w:rPr>
              <w:t>課程說明：各類樣本空間的舉例與所涉及的機率演算。</w:t>
            </w:r>
          </w:p>
          <w:p w:rsidR="009F603C" w:rsidRDefault="009F603C" w:rsidP="009F603C">
            <w:pPr>
              <w:spacing w:beforeLines="30" w:before="108" w:line="0" w:lineRule="atLeast"/>
              <w:ind w:leftChars="14" w:left="992" w:hangingChars="399" w:hanging="958"/>
              <w:rPr>
                <w:rFonts w:eastAsia="標楷體"/>
              </w:rPr>
            </w:pPr>
            <w:r>
              <w:rPr>
                <w:rFonts w:eastAsia="標楷體" w:hint="eastAsia"/>
              </w:rPr>
              <w:t>第</w:t>
            </w:r>
            <w:r w:rsidR="000C550F">
              <w:rPr>
                <w:rFonts w:eastAsia="標楷體" w:hint="eastAsia"/>
              </w:rPr>
              <w:t>7</w:t>
            </w:r>
            <w:r>
              <w:rPr>
                <w:rFonts w:eastAsia="標楷體" w:hint="eastAsia"/>
              </w:rPr>
              <w:t>週：</w:t>
            </w:r>
            <w:r w:rsidR="000C550F" w:rsidRPr="009E1461">
              <w:rPr>
                <w:rFonts w:eastAsia="標楷體" w:hint="eastAsia"/>
              </w:rPr>
              <w:t>分配與參數</w:t>
            </w:r>
          </w:p>
          <w:p w:rsidR="000C550F" w:rsidRPr="000C550F" w:rsidRDefault="000C550F" w:rsidP="00B72C75">
            <w:pPr>
              <w:spacing w:line="0" w:lineRule="atLeast"/>
              <w:ind w:leftChars="200" w:left="1632" w:hangingChars="480" w:hanging="1152"/>
              <w:rPr>
                <w:rFonts w:eastAsia="標楷體"/>
              </w:rPr>
            </w:pPr>
            <w:r w:rsidRPr="000C550F">
              <w:rPr>
                <w:rFonts w:eastAsia="標楷體" w:hint="eastAsia"/>
              </w:rPr>
              <w:t>內容網要：各種分配與其中之參數所包含的意義，以樣本資料估計母體參數</w:t>
            </w:r>
          </w:p>
          <w:p w:rsidR="000C550F" w:rsidRDefault="000C550F" w:rsidP="00B72C75">
            <w:pPr>
              <w:spacing w:line="0" w:lineRule="atLeast"/>
              <w:ind w:leftChars="200" w:left="1632" w:hangingChars="480" w:hanging="1152"/>
              <w:rPr>
                <w:rFonts w:eastAsia="標楷體"/>
              </w:rPr>
            </w:pPr>
            <w:r>
              <w:rPr>
                <w:rFonts w:eastAsia="標楷體" w:hint="eastAsia"/>
              </w:rPr>
              <w:t>課程說明：條件機率的設定與實質意義，不同事件之間的相關與獨立如何確定與量化。</w:t>
            </w:r>
          </w:p>
          <w:p w:rsidR="000C550F" w:rsidRDefault="009F603C" w:rsidP="009F603C">
            <w:pPr>
              <w:spacing w:beforeLines="30" w:before="108" w:line="0" w:lineRule="atLeast"/>
              <w:ind w:leftChars="14" w:left="992" w:hangingChars="399" w:hanging="958"/>
              <w:rPr>
                <w:rFonts w:eastAsia="標楷體"/>
              </w:rPr>
            </w:pPr>
            <w:r>
              <w:rPr>
                <w:rFonts w:eastAsia="標楷體" w:hint="eastAsia"/>
              </w:rPr>
              <w:t>第</w:t>
            </w:r>
            <w:r w:rsidR="000C550F">
              <w:rPr>
                <w:rFonts w:eastAsia="標楷體" w:hint="eastAsia"/>
              </w:rPr>
              <w:t>8</w:t>
            </w:r>
            <w:r>
              <w:rPr>
                <w:rFonts w:eastAsia="標楷體" w:hint="eastAsia"/>
              </w:rPr>
              <w:t>週：</w:t>
            </w:r>
            <w:r w:rsidR="000C550F" w:rsidRPr="009E1461">
              <w:rPr>
                <w:rFonts w:eastAsia="標楷體" w:hint="eastAsia"/>
              </w:rPr>
              <w:t>分配與參數</w:t>
            </w:r>
          </w:p>
          <w:p w:rsidR="000C550F" w:rsidRDefault="000C550F" w:rsidP="000F62A1">
            <w:pPr>
              <w:spacing w:line="0" w:lineRule="atLeast"/>
              <w:ind w:leftChars="200" w:left="1632" w:hangingChars="480" w:hanging="1152"/>
              <w:jc w:val="both"/>
              <w:rPr>
                <w:rFonts w:eastAsia="標楷體"/>
              </w:rPr>
            </w:pPr>
            <w:r w:rsidRPr="000C550F">
              <w:rPr>
                <w:rFonts w:eastAsia="標楷體" w:hint="eastAsia"/>
              </w:rPr>
              <w:t>內容網要：各種分配與其中之參數所包含的意義，以樣本資料估計母體參數</w:t>
            </w:r>
            <w:r w:rsidR="000F62A1">
              <w:rPr>
                <w:rFonts w:eastAsia="標楷體" w:hint="eastAsia"/>
              </w:rPr>
              <w:t>。</w:t>
            </w:r>
          </w:p>
          <w:p w:rsidR="000C550F" w:rsidRDefault="000C550F" w:rsidP="00B72C75">
            <w:pPr>
              <w:spacing w:line="0" w:lineRule="atLeast"/>
              <w:ind w:leftChars="186" w:left="1579" w:hangingChars="472" w:hanging="1133"/>
              <w:rPr>
                <w:rFonts w:eastAsia="標楷體"/>
              </w:rPr>
            </w:pPr>
            <w:r>
              <w:rPr>
                <w:rFonts w:eastAsia="標楷體" w:hint="eastAsia"/>
              </w:rPr>
              <w:t>課程說明：隨機變數與其種類，隨機變數的機率分配如何設定，隨機變數的密度函數與分配函數是什麼？</w:t>
            </w:r>
          </w:p>
          <w:p w:rsidR="000C550F" w:rsidRDefault="009F603C" w:rsidP="009F603C">
            <w:pPr>
              <w:spacing w:beforeLines="30" w:before="108" w:line="0" w:lineRule="atLeast"/>
              <w:ind w:leftChars="14" w:left="992" w:hangingChars="399" w:hanging="958"/>
              <w:rPr>
                <w:rFonts w:eastAsia="標楷體"/>
              </w:rPr>
            </w:pPr>
            <w:r>
              <w:rPr>
                <w:rFonts w:eastAsia="標楷體" w:hint="eastAsia"/>
              </w:rPr>
              <w:t>第</w:t>
            </w:r>
            <w:r w:rsidR="000C550F">
              <w:rPr>
                <w:rFonts w:eastAsia="標楷體" w:hint="eastAsia"/>
              </w:rPr>
              <w:t>9</w:t>
            </w:r>
            <w:r>
              <w:rPr>
                <w:rFonts w:eastAsia="標楷體" w:hint="eastAsia"/>
              </w:rPr>
              <w:t>週：</w:t>
            </w:r>
            <w:r w:rsidR="000C550F" w:rsidRPr="009E1461">
              <w:rPr>
                <w:rFonts w:eastAsia="標楷體" w:hint="eastAsia"/>
              </w:rPr>
              <w:t>分配與參數</w:t>
            </w:r>
          </w:p>
          <w:p w:rsidR="000C550F" w:rsidRDefault="000C550F" w:rsidP="000F62A1">
            <w:pPr>
              <w:spacing w:line="0" w:lineRule="atLeast"/>
              <w:ind w:leftChars="200" w:left="1632" w:hangingChars="480" w:hanging="1152"/>
              <w:rPr>
                <w:rFonts w:eastAsia="標楷體"/>
              </w:rPr>
            </w:pPr>
            <w:r w:rsidRPr="000C550F">
              <w:rPr>
                <w:rFonts w:eastAsia="標楷體" w:hint="eastAsia"/>
              </w:rPr>
              <w:t>內容網要：各種分配與其中之參數所包含的意義，以樣本資料估計母體參數</w:t>
            </w:r>
            <w:r w:rsidR="000F62A1">
              <w:rPr>
                <w:rFonts w:eastAsia="標楷體" w:hint="eastAsia"/>
              </w:rPr>
              <w:t>。</w:t>
            </w:r>
          </w:p>
          <w:p w:rsidR="000C550F" w:rsidRDefault="000C550F" w:rsidP="000F62A1">
            <w:pPr>
              <w:spacing w:line="0" w:lineRule="atLeast"/>
              <w:ind w:leftChars="185" w:left="1596" w:hangingChars="480" w:hanging="1152"/>
              <w:rPr>
                <w:rFonts w:eastAsia="標楷體"/>
              </w:rPr>
            </w:pPr>
            <w:r>
              <w:rPr>
                <w:rFonts w:eastAsia="標楷體" w:hint="eastAsia"/>
              </w:rPr>
              <w:t>課程說明：隨機量與隨機數的表達，其平均數，變異數及任何函數值的期望值如何表達與與演算的公式說明。</w:t>
            </w:r>
          </w:p>
          <w:p w:rsidR="009F603C" w:rsidRDefault="009F603C" w:rsidP="009F603C">
            <w:pPr>
              <w:spacing w:beforeLines="30" w:before="108" w:line="0" w:lineRule="atLeast"/>
              <w:ind w:leftChars="14" w:left="992" w:hangingChars="399" w:hanging="958"/>
              <w:rPr>
                <w:rFonts w:eastAsia="標楷體"/>
              </w:rPr>
            </w:pPr>
            <w:r>
              <w:rPr>
                <w:rFonts w:eastAsia="標楷體" w:hint="eastAsia"/>
              </w:rPr>
              <w:t>第</w:t>
            </w:r>
            <w:r w:rsidR="00B72C75">
              <w:rPr>
                <w:rFonts w:eastAsia="標楷體" w:hint="eastAsia"/>
              </w:rPr>
              <w:t>10</w:t>
            </w:r>
            <w:r>
              <w:rPr>
                <w:rFonts w:eastAsia="標楷體" w:hint="eastAsia"/>
              </w:rPr>
              <w:t>週：期中考試</w:t>
            </w:r>
          </w:p>
          <w:p w:rsidR="00B72C75" w:rsidRDefault="009F603C" w:rsidP="009F603C">
            <w:pPr>
              <w:spacing w:beforeLines="30" w:before="108" w:line="0" w:lineRule="atLeast"/>
              <w:ind w:leftChars="14" w:left="1251" w:hangingChars="507" w:hanging="1217"/>
              <w:rPr>
                <w:rFonts w:eastAsia="標楷體"/>
              </w:rPr>
            </w:pPr>
            <w:r>
              <w:rPr>
                <w:rFonts w:eastAsia="標楷體" w:hint="eastAsia"/>
              </w:rPr>
              <w:t>第</w:t>
            </w:r>
            <w:r w:rsidR="00B72C75">
              <w:rPr>
                <w:rFonts w:eastAsia="標楷體" w:hint="eastAsia"/>
              </w:rPr>
              <w:t>11</w:t>
            </w:r>
            <w:r>
              <w:rPr>
                <w:rFonts w:eastAsia="標楷體" w:hint="eastAsia"/>
              </w:rPr>
              <w:t>週：</w:t>
            </w:r>
            <w:r w:rsidR="00B72C75" w:rsidRPr="009E1461">
              <w:rPr>
                <w:rFonts w:eastAsia="標楷體" w:hint="eastAsia"/>
              </w:rPr>
              <w:t>基本機率與決策</w:t>
            </w:r>
          </w:p>
          <w:p w:rsidR="00B72C75" w:rsidRPr="00B72C75" w:rsidRDefault="00B72C75" w:rsidP="000F62A1">
            <w:pPr>
              <w:spacing w:line="0" w:lineRule="atLeast"/>
              <w:ind w:leftChars="200" w:left="1632" w:hangingChars="480" w:hanging="1152"/>
              <w:rPr>
                <w:rFonts w:eastAsia="標楷體"/>
              </w:rPr>
            </w:pPr>
            <w:r w:rsidRPr="000C550F">
              <w:rPr>
                <w:rFonts w:eastAsia="標楷體" w:hint="eastAsia"/>
              </w:rPr>
              <w:t>內容網要：</w:t>
            </w:r>
            <w:r w:rsidRPr="00B72C75">
              <w:rPr>
                <w:rFonts w:eastAsia="標楷體" w:hint="eastAsia"/>
              </w:rPr>
              <w:t>機率模型的簡單實例及最大機率原理之應用</w:t>
            </w:r>
            <w:r w:rsidR="000F62A1">
              <w:rPr>
                <w:rFonts w:eastAsia="標楷體" w:hint="eastAsia"/>
              </w:rPr>
              <w:t>。</w:t>
            </w:r>
          </w:p>
          <w:p w:rsidR="009F603C" w:rsidRDefault="00B72C75" w:rsidP="000F62A1">
            <w:pPr>
              <w:spacing w:line="0" w:lineRule="atLeast"/>
              <w:ind w:leftChars="200" w:left="1632" w:hangingChars="480" w:hanging="1152"/>
              <w:rPr>
                <w:rFonts w:eastAsia="標楷體"/>
              </w:rPr>
            </w:pPr>
            <w:r>
              <w:rPr>
                <w:rFonts w:eastAsia="標楷體" w:hint="eastAsia"/>
              </w:rPr>
              <w:t>課程說明：</w:t>
            </w:r>
            <w:r w:rsidR="009F603C">
              <w:rPr>
                <w:rFonts w:eastAsia="標楷體" w:hint="eastAsia"/>
              </w:rPr>
              <w:t>二維隨機量與隨機數的訂定與表達其機率分配，如何量度二維之間的相關性及其應用以獲得有用的結論。</w:t>
            </w:r>
          </w:p>
          <w:p w:rsidR="000F62A1" w:rsidRDefault="009F603C" w:rsidP="009F603C">
            <w:pPr>
              <w:spacing w:beforeLines="30" w:before="108" w:line="0" w:lineRule="atLeast"/>
              <w:ind w:leftChars="14" w:left="1251" w:hangingChars="507" w:hanging="1217"/>
              <w:rPr>
                <w:rFonts w:eastAsia="標楷體"/>
              </w:rPr>
            </w:pPr>
            <w:r>
              <w:rPr>
                <w:rFonts w:eastAsia="標楷體" w:hint="eastAsia"/>
              </w:rPr>
              <w:t>第</w:t>
            </w:r>
            <w:r w:rsidR="000F62A1">
              <w:rPr>
                <w:rFonts w:eastAsia="標楷體" w:hint="eastAsia"/>
              </w:rPr>
              <w:t>12</w:t>
            </w:r>
            <w:r>
              <w:rPr>
                <w:rFonts w:eastAsia="標楷體" w:hint="eastAsia"/>
              </w:rPr>
              <w:t>週：</w:t>
            </w:r>
            <w:r w:rsidR="000F62A1" w:rsidRPr="009E1461">
              <w:rPr>
                <w:rFonts w:eastAsia="標楷體" w:hint="eastAsia"/>
              </w:rPr>
              <w:t>基本機率與決策</w:t>
            </w:r>
          </w:p>
          <w:p w:rsidR="000F62A1" w:rsidRPr="00B72C75" w:rsidRDefault="000F62A1" w:rsidP="000F62A1">
            <w:pPr>
              <w:spacing w:line="0" w:lineRule="atLeast"/>
              <w:ind w:leftChars="200" w:left="1632" w:hangingChars="480" w:hanging="1152"/>
              <w:rPr>
                <w:rFonts w:eastAsia="標楷體"/>
              </w:rPr>
            </w:pPr>
            <w:r w:rsidRPr="000C550F">
              <w:rPr>
                <w:rFonts w:eastAsia="標楷體" w:hint="eastAsia"/>
              </w:rPr>
              <w:t>內容網要：</w:t>
            </w:r>
            <w:r w:rsidRPr="00B72C75">
              <w:rPr>
                <w:rFonts w:eastAsia="標楷體" w:hint="eastAsia"/>
              </w:rPr>
              <w:t>機率模型的簡單實例及最大機率原理之應用</w:t>
            </w:r>
            <w:r>
              <w:rPr>
                <w:rFonts w:eastAsia="標楷體" w:hint="eastAsia"/>
              </w:rPr>
              <w:t>。</w:t>
            </w:r>
          </w:p>
          <w:p w:rsidR="009F603C" w:rsidRDefault="000F62A1" w:rsidP="009F603C">
            <w:pPr>
              <w:spacing w:beforeLines="30" w:before="108" w:line="0" w:lineRule="atLeast"/>
              <w:ind w:leftChars="14" w:left="1251" w:hangingChars="507" w:hanging="1217"/>
              <w:rPr>
                <w:rFonts w:eastAsia="標楷體"/>
              </w:rPr>
            </w:pPr>
            <w:r>
              <w:rPr>
                <w:rFonts w:eastAsia="標楷體" w:hint="eastAsia"/>
              </w:rPr>
              <w:t>課程說明：</w:t>
            </w:r>
            <w:r w:rsidR="009F603C">
              <w:rPr>
                <w:rFonts w:eastAsia="標楷體" w:hint="eastAsia"/>
              </w:rPr>
              <w:t>伯努利變數，二項分配，負二項分配，卜氏松分配與所涉之自然界隨機現象所產生的隨機個數。</w:t>
            </w:r>
          </w:p>
          <w:p w:rsidR="000F62A1" w:rsidRDefault="009F603C" w:rsidP="009F603C">
            <w:pPr>
              <w:spacing w:beforeLines="30" w:before="108" w:line="0" w:lineRule="atLeast"/>
              <w:ind w:leftChars="14" w:left="1251" w:hangingChars="507" w:hanging="1217"/>
              <w:rPr>
                <w:rFonts w:eastAsia="標楷體"/>
              </w:rPr>
            </w:pPr>
            <w:r>
              <w:rPr>
                <w:rFonts w:eastAsia="標楷體" w:hint="eastAsia"/>
              </w:rPr>
              <w:t>第</w:t>
            </w:r>
            <w:r w:rsidR="000F62A1">
              <w:rPr>
                <w:rFonts w:eastAsia="標楷體" w:hint="eastAsia"/>
              </w:rPr>
              <w:t>13</w:t>
            </w:r>
            <w:r>
              <w:rPr>
                <w:rFonts w:eastAsia="標楷體" w:hint="eastAsia"/>
              </w:rPr>
              <w:t>週：</w:t>
            </w:r>
            <w:r w:rsidR="000F62A1" w:rsidRPr="009E1461">
              <w:rPr>
                <w:rFonts w:eastAsia="標楷體" w:hint="eastAsia"/>
              </w:rPr>
              <w:t>估計與意義</w:t>
            </w:r>
          </w:p>
          <w:p w:rsidR="000F62A1" w:rsidRPr="002E4A14" w:rsidRDefault="000F62A1" w:rsidP="002E4A14">
            <w:pPr>
              <w:spacing w:line="0" w:lineRule="atLeast"/>
              <w:ind w:leftChars="186" w:left="1250" w:hangingChars="335" w:hanging="804"/>
              <w:rPr>
                <w:rFonts w:eastAsia="標楷體"/>
              </w:rPr>
            </w:pPr>
            <w:r w:rsidRPr="000C550F">
              <w:rPr>
                <w:rFonts w:eastAsia="標楷體" w:hint="eastAsia"/>
              </w:rPr>
              <w:t>內容網要：</w:t>
            </w:r>
            <w:r w:rsidR="002E4A14" w:rsidRPr="002E4A14">
              <w:rPr>
                <w:rFonts w:eastAsia="標楷體" w:hint="eastAsia"/>
              </w:rPr>
              <w:t>估計的優劣之量度與不同估計的方式，包括點估計與區間估計</w:t>
            </w:r>
          </w:p>
          <w:p w:rsidR="009F603C" w:rsidRDefault="002E4A14" w:rsidP="002E4A14">
            <w:pPr>
              <w:spacing w:line="0" w:lineRule="atLeast"/>
              <w:ind w:leftChars="186" w:left="1250" w:hangingChars="335" w:hanging="804"/>
              <w:rPr>
                <w:rFonts w:eastAsia="標楷體"/>
              </w:rPr>
            </w:pPr>
            <w:r>
              <w:rPr>
                <w:rFonts w:eastAsia="標楷體" w:hint="eastAsia"/>
              </w:rPr>
              <w:t>課程說明：</w:t>
            </w:r>
            <w:r w:rsidR="009F603C">
              <w:rPr>
                <w:rFonts w:eastAsia="標楷體" w:hint="eastAsia"/>
              </w:rPr>
              <w:t>均勻分配，常態分配，指數分配與珈瑪分配的表述及其來龍去脈。</w:t>
            </w:r>
          </w:p>
          <w:p w:rsidR="000F62A1" w:rsidRDefault="009F603C" w:rsidP="009F603C">
            <w:pPr>
              <w:spacing w:beforeLines="30" w:before="108" w:line="0" w:lineRule="atLeast"/>
              <w:ind w:leftChars="14" w:left="1251" w:hangingChars="507" w:hanging="1217"/>
              <w:rPr>
                <w:rFonts w:eastAsia="標楷體"/>
              </w:rPr>
            </w:pPr>
            <w:r>
              <w:rPr>
                <w:rFonts w:eastAsia="標楷體" w:hint="eastAsia"/>
              </w:rPr>
              <w:t>第</w:t>
            </w:r>
            <w:r w:rsidR="000F62A1">
              <w:rPr>
                <w:rFonts w:eastAsia="標楷體" w:hint="eastAsia"/>
              </w:rPr>
              <w:t>14</w:t>
            </w:r>
            <w:r>
              <w:rPr>
                <w:rFonts w:eastAsia="標楷體" w:hint="eastAsia"/>
              </w:rPr>
              <w:t>週：</w:t>
            </w:r>
            <w:r w:rsidR="000F62A1" w:rsidRPr="009E1461">
              <w:rPr>
                <w:rFonts w:eastAsia="標楷體" w:hint="eastAsia"/>
              </w:rPr>
              <w:t>估計與意義</w:t>
            </w:r>
          </w:p>
          <w:p w:rsidR="002E4A14" w:rsidRPr="002E4A14" w:rsidRDefault="002E4A14" w:rsidP="002E4A14">
            <w:pPr>
              <w:spacing w:line="0" w:lineRule="atLeast"/>
              <w:ind w:leftChars="186" w:left="1250" w:hangingChars="335" w:hanging="804"/>
              <w:rPr>
                <w:rFonts w:eastAsia="標楷體"/>
              </w:rPr>
            </w:pPr>
            <w:r w:rsidRPr="000C550F">
              <w:rPr>
                <w:rFonts w:eastAsia="標楷體" w:hint="eastAsia"/>
              </w:rPr>
              <w:t>內容網要：</w:t>
            </w:r>
            <w:r w:rsidRPr="002E4A14">
              <w:rPr>
                <w:rFonts w:eastAsia="標楷體" w:hint="eastAsia"/>
              </w:rPr>
              <w:t>估計的優劣之量度與不同估計的方式，包括點估計與區間估計</w:t>
            </w:r>
          </w:p>
          <w:p w:rsidR="009F603C" w:rsidRDefault="002E4A14" w:rsidP="002E4A14">
            <w:pPr>
              <w:spacing w:line="0" w:lineRule="atLeast"/>
              <w:ind w:leftChars="186" w:left="1250" w:hangingChars="335" w:hanging="804"/>
              <w:rPr>
                <w:rFonts w:eastAsia="標楷體"/>
              </w:rPr>
            </w:pPr>
            <w:r>
              <w:rPr>
                <w:rFonts w:eastAsia="標楷體" w:hint="eastAsia"/>
              </w:rPr>
              <w:t>課程說明：</w:t>
            </w:r>
            <w:r w:rsidR="009F603C">
              <w:rPr>
                <w:rFonts w:eastAsia="標楷體" w:hint="eastAsia"/>
              </w:rPr>
              <w:t>各種重要的機率分所涉及的演算問題之簡例以及如何查分配表。</w:t>
            </w:r>
          </w:p>
          <w:p w:rsidR="002E4A14" w:rsidRDefault="009F603C" w:rsidP="009F603C">
            <w:pPr>
              <w:spacing w:beforeLines="30" w:before="108" w:line="0" w:lineRule="atLeast"/>
              <w:ind w:leftChars="14" w:left="1251" w:hangingChars="507" w:hanging="1217"/>
              <w:rPr>
                <w:rFonts w:eastAsia="標楷體"/>
              </w:rPr>
            </w:pPr>
            <w:r>
              <w:rPr>
                <w:rFonts w:eastAsia="標楷體" w:hint="eastAsia"/>
              </w:rPr>
              <w:lastRenderedPageBreak/>
              <w:t>第</w:t>
            </w:r>
            <w:r w:rsidR="000F62A1">
              <w:rPr>
                <w:rFonts w:eastAsia="標楷體" w:hint="eastAsia"/>
              </w:rPr>
              <w:t>15</w:t>
            </w:r>
            <w:r>
              <w:rPr>
                <w:rFonts w:eastAsia="標楷體" w:hint="eastAsia"/>
              </w:rPr>
              <w:t>週：</w:t>
            </w:r>
            <w:r w:rsidR="002E4A14" w:rsidRPr="009E1461">
              <w:rPr>
                <w:rFonts w:eastAsia="標楷體" w:hint="eastAsia"/>
              </w:rPr>
              <w:t>檢定與決策</w:t>
            </w:r>
          </w:p>
          <w:p w:rsidR="002E4A14" w:rsidRPr="002E4A14" w:rsidRDefault="002E4A14" w:rsidP="002E4A14">
            <w:pPr>
              <w:spacing w:line="0" w:lineRule="atLeast"/>
              <w:ind w:leftChars="186" w:left="1250" w:hangingChars="335" w:hanging="804"/>
              <w:rPr>
                <w:rFonts w:eastAsia="標楷體"/>
              </w:rPr>
            </w:pPr>
            <w:r w:rsidRPr="000C550F">
              <w:rPr>
                <w:rFonts w:eastAsia="標楷體" w:hint="eastAsia"/>
              </w:rPr>
              <w:t>內容網要：</w:t>
            </w:r>
            <w:r w:rsidRPr="002E4A14">
              <w:rPr>
                <w:rFonts w:eastAsia="標楷體" w:hint="eastAsia"/>
              </w:rPr>
              <w:t>以假設檢定決定參數估計之準確度與設定之模型的可接受度</w:t>
            </w:r>
          </w:p>
          <w:p w:rsidR="009F603C" w:rsidRDefault="002E4A14" w:rsidP="004B3DFF">
            <w:pPr>
              <w:spacing w:line="0" w:lineRule="atLeast"/>
              <w:ind w:leftChars="200" w:left="1632" w:hangingChars="480" w:hanging="1152"/>
              <w:rPr>
                <w:rFonts w:eastAsia="標楷體"/>
              </w:rPr>
            </w:pPr>
            <w:r>
              <w:rPr>
                <w:rFonts w:eastAsia="標楷體" w:hint="eastAsia"/>
              </w:rPr>
              <w:t>課程說明：</w:t>
            </w:r>
            <w:r w:rsidR="009F603C">
              <w:rPr>
                <w:rFonts w:eastAsia="標楷體" w:hint="eastAsia"/>
              </w:rPr>
              <w:t>母體分配中的重要參數如何以樣本資料作估計，以及最大概似原理的意義及應用。</w:t>
            </w:r>
          </w:p>
          <w:p w:rsidR="002E4A14" w:rsidRDefault="009F603C" w:rsidP="009F603C">
            <w:pPr>
              <w:spacing w:beforeLines="30" w:before="108" w:line="0" w:lineRule="atLeast"/>
              <w:ind w:leftChars="14" w:left="1251" w:hangingChars="507" w:hanging="1217"/>
              <w:rPr>
                <w:rFonts w:eastAsia="標楷體"/>
              </w:rPr>
            </w:pPr>
            <w:r>
              <w:rPr>
                <w:rFonts w:eastAsia="標楷體" w:hint="eastAsia"/>
              </w:rPr>
              <w:t>第</w:t>
            </w:r>
            <w:r w:rsidR="000F62A1">
              <w:rPr>
                <w:rFonts w:eastAsia="標楷體" w:hint="eastAsia"/>
              </w:rPr>
              <w:t>16</w:t>
            </w:r>
            <w:r>
              <w:rPr>
                <w:rFonts w:eastAsia="標楷體" w:hint="eastAsia"/>
              </w:rPr>
              <w:t>週：</w:t>
            </w:r>
            <w:r w:rsidR="002E4A14" w:rsidRPr="009E1461">
              <w:rPr>
                <w:rFonts w:eastAsia="標楷體" w:hint="eastAsia"/>
              </w:rPr>
              <w:t>檢定與決策</w:t>
            </w:r>
          </w:p>
          <w:p w:rsidR="002E4A14" w:rsidRPr="002E4A14" w:rsidRDefault="002E4A14" w:rsidP="002E4A14">
            <w:pPr>
              <w:spacing w:line="0" w:lineRule="atLeast"/>
              <w:ind w:leftChars="186" w:left="1598" w:hangingChars="480" w:hanging="1152"/>
              <w:rPr>
                <w:rFonts w:eastAsia="標楷體"/>
              </w:rPr>
            </w:pPr>
            <w:r w:rsidRPr="000C550F">
              <w:rPr>
                <w:rFonts w:eastAsia="標楷體" w:hint="eastAsia"/>
              </w:rPr>
              <w:t>內容網要：</w:t>
            </w:r>
            <w:r w:rsidRPr="002E4A14">
              <w:rPr>
                <w:rFonts w:eastAsia="標楷體" w:hint="eastAsia"/>
              </w:rPr>
              <w:t>以假設檢定決定參數估計之準確度與設定之模型的可接受度</w:t>
            </w:r>
          </w:p>
          <w:p w:rsidR="009F603C" w:rsidRDefault="002E4A14" w:rsidP="002E4A14">
            <w:pPr>
              <w:spacing w:line="0" w:lineRule="atLeast"/>
              <w:ind w:leftChars="186" w:left="1598" w:hangingChars="480" w:hanging="1152"/>
              <w:rPr>
                <w:rFonts w:eastAsia="標楷體"/>
              </w:rPr>
            </w:pPr>
            <w:r>
              <w:rPr>
                <w:rFonts w:eastAsia="標楷體" w:hint="eastAsia"/>
              </w:rPr>
              <w:t>課程說明：</w:t>
            </w:r>
            <w:r w:rsidR="009F603C">
              <w:rPr>
                <w:rFonts w:eastAsia="標楷體" w:hint="eastAsia"/>
              </w:rPr>
              <w:t>平均平方誤差的意義與分解為偏差平方變異數的實質意義，運用效度與信度的觀念之建立，信賴區間的如何求得，大數法則與中央極限定理。</w:t>
            </w:r>
          </w:p>
          <w:p w:rsidR="002E4A14" w:rsidRDefault="009F603C" w:rsidP="009F603C">
            <w:pPr>
              <w:spacing w:beforeLines="30" w:before="108" w:line="0" w:lineRule="atLeast"/>
              <w:ind w:leftChars="14" w:left="992" w:hangingChars="399" w:hanging="958"/>
              <w:rPr>
                <w:rFonts w:eastAsia="標楷體"/>
              </w:rPr>
            </w:pPr>
            <w:r>
              <w:rPr>
                <w:rFonts w:eastAsia="標楷體" w:hint="eastAsia"/>
              </w:rPr>
              <w:t>第</w:t>
            </w:r>
            <w:r w:rsidR="000F62A1">
              <w:rPr>
                <w:rFonts w:eastAsia="標楷體" w:hint="eastAsia"/>
              </w:rPr>
              <w:t>17</w:t>
            </w:r>
            <w:r>
              <w:rPr>
                <w:rFonts w:eastAsia="標楷體" w:hint="eastAsia"/>
              </w:rPr>
              <w:t>週：</w:t>
            </w:r>
            <w:r w:rsidR="002E4A14" w:rsidRPr="009E1461">
              <w:rPr>
                <w:rFonts w:eastAsia="標楷體" w:hint="eastAsia"/>
              </w:rPr>
              <w:t>統計結論之釐定</w:t>
            </w:r>
          </w:p>
          <w:p w:rsidR="002E4A14" w:rsidRDefault="002E4A14" w:rsidP="002E4A14">
            <w:pPr>
              <w:spacing w:line="0" w:lineRule="atLeast"/>
              <w:ind w:leftChars="200" w:left="1632" w:hangingChars="480" w:hanging="1152"/>
              <w:rPr>
                <w:rFonts w:eastAsia="標楷體"/>
              </w:rPr>
            </w:pPr>
            <w:r w:rsidRPr="000C550F">
              <w:rPr>
                <w:rFonts w:eastAsia="標楷體" w:hint="eastAsia"/>
              </w:rPr>
              <w:t>內容網要：</w:t>
            </w:r>
            <w:r w:rsidRPr="009F02D6">
              <w:rPr>
                <w:rFonts w:eastAsia="標楷體" w:hint="eastAsia"/>
                <w:sz w:val="22"/>
                <w:szCs w:val="22"/>
              </w:rPr>
              <w:t>從資料分析的結果可得的正確結論，包括廣度與深度</w:t>
            </w:r>
          </w:p>
          <w:p w:rsidR="009F603C" w:rsidRDefault="002E4A14" w:rsidP="002E4A14">
            <w:pPr>
              <w:spacing w:line="0" w:lineRule="atLeast"/>
              <w:ind w:leftChars="200" w:left="1632" w:hangingChars="480" w:hanging="1152"/>
              <w:rPr>
                <w:rFonts w:eastAsia="標楷體"/>
              </w:rPr>
            </w:pPr>
            <w:r>
              <w:rPr>
                <w:rFonts w:eastAsia="標楷體" w:hint="eastAsia"/>
              </w:rPr>
              <w:t>課程說明：</w:t>
            </w:r>
            <w:r w:rsidR="009F603C">
              <w:rPr>
                <w:rFonts w:eastAsia="標楷體" w:hint="eastAsia"/>
              </w:rPr>
              <w:t>相關係數，迴歸模式與係數，以及假設檢定的意義與簡例之運算。</w:t>
            </w:r>
          </w:p>
          <w:p w:rsidR="009F603C" w:rsidRDefault="009F603C" w:rsidP="002E4A14">
            <w:pPr>
              <w:spacing w:beforeLines="30" w:before="108" w:line="0" w:lineRule="atLeast"/>
              <w:rPr>
                <w:rFonts w:eastAsia="標楷體"/>
              </w:rPr>
            </w:pPr>
            <w:r>
              <w:rPr>
                <w:rFonts w:eastAsia="標楷體" w:hint="eastAsia"/>
              </w:rPr>
              <w:t>第</w:t>
            </w:r>
            <w:r w:rsidR="000F62A1">
              <w:rPr>
                <w:rFonts w:eastAsia="標楷體" w:hint="eastAsia"/>
              </w:rPr>
              <w:t>18</w:t>
            </w:r>
            <w:r>
              <w:rPr>
                <w:rFonts w:eastAsia="標楷體" w:hint="eastAsia"/>
              </w:rPr>
              <w:t>週：期末考</w:t>
            </w:r>
          </w:p>
          <w:p w:rsidR="0063075B" w:rsidRDefault="0063075B" w:rsidP="002E4A14">
            <w:pPr>
              <w:spacing w:beforeLines="30" w:before="108" w:line="0" w:lineRule="atLeast"/>
              <w:rPr>
                <w:rFonts w:eastAsia="標楷體"/>
              </w:rPr>
            </w:pPr>
          </w:p>
        </w:tc>
      </w:tr>
      <w:tr w:rsidR="00FE0BCC" w:rsidTr="0063075B">
        <w:trPr>
          <w:trHeight w:val="1972"/>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lastRenderedPageBreak/>
              <w:t>教科書及參考書</w:t>
            </w:r>
          </w:p>
        </w:tc>
        <w:tc>
          <w:tcPr>
            <w:tcW w:w="8597" w:type="dxa"/>
            <w:gridSpan w:val="3"/>
            <w:tcBorders>
              <w:top w:val="single" w:sz="4" w:space="0" w:color="auto"/>
              <w:left w:val="single" w:sz="4" w:space="0" w:color="auto"/>
              <w:bottom w:val="single" w:sz="4" w:space="0" w:color="auto"/>
            </w:tcBorders>
            <w:vAlign w:val="center"/>
          </w:tcPr>
          <w:p w:rsidR="004B3DFF" w:rsidRPr="004B3DFF" w:rsidRDefault="004B3DFF" w:rsidP="0063075B">
            <w:pPr>
              <w:numPr>
                <w:ilvl w:val="0"/>
                <w:numId w:val="1"/>
              </w:numPr>
              <w:spacing w:line="300" w:lineRule="exact"/>
              <w:ind w:left="357" w:hanging="357"/>
              <w:jc w:val="both"/>
              <w:rPr>
                <w:rFonts w:eastAsia="標楷體"/>
                <w:b/>
                <w:lang w:val="pt-BR"/>
              </w:rPr>
            </w:pPr>
            <w:r w:rsidRPr="004B3DFF">
              <w:rPr>
                <w:rFonts w:eastAsia="標楷體" w:hint="eastAsia"/>
              </w:rPr>
              <w:t>Statistical/Concepts and Controversies, 4</w:t>
            </w:r>
            <w:r w:rsidRPr="004B3DFF">
              <w:rPr>
                <w:rFonts w:eastAsia="標楷體" w:hint="eastAsia"/>
                <w:vertAlign w:val="superscript"/>
              </w:rPr>
              <w:t>th</w:t>
            </w:r>
            <w:r w:rsidRPr="004B3DFF">
              <w:rPr>
                <w:rFonts w:eastAsia="標楷體" w:hint="eastAsia"/>
              </w:rPr>
              <w:t xml:space="preserve"> Edition, David Moore.</w:t>
            </w:r>
          </w:p>
          <w:p w:rsidR="004B3DFF" w:rsidRPr="004B3DFF" w:rsidRDefault="004B3DFF" w:rsidP="0063075B">
            <w:pPr>
              <w:numPr>
                <w:ilvl w:val="0"/>
                <w:numId w:val="1"/>
              </w:numPr>
              <w:spacing w:line="300" w:lineRule="exact"/>
              <w:ind w:left="357" w:hanging="357"/>
              <w:jc w:val="both"/>
              <w:rPr>
                <w:rFonts w:eastAsia="標楷體"/>
                <w:b/>
                <w:lang w:val="pt-BR"/>
              </w:rPr>
            </w:pPr>
            <w:r w:rsidRPr="004B3DFF">
              <w:rPr>
                <w:rFonts w:eastAsia="標楷體" w:hint="eastAsia"/>
              </w:rPr>
              <w:t>統計學的世界</w:t>
            </w:r>
            <w:r w:rsidRPr="004B3DFF">
              <w:rPr>
                <w:rFonts w:eastAsia="標楷體" w:hint="eastAsia"/>
              </w:rPr>
              <w:t>(by David Moor)</w:t>
            </w:r>
            <w:r w:rsidRPr="004B3DFF">
              <w:rPr>
                <w:rFonts w:eastAsia="標楷體" w:hint="eastAsia"/>
              </w:rPr>
              <w:t>，鄭惟厚譯，天下文化。</w:t>
            </w:r>
          </w:p>
          <w:p w:rsidR="004B3DFF" w:rsidRPr="004B3DFF" w:rsidRDefault="004B3DFF" w:rsidP="0063075B">
            <w:pPr>
              <w:numPr>
                <w:ilvl w:val="0"/>
                <w:numId w:val="1"/>
              </w:numPr>
              <w:spacing w:line="300" w:lineRule="exact"/>
              <w:ind w:left="357" w:hanging="357"/>
              <w:jc w:val="both"/>
              <w:rPr>
                <w:rFonts w:eastAsia="標楷體"/>
                <w:b/>
                <w:lang w:val="pt-BR"/>
              </w:rPr>
            </w:pPr>
            <w:r w:rsidRPr="004B3DFF">
              <w:rPr>
                <w:rFonts w:eastAsia="標楷體" w:hint="eastAsia"/>
              </w:rPr>
              <w:t>質性資料分析</w:t>
            </w:r>
            <w:r w:rsidRPr="004B3DFF">
              <w:rPr>
                <w:rFonts w:eastAsia="標楷體" w:hint="eastAsia"/>
              </w:rPr>
              <w:t xml:space="preserve">(by Richard E. </w:t>
            </w:r>
            <w:proofErr w:type="spellStart"/>
            <w:r w:rsidRPr="004B3DFF">
              <w:rPr>
                <w:rFonts w:eastAsia="標楷體" w:hint="eastAsia"/>
              </w:rPr>
              <w:t>Boyatzis</w:t>
            </w:r>
            <w:proofErr w:type="spellEnd"/>
            <w:r w:rsidRPr="004B3DFF">
              <w:rPr>
                <w:rFonts w:eastAsia="標楷體" w:hint="eastAsia"/>
              </w:rPr>
              <w:t>)</w:t>
            </w:r>
            <w:r w:rsidRPr="004B3DFF">
              <w:rPr>
                <w:rFonts w:eastAsia="標楷體" w:hint="eastAsia"/>
              </w:rPr>
              <w:t>，王國川、翁千惠譯，五南出版社。</w:t>
            </w:r>
          </w:p>
          <w:p w:rsidR="004B3DFF" w:rsidRDefault="004B3DFF" w:rsidP="0063075B">
            <w:pPr>
              <w:numPr>
                <w:ilvl w:val="0"/>
                <w:numId w:val="1"/>
              </w:numPr>
              <w:spacing w:line="300" w:lineRule="exact"/>
              <w:ind w:left="357" w:hanging="357"/>
              <w:jc w:val="both"/>
              <w:rPr>
                <w:rFonts w:eastAsia="標楷體"/>
              </w:rPr>
            </w:pPr>
            <w:r w:rsidRPr="004B3DFF">
              <w:rPr>
                <w:rFonts w:eastAsia="標楷體" w:hint="eastAsia"/>
              </w:rPr>
              <w:t>市場調查，楊和炳著，五南出版社。</w:t>
            </w:r>
          </w:p>
          <w:p w:rsidR="00FE0BCC" w:rsidRDefault="004B3DFF" w:rsidP="0063075B">
            <w:pPr>
              <w:numPr>
                <w:ilvl w:val="0"/>
                <w:numId w:val="1"/>
              </w:numPr>
              <w:spacing w:line="300" w:lineRule="exact"/>
              <w:ind w:left="357" w:hanging="357"/>
              <w:jc w:val="both"/>
              <w:rPr>
                <w:rFonts w:eastAsia="標楷體"/>
              </w:rPr>
            </w:pPr>
            <w:r w:rsidRPr="004B3DFF">
              <w:rPr>
                <w:rFonts w:eastAsia="標楷體" w:hint="eastAsia"/>
              </w:rPr>
              <w:t>影印講義（任課教師提供）</w:t>
            </w:r>
          </w:p>
        </w:tc>
      </w:tr>
      <w:tr w:rsidR="00FE0BCC" w:rsidTr="00E3470C">
        <w:trPr>
          <w:trHeight w:val="2374"/>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評量方式</w:t>
            </w:r>
          </w:p>
        </w:tc>
        <w:tc>
          <w:tcPr>
            <w:tcW w:w="8597" w:type="dxa"/>
            <w:gridSpan w:val="3"/>
            <w:tcBorders>
              <w:top w:val="single" w:sz="4" w:space="0" w:color="auto"/>
              <w:left w:val="single" w:sz="4" w:space="0" w:color="auto"/>
              <w:bottom w:val="single" w:sz="4" w:space="0" w:color="auto"/>
            </w:tcBorders>
          </w:tcPr>
          <w:p w:rsidR="0063075B" w:rsidRDefault="0063075B" w:rsidP="007F22D6">
            <w:pPr>
              <w:spacing w:line="0" w:lineRule="atLeast"/>
              <w:rPr>
                <w:rFonts w:eastAsia="標楷體"/>
              </w:rPr>
            </w:pPr>
          </w:p>
          <w:p w:rsidR="00FE0BCC" w:rsidRDefault="007A3F83" w:rsidP="007F22D6">
            <w:pPr>
              <w:spacing w:line="0" w:lineRule="atLeast"/>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sidR="00E3470C">
              <w:rPr>
                <w:rFonts w:eastAsia="標楷體" w:hint="eastAsia"/>
              </w:rPr>
              <w:t>，並填寫類別</w:t>
            </w:r>
            <w:r>
              <w:rPr>
                <w:rFonts w:eastAsia="標楷體" w:hint="eastAsia"/>
              </w:rPr>
              <w:t>：</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A3F83" w:rsidRPr="00E3470C" w:rsidTr="00E3470C">
              <w:tc>
                <w:tcPr>
                  <w:tcW w:w="2135" w:type="dxa"/>
                </w:tcPr>
                <w:p w:rsidR="007A3F83" w:rsidRPr="00E3470C" w:rsidRDefault="00E3470C" w:rsidP="00E3470C">
                  <w:pPr>
                    <w:rPr>
                      <w:rFonts w:ascii="標楷體" w:eastAsia="標楷體" w:hAnsi="標楷體"/>
                      <w:sz w:val="22"/>
                      <w:u w:val="single"/>
                    </w:rPr>
                  </w:pPr>
                  <w:r w:rsidRPr="00E3470C">
                    <w:rPr>
                      <w:rFonts w:ascii="標楷體" w:eastAsia="標楷體" w:hAnsi="標楷體" w:hint="eastAsia"/>
                      <w:sz w:val="22"/>
                      <w:szCs w:val="22"/>
                    </w:rPr>
                    <w:t>□課堂參與，類</w:t>
                  </w:r>
                </w:p>
              </w:tc>
              <w:tc>
                <w:tcPr>
                  <w:tcW w:w="2126" w:type="dxa"/>
                </w:tcPr>
                <w:p w:rsidR="007A3F83" w:rsidRPr="00E3470C" w:rsidRDefault="0063075B" w:rsidP="00E3470C">
                  <w:pPr>
                    <w:rPr>
                      <w:rFonts w:ascii="標楷體" w:eastAsia="標楷體" w:hAnsi="標楷體"/>
                      <w:sz w:val="22"/>
                    </w:rPr>
                  </w:pPr>
                  <w:r w:rsidRPr="0063075B">
                    <w:rPr>
                      <w:rFonts w:eastAsia="標楷體" w:hint="eastAsia"/>
                      <w:sz w:val="22"/>
                      <w:szCs w:val="22"/>
                      <w:bdr w:val="single" w:sz="4" w:space="0" w:color="auto"/>
                    </w:rPr>
                    <w:t>V</w:t>
                  </w:r>
                  <w:r w:rsidR="00E3470C" w:rsidRPr="00E3470C">
                    <w:rPr>
                      <w:rFonts w:ascii="標楷體" w:eastAsia="標楷體" w:hAnsi="標楷體" w:hint="eastAsia"/>
                      <w:sz w:val="22"/>
                      <w:szCs w:val="22"/>
                    </w:rPr>
                    <w:t>期中考，</w:t>
                  </w:r>
                  <w:r>
                    <w:rPr>
                      <w:rFonts w:ascii="標楷體" w:eastAsia="標楷體" w:hAnsi="標楷體" w:hint="eastAsia"/>
                      <w:sz w:val="22"/>
                      <w:szCs w:val="22"/>
                    </w:rPr>
                    <w:t>B</w:t>
                  </w:r>
                  <w:r w:rsidR="00E3470C" w:rsidRPr="00E3470C">
                    <w:rPr>
                      <w:rFonts w:ascii="標楷體" w:eastAsia="標楷體" w:hAnsi="標楷體" w:hint="eastAsia"/>
                      <w:sz w:val="22"/>
                      <w:szCs w:val="22"/>
                    </w:rPr>
                    <w:t>類</w:t>
                  </w:r>
                </w:p>
              </w:tc>
              <w:tc>
                <w:tcPr>
                  <w:tcW w:w="2126" w:type="dxa"/>
                </w:tcPr>
                <w:p w:rsidR="007A3F83" w:rsidRPr="00E3470C" w:rsidRDefault="0063075B" w:rsidP="00E3470C">
                  <w:pPr>
                    <w:rPr>
                      <w:rFonts w:ascii="標楷體" w:eastAsia="標楷體" w:hAnsi="標楷體"/>
                      <w:sz w:val="22"/>
                    </w:rPr>
                  </w:pPr>
                  <w:r w:rsidRPr="0063075B">
                    <w:rPr>
                      <w:rFonts w:eastAsia="標楷體" w:hint="eastAsia"/>
                      <w:sz w:val="22"/>
                      <w:szCs w:val="22"/>
                      <w:bdr w:val="single" w:sz="4" w:space="0" w:color="auto"/>
                    </w:rPr>
                    <w:t>V</w:t>
                  </w:r>
                  <w:r w:rsidR="00E3470C" w:rsidRPr="00E3470C">
                    <w:rPr>
                      <w:rFonts w:ascii="標楷體" w:eastAsia="標楷體" w:hAnsi="標楷體" w:hint="eastAsia"/>
                      <w:sz w:val="22"/>
                      <w:szCs w:val="22"/>
                    </w:rPr>
                    <w:t>期末考，</w:t>
                  </w:r>
                  <w:r>
                    <w:rPr>
                      <w:rFonts w:ascii="標楷體" w:eastAsia="標楷體" w:hAnsi="標楷體" w:hint="eastAsia"/>
                      <w:sz w:val="22"/>
                      <w:szCs w:val="22"/>
                    </w:rPr>
                    <w:t>C</w:t>
                  </w:r>
                  <w:r w:rsidR="00E3470C" w:rsidRPr="00E3470C">
                    <w:rPr>
                      <w:rFonts w:ascii="標楷體" w:eastAsia="標楷體" w:hAnsi="標楷體" w:hint="eastAsia"/>
                      <w:sz w:val="22"/>
                      <w:szCs w:val="22"/>
                    </w:rPr>
                    <w:t>類</w:t>
                  </w:r>
                </w:p>
              </w:tc>
              <w:tc>
                <w:tcPr>
                  <w:tcW w:w="2140" w:type="dxa"/>
                </w:tcPr>
                <w:p w:rsidR="007A3F83" w:rsidRPr="00E3470C" w:rsidRDefault="00E3470C" w:rsidP="00E3470C">
                  <w:pPr>
                    <w:rPr>
                      <w:rFonts w:ascii="標楷體" w:eastAsia="標楷體" w:hAnsi="標楷體"/>
                      <w:sz w:val="22"/>
                    </w:rPr>
                  </w:pPr>
                  <w:r w:rsidRPr="00E3470C">
                    <w:rPr>
                      <w:rFonts w:ascii="標楷體" w:eastAsia="標楷體" w:hAnsi="標楷體" w:hint="eastAsia"/>
                      <w:sz w:val="22"/>
                      <w:szCs w:val="22"/>
                    </w:rPr>
                    <w:t>□小組報告，類</w:t>
                  </w:r>
                </w:p>
              </w:tc>
            </w:tr>
            <w:tr w:rsidR="007A3F83" w:rsidRPr="00E3470C" w:rsidTr="00E3470C">
              <w:tc>
                <w:tcPr>
                  <w:tcW w:w="2135" w:type="dxa"/>
                </w:tcPr>
                <w:p w:rsidR="007A3F83" w:rsidRPr="00E3470C" w:rsidRDefault="00E3470C" w:rsidP="00E3470C">
                  <w:pPr>
                    <w:rPr>
                      <w:rFonts w:ascii="標楷體" w:eastAsia="標楷體" w:hAnsi="標楷體"/>
                      <w:sz w:val="22"/>
                    </w:rPr>
                  </w:pPr>
                  <w:r w:rsidRPr="00E3470C">
                    <w:rPr>
                      <w:rFonts w:ascii="標楷體" w:eastAsia="標楷體" w:hAnsi="標楷體" w:hint="eastAsia"/>
                      <w:sz w:val="22"/>
                      <w:szCs w:val="22"/>
                    </w:rPr>
                    <w:t>□小組討論，類</w:t>
                  </w:r>
                </w:p>
              </w:tc>
              <w:tc>
                <w:tcPr>
                  <w:tcW w:w="2126" w:type="dxa"/>
                </w:tcPr>
                <w:p w:rsidR="007A3F83" w:rsidRPr="00E3470C" w:rsidRDefault="00E3470C" w:rsidP="007A3F83">
                  <w:pPr>
                    <w:rPr>
                      <w:rFonts w:ascii="標楷體" w:eastAsia="標楷體" w:hAnsi="標楷體"/>
                      <w:sz w:val="22"/>
                    </w:rPr>
                  </w:pPr>
                  <w:r w:rsidRPr="00E3470C">
                    <w:rPr>
                      <w:rFonts w:ascii="標楷體" w:eastAsia="標楷體" w:hAnsi="標楷體" w:hint="eastAsia"/>
                      <w:sz w:val="22"/>
                      <w:szCs w:val="22"/>
                    </w:rPr>
                    <w:t>□書面報告，類</w:t>
                  </w:r>
                </w:p>
              </w:tc>
              <w:tc>
                <w:tcPr>
                  <w:tcW w:w="2126" w:type="dxa"/>
                </w:tcPr>
                <w:p w:rsidR="007A3F83" w:rsidRPr="00E3470C" w:rsidRDefault="0063075B" w:rsidP="007A3F83">
                  <w:pPr>
                    <w:rPr>
                      <w:rFonts w:ascii="標楷體" w:eastAsia="標楷體" w:hAnsi="標楷體"/>
                      <w:sz w:val="22"/>
                    </w:rPr>
                  </w:pPr>
                  <w:r w:rsidRPr="0063075B">
                    <w:rPr>
                      <w:rFonts w:eastAsia="標楷體" w:hint="eastAsia"/>
                      <w:sz w:val="22"/>
                      <w:szCs w:val="22"/>
                      <w:bdr w:val="single" w:sz="4" w:space="0" w:color="auto"/>
                    </w:rPr>
                    <w:t>V</w:t>
                  </w:r>
                  <w:r w:rsidR="00E3470C" w:rsidRPr="00E3470C">
                    <w:rPr>
                      <w:rFonts w:ascii="標楷體" w:eastAsia="標楷體" w:hAnsi="標楷體" w:hint="eastAsia"/>
                      <w:sz w:val="22"/>
                      <w:szCs w:val="22"/>
                    </w:rPr>
                    <w:t>課後作業，</w:t>
                  </w:r>
                  <w:r>
                    <w:rPr>
                      <w:rFonts w:ascii="標楷體" w:eastAsia="標楷體" w:hAnsi="標楷體" w:hint="eastAsia"/>
                      <w:sz w:val="22"/>
                      <w:szCs w:val="22"/>
                    </w:rPr>
                    <w:t>A</w:t>
                  </w:r>
                  <w:r w:rsidR="00E3470C" w:rsidRPr="00E3470C">
                    <w:rPr>
                      <w:rFonts w:ascii="標楷體" w:eastAsia="標楷體" w:hAnsi="標楷體" w:hint="eastAsia"/>
                      <w:sz w:val="22"/>
                      <w:szCs w:val="22"/>
                    </w:rPr>
                    <w:t>類</w:t>
                  </w:r>
                </w:p>
              </w:tc>
              <w:tc>
                <w:tcPr>
                  <w:tcW w:w="2140" w:type="dxa"/>
                </w:tcPr>
                <w:p w:rsidR="007A3F83" w:rsidRPr="00E3470C" w:rsidRDefault="00E3470C" w:rsidP="00E3470C">
                  <w:pPr>
                    <w:rPr>
                      <w:rFonts w:ascii="標楷體" w:eastAsia="標楷體" w:hAnsi="標楷體"/>
                      <w:sz w:val="22"/>
                    </w:rPr>
                  </w:pPr>
                  <w:r w:rsidRPr="00E3470C">
                    <w:rPr>
                      <w:rFonts w:ascii="標楷體" w:eastAsia="標楷體" w:hAnsi="標楷體" w:hint="eastAsia"/>
                      <w:sz w:val="22"/>
                      <w:szCs w:val="22"/>
                    </w:rPr>
                    <w:t>□平時測驗，類</w:t>
                  </w:r>
                </w:p>
              </w:tc>
            </w:tr>
            <w:tr w:rsidR="00E3470C" w:rsidRPr="00E3470C" w:rsidTr="00E3470C">
              <w:tc>
                <w:tcPr>
                  <w:tcW w:w="2135" w:type="dxa"/>
                </w:tcPr>
                <w:p w:rsidR="00E3470C" w:rsidRPr="00E3470C" w:rsidRDefault="00E3470C" w:rsidP="00BA1AF5">
                  <w:pPr>
                    <w:rPr>
                      <w:rFonts w:ascii="標楷體" w:eastAsia="標楷體" w:hAnsi="標楷體"/>
                      <w:sz w:val="22"/>
                    </w:rPr>
                  </w:pPr>
                  <w:r w:rsidRPr="00E3470C">
                    <w:rPr>
                      <w:rFonts w:ascii="標楷體" w:eastAsia="標楷體" w:hAnsi="標楷體" w:hint="eastAsia"/>
                      <w:sz w:val="22"/>
                      <w:szCs w:val="22"/>
                    </w:rPr>
                    <w:t>□心得分享，類</w:t>
                  </w:r>
                </w:p>
              </w:tc>
              <w:tc>
                <w:tcPr>
                  <w:tcW w:w="2126" w:type="dxa"/>
                </w:tcPr>
                <w:p w:rsidR="00E3470C" w:rsidRPr="00E3470C" w:rsidRDefault="00E3470C" w:rsidP="00E550F6">
                  <w:pPr>
                    <w:rPr>
                      <w:rFonts w:ascii="標楷體" w:eastAsia="標楷體" w:hAnsi="標楷體"/>
                      <w:sz w:val="22"/>
                    </w:rPr>
                  </w:pPr>
                  <w:r w:rsidRPr="00E3470C">
                    <w:rPr>
                      <w:rFonts w:ascii="標楷體" w:eastAsia="標楷體" w:hAnsi="標楷體" w:hint="eastAsia"/>
                      <w:sz w:val="22"/>
                      <w:szCs w:val="22"/>
                    </w:rPr>
                    <w:t>□學習紀錄，類</w:t>
                  </w:r>
                </w:p>
              </w:tc>
              <w:tc>
                <w:tcPr>
                  <w:tcW w:w="2126" w:type="dxa"/>
                </w:tcPr>
                <w:p w:rsidR="00E3470C" w:rsidRPr="00E3470C" w:rsidRDefault="00E3470C" w:rsidP="00E550F6">
                  <w:pPr>
                    <w:rPr>
                      <w:rFonts w:ascii="標楷體" w:eastAsia="標楷體" w:hAnsi="標楷體"/>
                      <w:sz w:val="22"/>
                    </w:rPr>
                  </w:pPr>
                  <w:r w:rsidRPr="00E3470C">
                    <w:rPr>
                      <w:rFonts w:ascii="標楷體" w:eastAsia="標楷體" w:hAnsi="標楷體" w:hint="eastAsia"/>
                      <w:sz w:val="22"/>
                      <w:szCs w:val="22"/>
                    </w:rPr>
                    <w:t>□專題創作，類</w:t>
                  </w:r>
                </w:p>
              </w:tc>
              <w:tc>
                <w:tcPr>
                  <w:tcW w:w="2140" w:type="dxa"/>
                </w:tcPr>
                <w:p w:rsidR="00E3470C" w:rsidRPr="00E3470C" w:rsidRDefault="00E3470C" w:rsidP="00E3470C">
                  <w:pPr>
                    <w:rPr>
                      <w:rFonts w:ascii="標楷體" w:eastAsia="標楷體" w:hAnsi="標楷體"/>
                      <w:sz w:val="22"/>
                    </w:rPr>
                  </w:pPr>
                  <w:r w:rsidRPr="00E3470C">
                    <w:rPr>
                      <w:rFonts w:ascii="標楷體" w:eastAsia="標楷體" w:hAnsi="標楷體" w:hint="eastAsia"/>
                      <w:sz w:val="22"/>
                      <w:szCs w:val="22"/>
                    </w:rPr>
                    <w:t>□其他，類</w:t>
                  </w:r>
                </w:p>
              </w:tc>
            </w:tr>
          </w:tbl>
          <w:p w:rsidR="00E3470C" w:rsidRPr="00E3470C" w:rsidRDefault="00E3470C" w:rsidP="007F22D6">
            <w:pPr>
              <w:spacing w:line="0" w:lineRule="atLeast"/>
              <w:rPr>
                <w:rFonts w:eastAsia="標楷體"/>
                <w:u w:val="single"/>
              </w:rPr>
            </w:pPr>
            <w:r w:rsidRPr="00E3470C">
              <w:rPr>
                <w:rFonts w:ascii="標楷體" w:eastAsia="標楷體" w:hAnsi="標楷體" w:hint="eastAsia"/>
                <w:sz w:val="22"/>
                <w:szCs w:val="22"/>
              </w:rPr>
              <w:t>A類佔</w:t>
            </w:r>
            <w:r w:rsidR="0063075B">
              <w:rPr>
                <w:rFonts w:ascii="標楷體" w:eastAsia="標楷體" w:hAnsi="標楷體" w:hint="eastAsia"/>
                <w:sz w:val="22"/>
                <w:szCs w:val="22"/>
              </w:rPr>
              <w:t xml:space="preserve"> 30</w:t>
            </w:r>
            <w:r>
              <w:rPr>
                <w:rFonts w:ascii="標楷體" w:eastAsia="標楷體" w:hAnsi="標楷體" w:hint="eastAsia"/>
                <w:sz w:val="22"/>
                <w:szCs w:val="22"/>
                <w:u w:val="single"/>
              </w:rPr>
              <w:t>%</w:t>
            </w:r>
            <w:r w:rsidRPr="00E3470C">
              <w:rPr>
                <w:rFonts w:ascii="標楷體" w:eastAsia="標楷體" w:hAnsi="標楷體" w:hint="eastAsia"/>
                <w:sz w:val="22"/>
                <w:szCs w:val="22"/>
              </w:rPr>
              <w:t>；B類佔</w:t>
            </w:r>
            <w:r w:rsidR="0063075B">
              <w:rPr>
                <w:rFonts w:ascii="標楷體" w:eastAsia="標楷體" w:hAnsi="標楷體" w:hint="eastAsia"/>
                <w:sz w:val="22"/>
                <w:szCs w:val="22"/>
              </w:rPr>
              <w:t>35</w:t>
            </w:r>
            <w:r w:rsidRPr="00E3470C">
              <w:rPr>
                <w:rFonts w:ascii="標楷體" w:eastAsia="標楷體" w:hAnsi="標楷體" w:hint="eastAsia"/>
                <w:sz w:val="22"/>
                <w:szCs w:val="22"/>
              </w:rPr>
              <w:t>%；C類佔</w:t>
            </w:r>
            <w:r w:rsidR="0063075B">
              <w:rPr>
                <w:rFonts w:ascii="標楷體" w:eastAsia="標楷體" w:hAnsi="標楷體" w:hint="eastAsia"/>
                <w:sz w:val="22"/>
                <w:szCs w:val="22"/>
              </w:rPr>
              <w:t>35</w:t>
            </w:r>
            <w:r w:rsidRPr="00E3470C">
              <w:rPr>
                <w:rFonts w:ascii="標楷體" w:eastAsia="標楷體" w:hAnsi="標楷體" w:hint="eastAsia"/>
                <w:sz w:val="22"/>
                <w:szCs w:val="22"/>
              </w:rPr>
              <w:t>%</w:t>
            </w:r>
          </w:p>
          <w:p w:rsidR="007A3F83" w:rsidRDefault="007A3F83" w:rsidP="007F22D6">
            <w:pPr>
              <w:spacing w:line="0" w:lineRule="atLeast"/>
              <w:rPr>
                <w:rFonts w:eastAsia="標楷體"/>
              </w:rPr>
            </w:pPr>
            <w:r>
              <w:rPr>
                <w:rFonts w:eastAsia="標楷體"/>
              </w:rPr>
              <w:t>說明：</w:t>
            </w:r>
          </w:p>
        </w:tc>
      </w:tr>
      <w:tr w:rsidR="00FE0BCC" w:rsidTr="0011203C">
        <w:trPr>
          <w:trHeight w:val="12467"/>
          <w:jc w:val="center"/>
        </w:trPr>
        <w:tc>
          <w:tcPr>
            <w:tcW w:w="1980" w:type="dxa"/>
            <w:tcBorders>
              <w:top w:val="single" w:sz="4" w:space="0" w:color="auto"/>
              <w:bottom w:val="single" w:sz="4" w:space="0" w:color="auto"/>
              <w:right w:val="single" w:sz="4" w:space="0" w:color="auto"/>
            </w:tcBorders>
            <w:vAlign w:val="center"/>
          </w:tcPr>
          <w:p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t>核心能力指標設定</w:t>
            </w:r>
          </w:p>
        </w:tc>
        <w:tc>
          <w:tcPr>
            <w:tcW w:w="8597" w:type="dxa"/>
            <w:gridSpan w:val="3"/>
            <w:tcBorders>
              <w:top w:val="single" w:sz="4" w:space="0" w:color="auto"/>
              <w:left w:val="single" w:sz="4" w:space="0" w:color="auto"/>
              <w:bottom w:val="single" w:sz="4" w:space="0" w:color="auto"/>
            </w:tcBorders>
          </w:tcPr>
          <w:p w:rsidR="00FE0BCC" w:rsidRDefault="00FE0BCC" w:rsidP="007F22D6">
            <w:pPr>
              <w:spacing w:line="0" w:lineRule="atLeast"/>
              <w:rPr>
                <w:rFonts w:eastAsia="標楷體"/>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rsidTr="007F22D6">
              <w:tc>
                <w:tcPr>
                  <w:tcW w:w="2847" w:type="dxa"/>
                  <w:vAlign w:val="center"/>
                </w:tcPr>
                <w:p w:rsidR="00FE0BCC" w:rsidRPr="006E7F5B" w:rsidRDefault="00FE0BCC" w:rsidP="0011203C">
                  <w:pPr>
                    <w:widowControl/>
                    <w:spacing w:line="320" w:lineRule="exact"/>
                    <w:jc w:val="center"/>
                    <w:rPr>
                      <w:rFonts w:eastAsia="標楷體" w:hAnsi="標楷體"/>
                      <w:color w:val="000000"/>
                      <w:kern w:val="0"/>
                    </w:rPr>
                  </w:pPr>
                  <w:r w:rsidRPr="006E7F5B">
                    <w:rPr>
                      <w:rFonts w:eastAsia="標楷體" w:hAnsi="標楷體" w:hint="eastAsia"/>
                      <w:color w:val="000000"/>
                      <w:kern w:val="0"/>
                    </w:rPr>
                    <w:t>通識課程</w:t>
                  </w:r>
                </w:p>
                <w:p w:rsidR="00FE0BCC" w:rsidRPr="006E7F5B" w:rsidRDefault="00FE0BCC" w:rsidP="0011203C">
                  <w:pPr>
                    <w:widowControl/>
                    <w:spacing w:line="320" w:lineRule="exact"/>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rsidR="00FE0BCC" w:rsidRPr="006E7F5B" w:rsidRDefault="00FE0BCC" w:rsidP="0011203C">
                  <w:pPr>
                    <w:widowControl/>
                    <w:spacing w:line="320" w:lineRule="exact"/>
                    <w:jc w:val="center"/>
                    <w:rPr>
                      <w:rFonts w:eastAsia="標楷體"/>
                      <w:color w:val="000000"/>
                      <w:kern w:val="0"/>
                    </w:rPr>
                  </w:pPr>
                  <w:r w:rsidRPr="006E7F5B">
                    <w:rPr>
                      <w:rFonts w:eastAsia="標楷體" w:hint="eastAsia"/>
                      <w:color w:val="000000"/>
                      <w:kern w:val="0"/>
                    </w:rPr>
                    <w:t>說明</w:t>
                  </w:r>
                </w:p>
              </w:tc>
              <w:tc>
                <w:tcPr>
                  <w:tcW w:w="1274" w:type="dxa"/>
                  <w:vAlign w:val="center"/>
                </w:tcPr>
                <w:p w:rsidR="00FE0BCC" w:rsidRPr="006E7F5B" w:rsidRDefault="00FE0BCC" w:rsidP="0011203C">
                  <w:pPr>
                    <w:widowControl/>
                    <w:spacing w:line="320" w:lineRule="exac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FE0BCC" w:rsidRPr="006E7F5B" w:rsidTr="0011203C">
              <w:tc>
                <w:tcPr>
                  <w:tcW w:w="2847" w:type="dxa"/>
                  <w:vAlign w:val="center"/>
                </w:tcPr>
                <w:p w:rsidR="00FE0BCC" w:rsidRPr="006E7F5B" w:rsidRDefault="00FE0BCC" w:rsidP="0011203C">
                  <w:pPr>
                    <w:widowControl/>
                    <w:spacing w:line="320" w:lineRule="exac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rsidR="00FE0BCC" w:rsidRPr="006E7F5B" w:rsidRDefault="00FE0BCC" w:rsidP="0011203C">
                  <w:pPr>
                    <w:pStyle w:val="Web"/>
                    <w:spacing w:before="0" w:beforeAutospacing="0" w:after="0" w:afterAutospacing="0" w:line="320" w:lineRule="exac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經由課程的訓練與引導設計，使學生能夠進行獨立性、批判性、系統性或整合性等面向的思考，或能以創意的角度來思考新事物。</w:t>
                  </w:r>
                </w:p>
              </w:tc>
              <w:tc>
                <w:tcPr>
                  <w:tcW w:w="1274" w:type="dxa"/>
                  <w:vAlign w:val="center"/>
                </w:tcPr>
                <w:p w:rsidR="00FE0BCC" w:rsidRPr="006E7F5B" w:rsidRDefault="0011203C" w:rsidP="0011203C">
                  <w:pPr>
                    <w:pStyle w:val="Web"/>
                    <w:spacing w:before="0" w:beforeAutospacing="0" w:after="0" w:afterAutospacing="0" w:line="320" w:lineRule="exact"/>
                    <w:jc w:val="center"/>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tc>
            </w:tr>
            <w:tr w:rsidR="00FE0BCC" w:rsidRPr="006E7F5B" w:rsidTr="0011203C">
              <w:tc>
                <w:tcPr>
                  <w:tcW w:w="2847" w:type="dxa"/>
                  <w:vAlign w:val="center"/>
                </w:tcPr>
                <w:p w:rsidR="00FE0BCC" w:rsidRPr="006E7F5B" w:rsidRDefault="00FE0BCC" w:rsidP="0011203C">
                  <w:pPr>
                    <w:widowControl/>
                    <w:spacing w:line="320" w:lineRule="exac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rsidR="00FE0BCC" w:rsidRPr="006E7F5B" w:rsidRDefault="00FE0BCC" w:rsidP="0011203C">
                  <w:pPr>
                    <w:widowControl/>
                    <w:spacing w:line="320" w:lineRule="exac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vAlign w:val="center"/>
                </w:tcPr>
                <w:p w:rsidR="00FE0BCC" w:rsidRPr="006E7F5B" w:rsidRDefault="0011203C" w:rsidP="0011203C">
                  <w:pPr>
                    <w:widowControl/>
                    <w:spacing w:line="320" w:lineRule="exact"/>
                    <w:jc w:val="center"/>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rsidTr="0011203C">
              <w:tc>
                <w:tcPr>
                  <w:tcW w:w="2847" w:type="dxa"/>
                  <w:vAlign w:val="center"/>
                </w:tcPr>
                <w:p w:rsidR="00FE0BCC" w:rsidRPr="006E7F5B" w:rsidRDefault="00FE0BCC" w:rsidP="0011203C">
                  <w:pPr>
                    <w:widowControl/>
                    <w:spacing w:line="320" w:lineRule="exac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rsidR="00FE0BCC" w:rsidRPr="006E7F5B" w:rsidRDefault="00FE0BCC" w:rsidP="0011203C">
                  <w:pPr>
                    <w:widowControl/>
                    <w:spacing w:line="320" w:lineRule="exac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vAlign w:val="center"/>
                </w:tcPr>
                <w:p w:rsidR="00FE0BCC" w:rsidRPr="006E7F5B" w:rsidRDefault="0011203C" w:rsidP="0011203C">
                  <w:pPr>
                    <w:widowControl/>
                    <w:spacing w:line="320" w:lineRule="exact"/>
                    <w:ind w:right="147"/>
                    <w:jc w:val="center"/>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rsidTr="0011203C">
              <w:tc>
                <w:tcPr>
                  <w:tcW w:w="2847" w:type="dxa"/>
                  <w:vAlign w:val="center"/>
                </w:tcPr>
                <w:p w:rsidR="00FE0BCC" w:rsidRPr="006E7F5B" w:rsidRDefault="00FE0BCC" w:rsidP="0011203C">
                  <w:pPr>
                    <w:widowControl/>
                    <w:spacing w:line="320" w:lineRule="exac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rsidR="00FE0BCC" w:rsidRPr="006E7F5B" w:rsidRDefault="00FE0BCC" w:rsidP="0011203C">
                  <w:pPr>
                    <w:widowControl/>
                    <w:spacing w:line="320" w:lineRule="exac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vAlign w:val="center"/>
                </w:tcPr>
                <w:p w:rsidR="00FE0BCC" w:rsidRPr="006E7F5B" w:rsidRDefault="00FE0BCC" w:rsidP="0011203C">
                  <w:pPr>
                    <w:widowControl/>
                    <w:spacing w:line="320" w:lineRule="exact"/>
                    <w:ind w:right="150"/>
                    <w:jc w:val="center"/>
                    <w:rPr>
                      <w:rFonts w:eastAsia="標楷體"/>
                      <w:color w:val="000000"/>
                      <w:kern w:val="0"/>
                    </w:rPr>
                  </w:pPr>
                </w:p>
              </w:tc>
            </w:tr>
            <w:tr w:rsidR="00FE0BCC" w:rsidRPr="006E7F5B" w:rsidTr="0011203C">
              <w:tc>
                <w:tcPr>
                  <w:tcW w:w="2847" w:type="dxa"/>
                  <w:vAlign w:val="center"/>
                </w:tcPr>
                <w:p w:rsidR="00FE0BCC" w:rsidRPr="006E7F5B" w:rsidRDefault="00FE0BCC" w:rsidP="0011203C">
                  <w:pPr>
                    <w:widowControl/>
                    <w:spacing w:line="320" w:lineRule="exac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rsidR="00FE0BCC" w:rsidRPr="006E7F5B" w:rsidRDefault="00FE0BCC" w:rsidP="0011203C">
                  <w:pPr>
                    <w:spacing w:line="320" w:lineRule="exac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vAlign w:val="center"/>
                </w:tcPr>
                <w:p w:rsidR="00FE0BCC" w:rsidRPr="006E7F5B" w:rsidRDefault="0011203C" w:rsidP="0011203C">
                  <w:pPr>
                    <w:spacing w:line="320" w:lineRule="exact"/>
                    <w:jc w:val="center"/>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rsidTr="0011203C">
              <w:tc>
                <w:tcPr>
                  <w:tcW w:w="2847" w:type="dxa"/>
                  <w:vAlign w:val="center"/>
                </w:tcPr>
                <w:p w:rsidR="00FE0BCC" w:rsidRPr="006E7F5B" w:rsidRDefault="00FE0BCC" w:rsidP="0011203C">
                  <w:pPr>
                    <w:widowControl/>
                    <w:spacing w:line="320" w:lineRule="exac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rsidR="00FE0BCC" w:rsidRPr="006E7F5B" w:rsidRDefault="00FE0BCC" w:rsidP="0011203C">
                  <w:pPr>
                    <w:widowControl/>
                    <w:spacing w:line="320" w:lineRule="exac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vAlign w:val="center"/>
                </w:tcPr>
                <w:p w:rsidR="00FE0BCC" w:rsidRPr="006E7F5B" w:rsidRDefault="0011203C" w:rsidP="0011203C">
                  <w:pPr>
                    <w:widowControl/>
                    <w:spacing w:line="320" w:lineRule="exact"/>
                    <w:jc w:val="center"/>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rsidTr="0011203C">
              <w:tc>
                <w:tcPr>
                  <w:tcW w:w="2847" w:type="dxa"/>
                  <w:vAlign w:val="center"/>
                </w:tcPr>
                <w:p w:rsidR="00FE0BCC" w:rsidRPr="006E7F5B" w:rsidRDefault="00FE0BCC" w:rsidP="0011203C">
                  <w:pPr>
                    <w:widowControl/>
                    <w:spacing w:line="320" w:lineRule="exac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rsidR="00FE0BCC" w:rsidRPr="006E7F5B" w:rsidRDefault="00FE0BCC" w:rsidP="0011203C">
                  <w:pPr>
                    <w:widowControl/>
                    <w:spacing w:line="320" w:lineRule="exac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vAlign w:val="center"/>
                </w:tcPr>
                <w:p w:rsidR="00FE0BCC" w:rsidRPr="006E7F5B" w:rsidRDefault="00FE0BCC" w:rsidP="0011203C">
                  <w:pPr>
                    <w:widowControl/>
                    <w:spacing w:line="320" w:lineRule="exact"/>
                    <w:ind w:right="147"/>
                    <w:jc w:val="center"/>
                    <w:rPr>
                      <w:rFonts w:eastAsia="標楷體"/>
                      <w:color w:val="000000"/>
                      <w:kern w:val="0"/>
                    </w:rPr>
                  </w:pPr>
                </w:p>
              </w:tc>
            </w:tr>
            <w:tr w:rsidR="00FE0BCC" w:rsidRPr="006E7F5B" w:rsidTr="0011203C">
              <w:tc>
                <w:tcPr>
                  <w:tcW w:w="2847" w:type="dxa"/>
                  <w:vAlign w:val="center"/>
                </w:tcPr>
                <w:p w:rsidR="00FE0BCC" w:rsidRPr="006E7F5B" w:rsidRDefault="00FE0BCC" w:rsidP="0011203C">
                  <w:pPr>
                    <w:widowControl/>
                    <w:spacing w:line="320" w:lineRule="exac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rsidR="00FE0BCC" w:rsidRPr="006E7F5B" w:rsidRDefault="00FE0BCC" w:rsidP="0011203C">
                  <w:pPr>
                    <w:widowControl/>
                    <w:spacing w:line="320" w:lineRule="exac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vAlign w:val="center"/>
                </w:tcPr>
                <w:p w:rsidR="00FE0BCC" w:rsidRPr="006E7F5B" w:rsidRDefault="00FE0BCC" w:rsidP="0011203C">
                  <w:pPr>
                    <w:widowControl/>
                    <w:spacing w:line="320" w:lineRule="exact"/>
                    <w:ind w:right="147"/>
                    <w:jc w:val="center"/>
                    <w:rPr>
                      <w:rFonts w:eastAsia="標楷體"/>
                      <w:color w:val="000000"/>
                      <w:kern w:val="0"/>
                    </w:rPr>
                  </w:pPr>
                </w:p>
              </w:tc>
            </w:tr>
            <w:tr w:rsidR="00FE0BCC" w:rsidRPr="006E7F5B" w:rsidTr="0011203C">
              <w:tc>
                <w:tcPr>
                  <w:tcW w:w="2847" w:type="dxa"/>
                  <w:vAlign w:val="center"/>
                </w:tcPr>
                <w:p w:rsidR="00FE0BCC" w:rsidRPr="006E7F5B" w:rsidRDefault="00FE0BCC" w:rsidP="0011203C">
                  <w:pPr>
                    <w:widowControl/>
                    <w:spacing w:line="320" w:lineRule="exac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rsidR="00FE0BCC" w:rsidRPr="006E7F5B" w:rsidRDefault="00FE0BCC" w:rsidP="0011203C">
                  <w:pPr>
                    <w:widowControl/>
                    <w:spacing w:line="320" w:lineRule="exac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vAlign w:val="center"/>
                </w:tcPr>
                <w:p w:rsidR="00FE0BCC" w:rsidRPr="006E7F5B" w:rsidRDefault="0011203C" w:rsidP="0011203C">
                  <w:pPr>
                    <w:widowControl/>
                    <w:spacing w:line="320" w:lineRule="exact"/>
                    <w:ind w:firstLine="1"/>
                    <w:jc w:val="center"/>
                    <w:rPr>
                      <w:rFonts w:eastAsia="標楷體"/>
                      <w:color w:val="000000"/>
                      <w:kern w:val="0"/>
                    </w:rPr>
                  </w:pPr>
                  <w:r w:rsidRPr="006E7F5B">
                    <w:rPr>
                      <w:rFonts w:ascii="標楷體" w:eastAsia="標楷體" w:hAnsi="標楷體" w:hint="eastAsia"/>
                      <w:color w:val="000000"/>
                      <w:kern w:val="0"/>
                    </w:rPr>
                    <w:sym w:font="Wingdings" w:char="F0FC"/>
                  </w:r>
                </w:p>
              </w:tc>
            </w:tr>
          </w:tbl>
          <w:p w:rsidR="00FE0BCC" w:rsidRPr="00D94B32" w:rsidRDefault="00FE0BCC" w:rsidP="009F603C">
            <w:pPr>
              <w:spacing w:beforeLines="50" w:before="180" w:line="0" w:lineRule="atLeast"/>
              <w:ind w:left="674" w:hangingChars="281" w:hanging="674"/>
              <w:rPr>
                <w:rFonts w:ascii="標楷體" w:eastAsia="標楷體" w:hAnsi="標楷體"/>
                <w:color w:val="000000"/>
              </w:rPr>
            </w:pPr>
            <w:r>
              <w:rPr>
                <w:rFonts w:ascii="標楷體" w:eastAsia="標楷體" w:hAnsi="標楷體" w:hint="eastAsia"/>
                <w:color w:val="000000"/>
              </w:rPr>
              <w:t>說明：課程符合指標內涵之部份內容，即可勾選。請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r w:rsidR="0011203C" w:rsidTr="00E3470C">
        <w:trPr>
          <w:cantSplit/>
          <w:trHeight w:val="315"/>
          <w:jc w:val="center"/>
        </w:trPr>
        <w:tc>
          <w:tcPr>
            <w:tcW w:w="1980" w:type="dxa"/>
            <w:vMerge w:val="restart"/>
            <w:tcBorders>
              <w:top w:val="single" w:sz="4" w:space="0" w:color="auto"/>
              <w:right w:val="single" w:sz="4" w:space="0" w:color="auto"/>
            </w:tcBorders>
            <w:vAlign w:val="center"/>
          </w:tcPr>
          <w:p w:rsidR="0011203C" w:rsidRDefault="0011203C" w:rsidP="007F22D6">
            <w:pPr>
              <w:spacing w:line="0" w:lineRule="atLeast"/>
              <w:jc w:val="center"/>
              <w:rPr>
                <w:rFonts w:eastAsia="標楷體"/>
              </w:rPr>
            </w:pPr>
            <w:r>
              <w:rPr>
                <w:rFonts w:eastAsia="標楷體" w:hint="eastAsia"/>
              </w:rPr>
              <w:t>授課教師</w:t>
            </w:r>
          </w:p>
        </w:tc>
        <w:tc>
          <w:tcPr>
            <w:tcW w:w="8597" w:type="dxa"/>
            <w:gridSpan w:val="3"/>
            <w:tcBorders>
              <w:top w:val="single" w:sz="4" w:space="0" w:color="auto"/>
              <w:left w:val="single" w:sz="4" w:space="0" w:color="auto"/>
              <w:bottom w:val="dashSmallGap" w:sz="4" w:space="0" w:color="auto"/>
            </w:tcBorders>
          </w:tcPr>
          <w:p w:rsidR="0011203C" w:rsidRDefault="0011203C" w:rsidP="004255B1">
            <w:pPr>
              <w:spacing w:line="0" w:lineRule="atLeast"/>
              <w:rPr>
                <w:rFonts w:eastAsia="標楷體"/>
              </w:rPr>
            </w:pPr>
            <w:r>
              <w:rPr>
                <w:rFonts w:eastAsia="標楷體" w:hint="eastAsia"/>
              </w:rPr>
              <w:t>學系：</w:t>
            </w:r>
            <w:r>
              <w:rPr>
                <w:rFonts w:eastAsia="標楷體" w:hint="eastAsia"/>
              </w:rPr>
              <w:t xml:space="preserve">  </w:t>
            </w:r>
            <w:r>
              <w:rPr>
                <w:rFonts w:eastAsia="標楷體" w:hint="eastAsia"/>
              </w:rPr>
              <w:t>數學系</w:t>
            </w:r>
            <w:r>
              <w:rPr>
                <w:rFonts w:eastAsia="標楷體" w:hint="eastAsia"/>
              </w:rPr>
              <w:t xml:space="preserve">         </w:t>
            </w:r>
            <w:r>
              <w:rPr>
                <w:rFonts w:eastAsia="標楷體" w:hint="eastAsia"/>
              </w:rPr>
              <w:t>姓名：</w:t>
            </w:r>
            <w:r>
              <w:rPr>
                <w:rFonts w:eastAsia="標楷體" w:hint="eastAsia"/>
              </w:rPr>
              <w:t xml:space="preserve">  </w:t>
            </w:r>
            <w:r>
              <w:rPr>
                <w:rFonts w:eastAsia="標楷體" w:hint="eastAsia"/>
              </w:rPr>
              <w:t>高正雄</w:t>
            </w:r>
            <w:r>
              <w:rPr>
                <w:rFonts w:eastAsia="標楷體" w:hint="eastAsia"/>
              </w:rPr>
              <w:t xml:space="preserve">        </w:t>
            </w:r>
            <w:r>
              <w:rPr>
                <w:rFonts w:eastAsia="標楷體" w:hint="eastAsia"/>
              </w:rPr>
              <w:t>□專任</w:t>
            </w:r>
            <w:r>
              <w:rPr>
                <w:rFonts w:eastAsia="標楷體" w:hint="eastAsia"/>
              </w:rPr>
              <w:t xml:space="preserve">   </w:t>
            </w:r>
            <w:r w:rsidRPr="00D043FE">
              <w:rPr>
                <w:rFonts w:eastAsia="標楷體" w:hint="eastAsia"/>
                <w:bdr w:val="single" w:sz="4" w:space="0" w:color="auto"/>
              </w:rPr>
              <w:t>V</w:t>
            </w:r>
            <w:r>
              <w:rPr>
                <w:rFonts w:eastAsia="標楷體" w:hint="eastAsia"/>
              </w:rPr>
              <w:t>兼任</w:t>
            </w:r>
          </w:p>
        </w:tc>
      </w:tr>
      <w:tr w:rsidR="0011203C" w:rsidTr="00E3470C">
        <w:trPr>
          <w:cantSplit/>
          <w:trHeight w:val="321"/>
          <w:jc w:val="center"/>
        </w:trPr>
        <w:tc>
          <w:tcPr>
            <w:tcW w:w="1980" w:type="dxa"/>
            <w:vMerge/>
            <w:tcBorders>
              <w:top w:val="single" w:sz="8" w:space="0" w:color="auto"/>
              <w:right w:val="single" w:sz="4" w:space="0" w:color="auto"/>
            </w:tcBorders>
            <w:vAlign w:val="center"/>
          </w:tcPr>
          <w:p w:rsidR="0011203C" w:rsidRDefault="0011203C" w:rsidP="007F22D6">
            <w:pPr>
              <w:spacing w:line="0" w:lineRule="atLeast"/>
              <w:jc w:val="center"/>
              <w:rPr>
                <w:rFonts w:eastAsia="標楷體"/>
              </w:rPr>
            </w:pPr>
          </w:p>
        </w:tc>
        <w:tc>
          <w:tcPr>
            <w:tcW w:w="8597" w:type="dxa"/>
            <w:gridSpan w:val="3"/>
            <w:tcBorders>
              <w:top w:val="dashSmallGap" w:sz="4" w:space="0" w:color="auto"/>
              <w:left w:val="single" w:sz="4" w:space="0" w:color="auto"/>
              <w:bottom w:val="single" w:sz="4" w:space="0" w:color="auto"/>
            </w:tcBorders>
          </w:tcPr>
          <w:p w:rsidR="0011203C" w:rsidRDefault="0011203C" w:rsidP="004255B1">
            <w:pPr>
              <w:spacing w:line="0" w:lineRule="atLeast"/>
              <w:rPr>
                <w:rFonts w:eastAsia="標楷體"/>
              </w:rPr>
            </w:pPr>
            <w:r>
              <w:rPr>
                <w:rFonts w:eastAsia="標楷體" w:hint="eastAsia"/>
              </w:rPr>
              <w:t>□教授</w:t>
            </w:r>
            <w:r>
              <w:rPr>
                <w:rFonts w:eastAsia="標楷體" w:hint="eastAsia"/>
              </w:rPr>
              <w:t xml:space="preserve">     </w:t>
            </w:r>
            <w:r w:rsidRPr="00D043FE">
              <w:rPr>
                <w:rFonts w:eastAsia="標楷體" w:hint="eastAsia"/>
                <w:bdr w:val="single" w:sz="4" w:space="0" w:color="auto"/>
              </w:rPr>
              <w:t>V</w:t>
            </w:r>
            <w:r>
              <w:rPr>
                <w:rFonts w:eastAsia="標楷體" w:hint="eastAsia"/>
              </w:rPr>
              <w:t>副教授</w:t>
            </w:r>
            <w:r>
              <w:rPr>
                <w:rFonts w:eastAsia="標楷體" w:hint="eastAsia"/>
              </w:rPr>
              <w:t xml:space="preserve">     </w:t>
            </w:r>
            <w:r>
              <w:rPr>
                <w:rFonts w:eastAsia="標楷體" w:hint="eastAsia"/>
              </w:rPr>
              <w:t>□助理教授</w:t>
            </w:r>
            <w:r>
              <w:rPr>
                <w:rFonts w:eastAsia="標楷體" w:hint="eastAsia"/>
              </w:rPr>
              <w:t xml:space="preserve">     </w:t>
            </w:r>
            <w:r>
              <w:rPr>
                <w:rFonts w:eastAsia="標楷體" w:hint="eastAsia"/>
              </w:rPr>
              <w:t>□講師</w:t>
            </w:r>
          </w:p>
        </w:tc>
      </w:tr>
      <w:tr w:rsidR="0011203C" w:rsidTr="00E3470C">
        <w:trPr>
          <w:cantSplit/>
          <w:trHeight w:val="1052"/>
          <w:jc w:val="center"/>
        </w:trPr>
        <w:tc>
          <w:tcPr>
            <w:tcW w:w="1980" w:type="dxa"/>
            <w:vMerge/>
            <w:tcBorders>
              <w:bottom w:val="single" w:sz="4" w:space="0" w:color="auto"/>
              <w:right w:val="single" w:sz="4" w:space="0" w:color="auto"/>
            </w:tcBorders>
            <w:vAlign w:val="center"/>
          </w:tcPr>
          <w:p w:rsidR="0011203C" w:rsidRDefault="0011203C" w:rsidP="007F22D6">
            <w:pPr>
              <w:spacing w:line="0" w:lineRule="atLeast"/>
              <w:jc w:val="center"/>
              <w:rPr>
                <w:rFonts w:eastAsia="標楷體"/>
              </w:rPr>
            </w:pPr>
          </w:p>
        </w:tc>
        <w:tc>
          <w:tcPr>
            <w:tcW w:w="8597" w:type="dxa"/>
            <w:gridSpan w:val="3"/>
            <w:tcBorders>
              <w:top w:val="single" w:sz="4" w:space="0" w:color="auto"/>
              <w:left w:val="single" w:sz="4" w:space="0" w:color="auto"/>
              <w:bottom w:val="single" w:sz="4" w:space="0" w:color="auto"/>
            </w:tcBorders>
          </w:tcPr>
          <w:p w:rsidR="0011203C" w:rsidRDefault="0011203C" w:rsidP="004255B1">
            <w:pPr>
              <w:spacing w:line="0" w:lineRule="atLeast"/>
              <w:ind w:left="3000" w:hangingChars="1250" w:hanging="3000"/>
              <w:rPr>
                <w:rFonts w:eastAsia="標楷體" w:hAnsi="標楷體"/>
              </w:rPr>
            </w:pPr>
            <w:r>
              <w:rPr>
                <w:rFonts w:eastAsia="標楷體" w:hint="eastAsia"/>
              </w:rPr>
              <w:t>簡單學、經歷及研究領域：</w:t>
            </w:r>
            <w:r w:rsidRPr="00500CD4">
              <w:rPr>
                <w:rFonts w:eastAsia="標楷體" w:hAnsi="標楷體"/>
              </w:rPr>
              <w:t>美國</w:t>
            </w:r>
            <w:r>
              <w:rPr>
                <w:rFonts w:eastAsia="標楷體" w:hAnsi="標楷體" w:hint="eastAsia"/>
              </w:rPr>
              <w:t>哥倫比亞大學數理統</w:t>
            </w:r>
            <w:smartTag w:uri="urn:schemas-microsoft-com:office:smarttags" w:element="PersonName">
              <w:smartTagPr>
                <w:attr w:name="ProductID" w:val="計學"/>
              </w:smartTagPr>
              <w:r>
                <w:rPr>
                  <w:rFonts w:eastAsia="標楷體" w:hAnsi="標楷體" w:hint="eastAsia"/>
                </w:rPr>
                <w:t>計學</w:t>
              </w:r>
            </w:smartTag>
            <w:r w:rsidRPr="00500CD4">
              <w:rPr>
                <w:rFonts w:eastAsia="標楷體" w:hAnsi="標楷體"/>
              </w:rPr>
              <w:t>博士；</w:t>
            </w:r>
          </w:p>
          <w:p w:rsidR="0011203C" w:rsidRDefault="0011203C" w:rsidP="004255B1">
            <w:pPr>
              <w:spacing w:line="0" w:lineRule="atLeast"/>
              <w:ind w:leftChars="1213" w:left="2997" w:hangingChars="36" w:hanging="86"/>
              <w:rPr>
                <w:rFonts w:eastAsia="標楷體" w:hAnsi="標楷體"/>
              </w:rPr>
            </w:pPr>
            <w:r w:rsidRPr="00500CD4">
              <w:rPr>
                <w:rFonts w:eastAsia="標楷體" w:hAnsi="標楷體"/>
              </w:rPr>
              <w:t>中正大學數學系退休教授</w:t>
            </w:r>
            <w:r>
              <w:rPr>
                <w:rFonts w:eastAsia="標楷體" w:hAnsi="標楷體" w:hint="eastAsia"/>
              </w:rPr>
              <w:t>。</w:t>
            </w:r>
          </w:p>
          <w:p w:rsidR="0011203C" w:rsidRPr="008B1042" w:rsidRDefault="0011203C" w:rsidP="004255B1">
            <w:pPr>
              <w:spacing w:line="0" w:lineRule="atLeast"/>
              <w:rPr>
                <w:rFonts w:eastAsia="標楷體"/>
              </w:rPr>
            </w:pPr>
            <w:r w:rsidRPr="00500CD4">
              <w:rPr>
                <w:rFonts w:eastAsia="標楷體" w:hAnsi="標楷體"/>
              </w:rPr>
              <w:t>研究領域：</w:t>
            </w:r>
            <w:r>
              <w:rPr>
                <w:rFonts w:eastAsia="標楷體" w:hAnsi="標楷體" w:hint="eastAsia"/>
              </w:rPr>
              <w:t>資料分析、數理統計</w:t>
            </w:r>
          </w:p>
        </w:tc>
      </w:tr>
      <w:tr w:rsidR="00FE0BCC" w:rsidTr="00E3470C">
        <w:trPr>
          <w:trHeight w:val="422"/>
          <w:jc w:val="center"/>
        </w:trPr>
        <w:tc>
          <w:tcPr>
            <w:tcW w:w="1980" w:type="dxa"/>
            <w:tcBorders>
              <w:top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備註</w:t>
            </w:r>
          </w:p>
        </w:tc>
        <w:tc>
          <w:tcPr>
            <w:tcW w:w="8597" w:type="dxa"/>
            <w:gridSpan w:val="3"/>
            <w:tcBorders>
              <w:top w:val="single" w:sz="4" w:space="0" w:color="auto"/>
              <w:left w:val="single" w:sz="4" w:space="0" w:color="auto"/>
            </w:tcBorders>
          </w:tcPr>
          <w:p w:rsidR="00FE0BCC" w:rsidRDefault="00FE0BCC" w:rsidP="007F22D6">
            <w:pPr>
              <w:spacing w:line="0" w:lineRule="atLeast"/>
              <w:rPr>
                <w:rFonts w:eastAsia="標楷體"/>
              </w:rPr>
            </w:pPr>
          </w:p>
        </w:tc>
      </w:tr>
    </w:tbl>
    <w:p w:rsidR="00010195" w:rsidRDefault="00010195"/>
    <w:sectPr w:rsidR="00010195" w:rsidSect="0063075B">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607" w:rsidRDefault="00162607" w:rsidP="00F53800">
      <w:r>
        <w:separator/>
      </w:r>
    </w:p>
  </w:endnote>
  <w:endnote w:type="continuationSeparator" w:id="0">
    <w:p w:rsidR="00162607" w:rsidRDefault="00162607"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607" w:rsidRDefault="00162607" w:rsidP="00F53800">
      <w:r>
        <w:separator/>
      </w:r>
    </w:p>
  </w:footnote>
  <w:footnote w:type="continuationSeparator" w:id="0">
    <w:p w:rsidR="00162607" w:rsidRDefault="00162607" w:rsidP="00F53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03B01"/>
    <w:multiLevelType w:val="hybridMultilevel"/>
    <w:tmpl w:val="DF6CD54A"/>
    <w:lvl w:ilvl="0" w:tplc="3982A8FE">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CC"/>
    <w:rsid w:val="00004B33"/>
    <w:rsid w:val="00010195"/>
    <w:rsid w:val="000C550F"/>
    <w:rsid w:val="000F62A1"/>
    <w:rsid w:val="0011203C"/>
    <w:rsid w:val="00162607"/>
    <w:rsid w:val="00180BA5"/>
    <w:rsid w:val="00196254"/>
    <w:rsid w:val="001B0343"/>
    <w:rsid w:val="002E4A14"/>
    <w:rsid w:val="004258EB"/>
    <w:rsid w:val="00427E54"/>
    <w:rsid w:val="004613C3"/>
    <w:rsid w:val="004B3DFF"/>
    <w:rsid w:val="00607F05"/>
    <w:rsid w:val="0063075B"/>
    <w:rsid w:val="006C1882"/>
    <w:rsid w:val="007A3F83"/>
    <w:rsid w:val="007D2057"/>
    <w:rsid w:val="008C3804"/>
    <w:rsid w:val="009205CF"/>
    <w:rsid w:val="00947B09"/>
    <w:rsid w:val="009E1461"/>
    <w:rsid w:val="009F603C"/>
    <w:rsid w:val="00A24ECE"/>
    <w:rsid w:val="00A34E22"/>
    <w:rsid w:val="00A4115D"/>
    <w:rsid w:val="00B23AF1"/>
    <w:rsid w:val="00B50727"/>
    <w:rsid w:val="00B72C75"/>
    <w:rsid w:val="00C22F68"/>
    <w:rsid w:val="00C656E0"/>
    <w:rsid w:val="00DC3DE7"/>
    <w:rsid w:val="00E3470C"/>
    <w:rsid w:val="00E86A74"/>
    <w:rsid w:val="00F53800"/>
    <w:rsid w:val="00FE0BC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3DE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C3DE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3DE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C3D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453</Words>
  <Characters>2584</Characters>
  <Application>Microsoft Office Word</Application>
  <DocSecurity>4</DocSecurity>
  <Lines>21</Lines>
  <Paragraphs>6</Paragraphs>
  <ScaleCrop>false</ScaleCrop>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cp:lastPrinted>2018-06-19T02:00:00Z</cp:lastPrinted>
  <dcterms:created xsi:type="dcterms:W3CDTF">2020-06-09T02:01:00Z</dcterms:created>
  <dcterms:modified xsi:type="dcterms:W3CDTF">2020-06-09T02:01:00Z</dcterms:modified>
</cp:coreProperties>
</file>