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27" w:rsidRDefault="00094127" w:rsidP="00094127">
      <w:pPr>
        <w:ind w:firstLineChars="900" w:firstLine="2160"/>
      </w:pPr>
      <w:r>
        <w:rPr>
          <w:rFonts w:hint="eastAsia"/>
        </w:rPr>
        <w:t>國立中正大學教育學研究所教學大綱</w:t>
      </w:r>
    </w:p>
    <w:p w:rsidR="00094127" w:rsidRDefault="00CF6294" w:rsidP="00094127">
      <w:r>
        <w:t xml:space="preserve">                       109</w:t>
      </w:r>
      <w:r w:rsidR="00094127">
        <w:rPr>
          <w:rFonts w:hint="eastAsia"/>
        </w:rPr>
        <w:t>學年度第二學期</w:t>
      </w:r>
      <w:r w:rsidR="00094127">
        <w:t xml:space="preserve"> </w:t>
      </w:r>
    </w:p>
    <w:p w:rsidR="00094127" w:rsidRDefault="00094127" w:rsidP="00094127">
      <w:r>
        <w:rPr>
          <w:rFonts w:hint="eastAsia"/>
        </w:rPr>
        <w:t>科目名稱：教育人類學研究</w:t>
      </w:r>
      <w:r>
        <w:t xml:space="preserve">     </w:t>
      </w:r>
      <w:r w:rsidR="00AE4DFB"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授課教師：朱啟華</w:t>
      </w:r>
    </w:p>
    <w:p w:rsidR="00094127" w:rsidRDefault="00094127" w:rsidP="00094127">
      <w:r>
        <w:rPr>
          <w:rFonts w:hint="eastAsia"/>
        </w:rPr>
        <w:t>學分數</w:t>
      </w:r>
      <w:r>
        <w:t xml:space="preserve">:  </w:t>
      </w:r>
      <w:r>
        <w:rPr>
          <w:rFonts w:hint="eastAsia"/>
        </w:rPr>
        <w:t>二</w:t>
      </w:r>
      <w:r>
        <w:t xml:space="preserve">                       </w:t>
      </w:r>
      <w:proofErr w:type="gramStart"/>
      <w:r>
        <w:rPr>
          <w:rFonts w:hint="eastAsia"/>
        </w:rPr>
        <w:t>修別</w:t>
      </w:r>
      <w:proofErr w:type="gramEnd"/>
      <w:r>
        <w:t xml:space="preserve">: </w:t>
      </w:r>
      <w:r>
        <w:rPr>
          <w:rFonts w:hint="eastAsia"/>
        </w:rPr>
        <w:t>選修</w:t>
      </w:r>
    </w:p>
    <w:p w:rsidR="00094127" w:rsidRDefault="00094127" w:rsidP="00094127">
      <w:r>
        <w:rPr>
          <w:rFonts w:hint="eastAsia"/>
        </w:rPr>
        <w:t>授課時間</w:t>
      </w:r>
      <w:r>
        <w:t xml:space="preserve">: </w:t>
      </w:r>
      <w:r w:rsidR="00AE4DFB">
        <w:rPr>
          <w:rFonts w:hint="eastAsia"/>
        </w:rPr>
        <w:t>週二</w:t>
      </w:r>
      <w:r w:rsidR="00AE4DFB">
        <w:rPr>
          <w:rFonts w:hint="eastAsia"/>
        </w:rPr>
        <w:t>1000-1200</w:t>
      </w:r>
      <w:r>
        <w:t xml:space="preserve">           </w:t>
      </w:r>
      <w:r>
        <w:rPr>
          <w:rFonts w:hint="eastAsia"/>
        </w:rPr>
        <w:t>研究室</w:t>
      </w:r>
      <w:r>
        <w:t xml:space="preserve">: </w:t>
      </w:r>
      <w:r>
        <w:rPr>
          <w:rFonts w:hint="eastAsia"/>
        </w:rPr>
        <w:t>教育館</w:t>
      </w:r>
      <w:r>
        <w:t>419</w:t>
      </w:r>
    </w:p>
    <w:p w:rsidR="00094127" w:rsidRDefault="00094127" w:rsidP="00094127">
      <w:r>
        <w:rPr>
          <w:rFonts w:hint="eastAsia"/>
        </w:rPr>
        <w:t>授課地點</w:t>
      </w:r>
      <w:r>
        <w:t xml:space="preserve">: </w:t>
      </w:r>
      <w:r>
        <w:rPr>
          <w:rFonts w:hint="eastAsia"/>
        </w:rPr>
        <w:t>教</w:t>
      </w:r>
      <w:r>
        <w:t xml:space="preserve">404                  </w:t>
      </w:r>
      <w:r>
        <w:rPr>
          <w:rFonts w:hint="eastAsia"/>
        </w:rPr>
        <w:t>分機</w:t>
      </w:r>
      <w:r>
        <w:t>: 36209</w:t>
      </w:r>
    </w:p>
    <w:p w:rsidR="00094127" w:rsidRDefault="00094127" w:rsidP="00094127">
      <w:r>
        <w:t xml:space="preserve">E-mail: </w:t>
      </w:r>
      <w:hyperlink r:id="rId7" w:history="1">
        <w:r>
          <w:rPr>
            <w:rStyle w:val="a7"/>
          </w:rPr>
          <w:t>educhc@ccu.edu.tw</w:t>
        </w:r>
      </w:hyperlink>
      <w:r>
        <w:t xml:space="preserve">          </w:t>
      </w:r>
      <w:r>
        <w:rPr>
          <w:rFonts w:hint="eastAsia"/>
        </w:rPr>
        <w:t>傳真</w:t>
      </w:r>
      <w:r>
        <w:t>: 2720871</w:t>
      </w:r>
    </w:p>
    <w:p w:rsidR="00094127" w:rsidRDefault="00094127" w:rsidP="00094127">
      <w:r>
        <w:rPr>
          <w:rFonts w:hint="eastAsia"/>
        </w:rPr>
        <w:t>外文名稱</w:t>
      </w:r>
      <w:r>
        <w:t xml:space="preserve">: </w:t>
      </w:r>
      <w:proofErr w:type="spellStart"/>
      <w:r>
        <w:t>Studien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Anthropologie der </w:t>
      </w:r>
      <w:proofErr w:type="spellStart"/>
      <w:r>
        <w:t>Pädagogik</w:t>
      </w:r>
      <w:proofErr w:type="spellEnd"/>
    </w:p>
    <w:p w:rsidR="00094127" w:rsidRDefault="00094127" w:rsidP="00094127"/>
    <w:p w:rsidR="00094127" w:rsidRDefault="00094127" w:rsidP="00094127">
      <w:r>
        <w:rPr>
          <w:rFonts w:hint="eastAsia"/>
        </w:rPr>
        <w:t>教學目標</w:t>
      </w:r>
      <w:r>
        <w:t xml:space="preserve">: </w:t>
      </w:r>
    </w:p>
    <w:p w:rsidR="00094127" w:rsidRDefault="00094127" w:rsidP="00094127">
      <w:pPr>
        <w:ind w:left="240" w:hangingChars="100" w:hanging="240"/>
      </w:pPr>
      <w:r>
        <w:t>1.</w:t>
      </w:r>
      <w:r>
        <w:rPr>
          <w:rFonts w:hint="eastAsia"/>
        </w:rPr>
        <w:t>由哲學、社會學以及教育學的角度，探討人的本質為何。由這項探討的主題，使學習者一方面瞭解當代學術環境中對於人的理解，一方面由此由這些討論延伸出與教育有關的主題，進而產生再深入研究的動機及興趣。</w:t>
      </w:r>
    </w:p>
    <w:p w:rsidR="00094127" w:rsidRDefault="00094127" w:rsidP="00094127">
      <w:pPr>
        <w:ind w:left="240" w:hangingChars="100" w:hanging="240"/>
      </w:pPr>
      <w:r>
        <w:t>2.</w:t>
      </w:r>
      <w:r>
        <w:rPr>
          <w:rFonts w:hint="eastAsia"/>
        </w:rPr>
        <w:t>由於教育人類學是教育學當中的一門基礎學科，故透過本課程的修習，可以培養學生學術研究之基礎能力，以便符合本所「學生基本核心能力」之目標。</w:t>
      </w:r>
    </w:p>
    <w:p w:rsidR="00094127" w:rsidRDefault="00094127" w:rsidP="00094127">
      <w:pPr>
        <w:tabs>
          <w:tab w:val="left" w:pos="9065"/>
        </w:tabs>
        <w:autoSpaceDE w:val="0"/>
        <w:autoSpaceDN w:val="0"/>
        <w:ind w:left="540" w:right="-334" w:hangingChars="225" w:hanging="540"/>
        <w:jc w:val="both"/>
        <w:textAlignment w:val="bottom"/>
      </w:pPr>
      <w:r>
        <w:rPr>
          <w:rFonts w:hint="eastAsia"/>
        </w:rPr>
        <w:t>本課程目標與本所研究生核心能力指標相關性程度如下：</w:t>
      </w:r>
    </w:p>
    <w:p w:rsidR="00094127" w:rsidRDefault="00094127" w:rsidP="00094127">
      <w:pPr>
        <w:tabs>
          <w:tab w:val="left" w:pos="9065"/>
        </w:tabs>
        <w:autoSpaceDE w:val="0"/>
        <w:autoSpaceDN w:val="0"/>
        <w:ind w:leftChars="194" w:left="466" w:firstLineChars="1500" w:firstLine="3600"/>
        <w:jc w:val="both"/>
        <w:textAlignment w:val="bottom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至</w:t>
      </w:r>
      <w:r>
        <w:t>5</w:t>
      </w:r>
      <w:r>
        <w:rPr>
          <w:rFonts w:hint="eastAsia"/>
        </w:rPr>
        <w:t>分為符合程度，</w:t>
      </w:r>
      <w:r>
        <w:t>5</w:t>
      </w:r>
      <w:r>
        <w:rPr>
          <w:rFonts w:hint="eastAsia"/>
        </w:rPr>
        <w:t>分代表完全符合）</w:t>
      </w:r>
    </w:p>
    <w:tbl>
      <w:tblPr>
        <w:tblStyle w:val="a8"/>
        <w:tblW w:w="8748" w:type="dxa"/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936"/>
        <w:gridCol w:w="936"/>
      </w:tblGrid>
      <w:tr w:rsidR="00094127" w:rsidTr="0085225B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rFonts w:eastAsia="標楷體"/>
              </w:rPr>
            </w:pPr>
            <w:r>
              <w:rPr>
                <w:rFonts w:hint="eastAsia"/>
              </w:rPr>
              <w:t>核心能力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rFonts w:eastAsia="標楷體"/>
              </w:rPr>
            </w:pPr>
            <w:r>
              <w:rPr>
                <w:rFonts w:hint="eastAsia"/>
              </w:rPr>
              <w:t>相關程度</w:t>
            </w:r>
          </w:p>
        </w:tc>
      </w:tr>
      <w:tr w:rsidR="00094127" w:rsidTr="00852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7" w:rsidRDefault="00094127" w:rsidP="0085225B">
            <w:pPr>
              <w:widowControl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rFonts w:eastAsia="標楷體"/>
              </w:rPr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rFonts w:eastAsia="標楷體"/>
              </w:rPr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rFonts w:eastAsia="標楷體"/>
              </w:rPr>
            </w:pPr>
            <w: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rFonts w:eastAsia="標楷體"/>
              </w:rPr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rFonts w:eastAsia="標楷體"/>
              </w:rPr>
            </w:pPr>
            <w:r>
              <w:t>5</w:t>
            </w:r>
          </w:p>
        </w:tc>
      </w:tr>
      <w:tr w:rsidR="00094127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 w:hAnsi="標楷體"/>
              </w:rPr>
            </w:pPr>
            <w:r>
              <w:rPr>
                <w:rFonts w:hAnsi="標楷體" w:hint="eastAsia"/>
              </w:rPr>
              <w:t>具備教育基礎研究專業知能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V</w:t>
            </w:r>
          </w:p>
        </w:tc>
      </w:tr>
      <w:tr w:rsidR="00094127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hAnsi="標楷體" w:hint="eastAsia"/>
              </w:rPr>
              <w:t>運用教育研究方法能力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</w:tr>
      <w:tr w:rsidR="00094127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hAnsi="標楷體" w:hint="eastAsia"/>
              </w:rPr>
              <w:t>熟悉教育行政與學校行政專業知能及溝通整合能力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</w:tr>
      <w:tr w:rsidR="00094127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hAnsi="標楷體" w:hint="eastAsia"/>
              </w:rPr>
              <w:t>具備教育問題解決與批判思考能力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V</w:t>
            </w:r>
          </w:p>
        </w:tc>
      </w:tr>
      <w:tr w:rsidR="00094127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hint="eastAsia"/>
              </w:rPr>
              <w:t>展現國際前瞻視野與在地教育關懷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27" w:rsidRDefault="00094127" w:rsidP="0085225B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eastAsia="標楷體"/>
              </w:rPr>
            </w:pPr>
          </w:p>
        </w:tc>
      </w:tr>
    </w:tbl>
    <w:p w:rsidR="00094127" w:rsidRDefault="00094127" w:rsidP="00094127"/>
    <w:p w:rsidR="00094127" w:rsidRDefault="00094127" w:rsidP="00094127">
      <w:r>
        <w:rPr>
          <w:rFonts w:hint="eastAsia"/>
        </w:rPr>
        <w:t>教學方式：</w:t>
      </w:r>
    </w:p>
    <w:p w:rsidR="00094127" w:rsidRDefault="00094127" w:rsidP="00094127">
      <w:r>
        <w:t>1.</w:t>
      </w:r>
      <w:r>
        <w:rPr>
          <w:rFonts w:hint="eastAsia"/>
        </w:rPr>
        <w:t>講述：上課時由教師針對主題加以講解。</w:t>
      </w:r>
    </w:p>
    <w:p w:rsidR="00094127" w:rsidRDefault="00094127" w:rsidP="00094127">
      <w:pPr>
        <w:ind w:left="240" w:hangingChars="100" w:hanging="240"/>
      </w:pPr>
      <w:r>
        <w:t>2.</w:t>
      </w:r>
      <w:r>
        <w:rPr>
          <w:rFonts w:hint="eastAsia"/>
        </w:rPr>
        <w:t>學生報告：學生於上課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將所指定閱讀的文獻，在上課時提出書面報告，並同時作口頭報告。學生並應在學期結束時，繳交較詳細的書面報告。</w:t>
      </w:r>
    </w:p>
    <w:p w:rsidR="00094127" w:rsidRDefault="00094127" w:rsidP="00094127"/>
    <w:p w:rsidR="00094127" w:rsidRDefault="00094127" w:rsidP="00094127">
      <w:r>
        <w:rPr>
          <w:rFonts w:hint="eastAsia"/>
        </w:rPr>
        <w:t>評量方式：</w:t>
      </w:r>
    </w:p>
    <w:p w:rsidR="00094127" w:rsidRDefault="00094127" w:rsidP="00094127">
      <w:r>
        <w:rPr>
          <w:rFonts w:hint="eastAsia"/>
        </w:rPr>
        <w:t>口頭及書面報告分</w:t>
      </w:r>
      <w:proofErr w:type="gramStart"/>
      <w:r>
        <w:rPr>
          <w:rFonts w:hint="eastAsia"/>
        </w:rPr>
        <w:t>佔</w:t>
      </w:r>
      <w:proofErr w:type="gramEnd"/>
      <w:r>
        <w:t>40</w:t>
      </w:r>
      <w:r>
        <w:rPr>
          <w:rFonts w:hint="eastAsia"/>
        </w:rPr>
        <w:t>％與</w:t>
      </w:r>
      <w:r>
        <w:t>60</w:t>
      </w:r>
      <w:r>
        <w:rPr>
          <w:rFonts w:hint="eastAsia"/>
        </w:rPr>
        <w:t>％。</w:t>
      </w:r>
    </w:p>
    <w:p w:rsidR="00094127" w:rsidRDefault="00094127" w:rsidP="00094127"/>
    <w:p w:rsidR="00094127" w:rsidRDefault="00094127" w:rsidP="0009412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報告與閱讀書目</w:t>
      </w:r>
    </w:p>
    <w:p w:rsidR="00094127" w:rsidRDefault="00094127" w:rsidP="00094127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通論</w:t>
      </w: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)吳天泰（2002）。二十一世紀台灣教育人類學的發展。收在吳天泰等。教</w:t>
      </w:r>
      <w:r>
        <w:rPr>
          <w:rFonts w:ascii="標楷體" w:eastAsia="標楷體" w:hAnsi="標楷體" w:hint="eastAsia"/>
        </w:rPr>
        <w:lastRenderedPageBreak/>
        <w:t>育人類學。（頁3-17）。台北：五南。</w:t>
      </w:r>
    </w:p>
    <w:p w:rsidR="00094127" w:rsidRDefault="00094127" w:rsidP="00094127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(二)劉玉玲（2003）。教育人類學。台北：揚智（頁1-20）。</w:t>
      </w:r>
    </w:p>
    <w:p w:rsidR="00094127" w:rsidRDefault="00094127" w:rsidP="00094127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(三)張雯（2002）。英美系統</w:t>
      </w:r>
      <w:proofErr w:type="gramStart"/>
      <w:r>
        <w:rPr>
          <w:rFonts w:ascii="標楷體" w:eastAsia="標楷體" w:hAnsi="標楷體" w:hint="eastAsia"/>
        </w:rPr>
        <w:t>與德俄系統</w:t>
      </w:r>
      <w:proofErr w:type="gramEnd"/>
      <w:r>
        <w:rPr>
          <w:rFonts w:ascii="標楷體" w:eastAsia="標楷體" w:hAnsi="標楷體" w:hint="eastAsia"/>
        </w:rPr>
        <w:t>的教育人類學之比較初探。收在吳天泰等。教育人類學(頁43-66)。台北：五南。</w:t>
      </w:r>
    </w:p>
    <w:p w:rsidR="00094127" w:rsidRDefault="00094127" w:rsidP="00094127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(四)馮增俊（1993）。教育人類學。（頁1-29）。江蘇教育出版社。</w:t>
      </w:r>
    </w:p>
    <w:p w:rsidR="00094127" w:rsidRDefault="00094127" w:rsidP="00094127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（五）蔡佩如（2011）。穿梭天人之際的女人。女童</w:t>
      </w:r>
      <w:proofErr w:type="gramStart"/>
      <w:r>
        <w:rPr>
          <w:rFonts w:ascii="標楷體" w:eastAsia="標楷體" w:hAnsi="標楷體" w:hint="eastAsia"/>
        </w:rPr>
        <w:t>乩</w:t>
      </w:r>
      <w:proofErr w:type="gramEnd"/>
      <w:r>
        <w:rPr>
          <w:rFonts w:ascii="標楷體" w:eastAsia="標楷體" w:hAnsi="標楷體" w:hint="eastAsia"/>
        </w:rPr>
        <w:t>的性別特質與身體意涵。唐山出版社。</w:t>
      </w:r>
    </w:p>
    <w:p w:rsidR="00094127" w:rsidRDefault="00094127" w:rsidP="00094127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（六）林美容、李家愷（2017）。</w:t>
      </w:r>
      <w:proofErr w:type="gramStart"/>
      <w:r>
        <w:rPr>
          <w:rFonts w:ascii="標楷體" w:eastAsia="標楷體" w:hAnsi="標楷體" w:hint="eastAsia"/>
        </w:rPr>
        <w:t>魔神仔的</w:t>
      </w:r>
      <w:proofErr w:type="gramEnd"/>
      <w:r>
        <w:rPr>
          <w:rFonts w:ascii="標楷體" w:eastAsia="標楷體" w:hAnsi="標楷體" w:hint="eastAsia"/>
        </w:rPr>
        <w:t>人類學想像。五南出版社</w:t>
      </w:r>
    </w:p>
    <w:p w:rsidR="00094127" w:rsidRDefault="00094127" w:rsidP="00094127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（七）楊定一（2017）。我是誰。天下出版社</w:t>
      </w: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二、哲學人類學</w:t>
      </w:r>
    </w:p>
    <w:p w:rsidR="00094127" w:rsidRDefault="00094127" w:rsidP="00094127">
      <w:pPr>
        <w:rPr>
          <w:rFonts w:ascii="標楷體" w:eastAsia="標楷體" w:hAnsi="標楷體"/>
          <w:lang w:val="de-DE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lang w:val="de-DE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  <w:lang w:val="de-DE"/>
        </w:rPr>
        <w:t>) Scheler, M.(2007). Die Stellung des Menschen im Kosmos.17, Auflage. Bonn.</w:t>
      </w:r>
    </w:p>
    <w:p w:rsidR="00094127" w:rsidRDefault="00094127" w:rsidP="00094127">
      <w:pPr>
        <w:rPr>
          <w:rFonts w:ascii="標楷體" w:eastAsia="標楷體" w:hAnsi="標楷體"/>
          <w:lang w:val="de-DE"/>
        </w:rPr>
      </w:pPr>
      <w:r>
        <w:rPr>
          <w:rFonts w:ascii="標楷體" w:eastAsia="標楷體" w:hAnsi="標楷體" w:hint="eastAsia"/>
          <w:lang w:val="de-DE"/>
        </w:rPr>
        <w:t xml:space="preserve">   Scheler, M. (</w:t>
      </w:r>
      <w:proofErr w:type="gramStart"/>
      <w:r>
        <w:rPr>
          <w:rFonts w:ascii="標楷體" w:eastAsia="標楷體" w:hAnsi="標楷體" w:hint="eastAsia"/>
        </w:rPr>
        <w:t>米尚志譯</w:t>
      </w:r>
      <w:proofErr w:type="gramEnd"/>
      <w:r>
        <w:rPr>
          <w:rFonts w:ascii="標楷體" w:eastAsia="標楷體" w:hAnsi="標楷體" w:hint="eastAsia"/>
          <w:lang w:val="de-DE"/>
        </w:rPr>
        <w:t>, 1988).</w:t>
      </w:r>
      <w:r>
        <w:rPr>
          <w:rFonts w:ascii="標楷體" w:eastAsia="標楷體" w:hAnsi="標楷體" w:hint="eastAsia"/>
        </w:rPr>
        <w:t>人在字</w:t>
      </w:r>
      <w:proofErr w:type="gramStart"/>
      <w:r>
        <w:rPr>
          <w:rFonts w:ascii="標楷體" w:eastAsia="標楷體" w:hAnsi="標楷體" w:hint="eastAsia"/>
        </w:rPr>
        <w:t>宙</w:t>
      </w:r>
      <w:proofErr w:type="gramEnd"/>
      <w:r>
        <w:rPr>
          <w:rFonts w:ascii="標楷體" w:eastAsia="標楷體" w:hAnsi="標楷體" w:hint="eastAsia"/>
        </w:rPr>
        <w:t>中的地位。上海。</w:t>
      </w:r>
    </w:p>
    <w:p w:rsidR="00094127" w:rsidRDefault="00094127" w:rsidP="00094127">
      <w:pPr>
        <w:ind w:left="600"/>
        <w:rPr>
          <w:rFonts w:ascii="標楷體" w:eastAsia="標楷體" w:hAnsi="標楷體"/>
          <w:lang w:val="de-DE"/>
        </w:rPr>
      </w:pPr>
      <w:r>
        <w:rPr>
          <w:rFonts w:ascii="標楷體" w:eastAsia="標楷體" w:hAnsi="標楷體" w:hint="eastAsia"/>
          <w:lang w:val="de-DE"/>
        </w:rPr>
        <w:t>1. Scheler</w:t>
      </w:r>
      <w:r>
        <w:rPr>
          <w:rFonts w:ascii="標楷體" w:eastAsia="標楷體" w:hAnsi="標楷體" w:hint="eastAsia"/>
        </w:rPr>
        <w:t>生平思想介紹及《人在宇宙中的地位》第一章</w:t>
      </w:r>
    </w:p>
    <w:p w:rsidR="00094127" w:rsidRDefault="00094127" w:rsidP="00094127">
      <w:pPr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 第二章～第四章</w:t>
      </w:r>
    </w:p>
    <w:p w:rsidR="00094127" w:rsidRDefault="00094127" w:rsidP="00094127">
      <w:pPr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 第五章及第六章（包含全書大概的架構）</w:t>
      </w: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三、社會人類學</w:t>
      </w: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proofErr w:type="spellStart"/>
      <w:r>
        <w:rPr>
          <w:rFonts w:ascii="標楷體" w:eastAsia="標楷體" w:hAnsi="標楷體" w:hint="eastAsia"/>
        </w:rPr>
        <w:t>Gehlen</w:t>
      </w:r>
      <w:proofErr w:type="spellEnd"/>
      <w:r>
        <w:rPr>
          <w:rFonts w:ascii="標楷體" w:eastAsia="標楷體" w:hAnsi="標楷體" w:hint="eastAsia"/>
        </w:rPr>
        <w:t xml:space="preserve">, A. (1953). Die </w:t>
      </w:r>
      <w:proofErr w:type="spellStart"/>
      <w:r>
        <w:rPr>
          <w:rFonts w:ascii="標楷體" w:eastAsia="標楷體" w:hAnsi="標楷體" w:hint="eastAsia"/>
        </w:rPr>
        <w:t>Seele</w:t>
      </w:r>
      <w:proofErr w:type="spellEnd"/>
      <w:r>
        <w:rPr>
          <w:rFonts w:ascii="標楷體" w:eastAsia="標楷體" w:hAnsi="標楷體" w:hint="eastAsia"/>
        </w:rPr>
        <w:t xml:space="preserve"> </w:t>
      </w:r>
      <w:proofErr w:type="spellStart"/>
      <w:r>
        <w:rPr>
          <w:rFonts w:ascii="標楷體" w:eastAsia="標楷體" w:hAnsi="標楷體" w:hint="eastAsia"/>
        </w:rPr>
        <w:t>im</w:t>
      </w:r>
      <w:proofErr w:type="spellEnd"/>
      <w:r>
        <w:rPr>
          <w:rFonts w:ascii="標楷體" w:eastAsia="標楷體" w:hAnsi="標楷體" w:hint="eastAsia"/>
        </w:rPr>
        <w:t xml:space="preserve"> </w:t>
      </w:r>
      <w:proofErr w:type="spellStart"/>
      <w:r>
        <w:rPr>
          <w:rFonts w:ascii="標楷體" w:eastAsia="標楷體" w:hAnsi="標楷體" w:hint="eastAsia"/>
        </w:rPr>
        <w:t>technischen</w:t>
      </w:r>
      <w:proofErr w:type="spellEnd"/>
      <w:r>
        <w:rPr>
          <w:rFonts w:ascii="標楷體" w:eastAsia="標楷體" w:hAnsi="標楷體" w:hint="eastAsia"/>
        </w:rPr>
        <w:t xml:space="preserve"> </w:t>
      </w:r>
      <w:proofErr w:type="spellStart"/>
      <w:r>
        <w:rPr>
          <w:rFonts w:ascii="標楷體" w:eastAsia="標楷體" w:hAnsi="標楷體" w:hint="eastAsia"/>
        </w:rPr>
        <w:t>Zeitalter</w:t>
      </w:r>
      <w:proofErr w:type="spellEnd"/>
      <w:r>
        <w:rPr>
          <w:rFonts w:ascii="標楷體" w:eastAsia="標楷體" w:hAnsi="標楷體" w:hint="eastAsia"/>
        </w:rPr>
        <w:t>.</w:t>
      </w:r>
    </w:p>
    <w:p w:rsidR="00094127" w:rsidRDefault="00094127" w:rsidP="00094127">
      <w:pPr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Sozialpsychologische</w:t>
      </w:r>
      <w:proofErr w:type="spellEnd"/>
      <w:r>
        <w:rPr>
          <w:rFonts w:ascii="標楷體" w:eastAsia="標楷體" w:hAnsi="標楷體" w:hint="eastAsia"/>
        </w:rPr>
        <w:t xml:space="preserve"> </w:t>
      </w:r>
      <w:proofErr w:type="spellStart"/>
      <w:r>
        <w:rPr>
          <w:rFonts w:ascii="標楷體" w:eastAsia="標楷體" w:hAnsi="標楷體" w:hint="eastAsia"/>
        </w:rPr>
        <w:t>Probleme</w:t>
      </w:r>
      <w:proofErr w:type="spellEnd"/>
      <w:r>
        <w:rPr>
          <w:rFonts w:ascii="標楷體" w:eastAsia="標楷體" w:hAnsi="標楷體" w:hint="eastAsia"/>
        </w:rPr>
        <w:t xml:space="preserve"> in der </w:t>
      </w:r>
      <w:proofErr w:type="spellStart"/>
      <w:r>
        <w:rPr>
          <w:rFonts w:ascii="標楷體" w:eastAsia="標楷體" w:hAnsi="標楷體" w:hint="eastAsia"/>
        </w:rPr>
        <w:t>industriellen</w:t>
      </w:r>
      <w:proofErr w:type="spellEnd"/>
      <w:r>
        <w:rPr>
          <w:rFonts w:ascii="標楷體" w:eastAsia="標楷體" w:hAnsi="標楷體" w:hint="eastAsia"/>
        </w:rPr>
        <w:t xml:space="preserve"> </w:t>
      </w:r>
      <w:proofErr w:type="spellStart"/>
      <w:r>
        <w:rPr>
          <w:rFonts w:ascii="標楷體" w:eastAsia="標楷體" w:hAnsi="標楷體" w:hint="eastAsia"/>
        </w:rPr>
        <w:t>Gesellschaft</w:t>
      </w:r>
      <w:proofErr w:type="spellEnd"/>
      <w:r>
        <w:rPr>
          <w:rFonts w:ascii="標楷體" w:eastAsia="標楷體" w:hAnsi="標楷體" w:hint="eastAsia"/>
        </w:rPr>
        <w:t>.</w:t>
      </w: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英譯本：</w:t>
      </w: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proofErr w:type="spellStart"/>
      <w:proofErr w:type="gramStart"/>
      <w:r>
        <w:rPr>
          <w:rFonts w:ascii="標楷體" w:eastAsia="標楷體" w:hAnsi="標楷體" w:hint="eastAsia"/>
        </w:rPr>
        <w:t>Gehlen</w:t>
      </w:r>
      <w:proofErr w:type="spellEnd"/>
      <w:r>
        <w:rPr>
          <w:rFonts w:ascii="標楷體" w:eastAsia="標楷體" w:hAnsi="標楷體" w:hint="eastAsia"/>
        </w:rPr>
        <w:t xml:space="preserve"> ,</w:t>
      </w:r>
      <w:proofErr w:type="gramEnd"/>
      <w:r>
        <w:rPr>
          <w:rFonts w:ascii="標楷體" w:eastAsia="標楷體" w:hAnsi="標楷體" w:hint="eastAsia"/>
        </w:rPr>
        <w:t xml:space="preserve"> A. (1980). Man in the age of technology. N. Y</w:t>
      </w:r>
      <w:proofErr w:type="gramStart"/>
      <w:r>
        <w:rPr>
          <w:rFonts w:ascii="標楷體" w:eastAsia="標楷體" w:hAnsi="標楷體" w:hint="eastAsia"/>
        </w:rPr>
        <w:t>. :</w:t>
      </w:r>
      <w:proofErr w:type="gramEnd"/>
      <w:r>
        <w:rPr>
          <w:rFonts w:ascii="標楷體" w:eastAsia="標楷體" w:hAnsi="標楷體" w:hint="eastAsia"/>
        </w:rPr>
        <w:t xml:space="preserve"> Columbia University Press.</w:t>
      </w:r>
    </w:p>
    <w:p w:rsidR="00094127" w:rsidRDefault="00094127" w:rsidP="00094127">
      <w:pPr>
        <w:rPr>
          <w:rFonts w:ascii="標楷體" w:eastAsia="標楷體" w:hAnsi="標楷體"/>
          <w:lang w:val="de-DE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  <w:lang w:val="de-DE"/>
        </w:rPr>
        <w:t>1. Gehlen</w:t>
      </w:r>
      <w:r>
        <w:rPr>
          <w:rFonts w:ascii="標楷體" w:eastAsia="標楷體" w:hAnsi="標楷體" w:hint="eastAsia"/>
        </w:rPr>
        <w:t>生平思想介紹及</w:t>
      </w:r>
      <w:r>
        <w:rPr>
          <w:rFonts w:ascii="標楷體" w:eastAsia="標楷體" w:hAnsi="標楷體" w:hint="eastAsia"/>
          <w:lang w:val="de-DE"/>
        </w:rPr>
        <w:t>Ch.1</w:t>
      </w:r>
    </w:p>
    <w:p w:rsidR="00094127" w:rsidRDefault="00094127" w:rsidP="00094127">
      <w:pPr>
        <w:rPr>
          <w:rFonts w:ascii="標楷體" w:eastAsia="標楷體" w:hAnsi="標楷體"/>
          <w:lang w:val="de-DE"/>
        </w:rPr>
      </w:pPr>
      <w:r>
        <w:rPr>
          <w:rFonts w:ascii="標楷體" w:eastAsia="標楷體" w:hAnsi="標楷體" w:hint="eastAsia"/>
          <w:lang w:val="de-DE"/>
        </w:rPr>
        <w:t xml:space="preserve">   2. Ch.2~3 </w:t>
      </w:r>
    </w:p>
    <w:p w:rsidR="00094127" w:rsidRDefault="00094127" w:rsidP="00094127">
      <w:pPr>
        <w:rPr>
          <w:rFonts w:ascii="標楷體" w:eastAsia="標楷體" w:hAnsi="標楷體"/>
          <w:lang w:val="de-DE"/>
        </w:rPr>
      </w:pPr>
      <w:r>
        <w:rPr>
          <w:rFonts w:ascii="標楷體" w:eastAsia="標楷體" w:hAnsi="標楷體" w:hint="eastAsia"/>
          <w:lang w:val="de-DE"/>
        </w:rPr>
        <w:t xml:space="preserve">   3. Ch.4~5</w:t>
      </w:r>
    </w:p>
    <w:p w:rsidR="00094127" w:rsidRDefault="00094127" w:rsidP="00094127">
      <w:pPr>
        <w:rPr>
          <w:rFonts w:ascii="標楷體" w:eastAsia="標楷體" w:hAnsi="標楷體"/>
          <w:lang w:val="de-DE"/>
        </w:rPr>
      </w:pPr>
      <w:r>
        <w:rPr>
          <w:rFonts w:ascii="標楷體" w:eastAsia="標楷體" w:hAnsi="標楷體" w:hint="eastAsia"/>
          <w:lang w:val="de-DE"/>
        </w:rPr>
        <w:t xml:space="preserve">   4. Ch.6~7</w:t>
      </w: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de-DE"/>
        </w:rPr>
        <w:t xml:space="preserve">   </w:t>
      </w:r>
      <w:r>
        <w:rPr>
          <w:rFonts w:ascii="標楷體" w:eastAsia="標楷體" w:hAnsi="標楷體" w:hint="eastAsia"/>
        </w:rPr>
        <w:t>5. Ch.8~9</w:t>
      </w:r>
    </w:p>
    <w:p w:rsidR="00094127" w:rsidRDefault="00094127" w:rsidP="00094127">
      <w:pPr>
        <w:rPr>
          <w:rFonts w:ascii="標楷體" w:eastAsia="標楷體" w:hAnsi="標楷體"/>
        </w:rPr>
      </w:pP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</w:p>
    <w:p w:rsidR="00094127" w:rsidRDefault="00094127" w:rsidP="00094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四修課同學的研究報告</w:t>
      </w:r>
      <w:bookmarkStart w:id="0" w:name="_GoBack"/>
      <w:bookmarkEnd w:id="0"/>
    </w:p>
    <w:sectPr w:rsidR="00094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0D" w:rsidRDefault="0006640D" w:rsidP="00094127">
      <w:r>
        <w:separator/>
      </w:r>
    </w:p>
  </w:endnote>
  <w:endnote w:type="continuationSeparator" w:id="0">
    <w:p w:rsidR="0006640D" w:rsidRDefault="0006640D" w:rsidP="0009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0664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995224"/>
      <w:docPartObj>
        <w:docPartGallery w:val="Page Numbers (Bottom of Page)"/>
        <w:docPartUnique/>
      </w:docPartObj>
    </w:sdtPr>
    <w:sdtEndPr/>
    <w:sdtContent>
      <w:p w:rsidR="007B50B1" w:rsidRDefault="00F20B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294" w:rsidRPr="00CF6294">
          <w:rPr>
            <w:noProof/>
            <w:lang w:val="zh-TW"/>
          </w:rPr>
          <w:t>2</w:t>
        </w:r>
        <w:r>
          <w:fldChar w:fldCharType="end"/>
        </w:r>
      </w:p>
    </w:sdtContent>
  </w:sdt>
  <w:p w:rsidR="007B50B1" w:rsidRDefault="000664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0664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0D" w:rsidRDefault="0006640D" w:rsidP="00094127">
      <w:r>
        <w:separator/>
      </w:r>
    </w:p>
  </w:footnote>
  <w:footnote w:type="continuationSeparator" w:id="0">
    <w:p w:rsidR="0006640D" w:rsidRDefault="0006640D" w:rsidP="0009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0664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0664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0664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46899"/>
    <w:multiLevelType w:val="hybridMultilevel"/>
    <w:tmpl w:val="7B0631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E9"/>
    <w:rsid w:val="0006640D"/>
    <w:rsid w:val="00094127"/>
    <w:rsid w:val="004D6336"/>
    <w:rsid w:val="004F43EB"/>
    <w:rsid w:val="006D4631"/>
    <w:rsid w:val="007526EC"/>
    <w:rsid w:val="007F5274"/>
    <w:rsid w:val="00A231CB"/>
    <w:rsid w:val="00AE4DFB"/>
    <w:rsid w:val="00B55C98"/>
    <w:rsid w:val="00C822E9"/>
    <w:rsid w:val="00CF6294"/>
    <w:rsid w:val="00F2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2175"/>
  <w15:chartTrackingRefBased/>
  <w15:docId w15:val="{1EDBBDEC-7F1A-46F4-A5A4-E378A750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1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1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127"/>
    <w:rPr>
      <w:sz w:val="20"/>
      <w:szCs w:val="20"/>
    </w:rPr>
  </w:style>
  <w:style w:type="character" w:styleId="a7">
    <w:name w:val="Hyperlink"/>
    <w:basedOn w:val="a0"/>
    <w:semiHidden/>
    <w:unhideWhenUsed/>
    <w:rsid w:val="00094127"/>
    <w:rPr>
      <w:color w:val="0000FF"/>
      <w:u w:val="single"/>
    </w:rPr>
  </w:style>
  <w:style w:type="table" w:styleId="a8">
    <w:name w:val="Table Grid"/>
    <w:basedOn w:val="a1"/>
    <w:rsid w:val="00094127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uchc@ccu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2018-12-21T02:58:00Z</dcterms:created>
  <dcterms:modified xsi:type="dcterms:W3CDTF">2020-12-22T10:06:00Z</dcterms:modified>
</cp:coreProperties>
</file>