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AF" w:rsidRPr="00A622A1" w:rsidRDefault="008C60AF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國立中正大學資訊管理學系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108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學年度第</w:t>
      </w:r>
      <w:r w:rsidR="00EA7FA7">
        <w:rPr>
          <w:rFonts w:ascii="Times New Roman" w:eastAsiaTheme="majorEastAsia" w:hAnsi="Times New Roman"/>
          <w:b/>
          <w:sz w:val="36"/>
          <w:szCs w:val="36"/>
        </w:rPr>
        <w:t>2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學期</w:t>
      </w:r>
    </w:p>
    <w:p w:rsidR="00A90F33" w:rsidRPr="00A622A1" w:rsidRDefault="006B5071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>
        <w:rPr>
          <w:rFonts w:ascii="Times New Roman" w:eastAsiaTheme="majorEastAsia" w:hAnsi="Times New Roman" w:hint="eastAsia"/>
          <w:b/>
          <w:sz w:val="36"/>
          <w:szCs w:val="36"/>
        </w:rPr>
        <w:t>碩</w:t>
      </w:r>
      <w:r w:rsidR="00C91873" w:rsidRPr="00A622A1">
        <w:rPr>
          <w:rFonts w:ascii="Times New Roman" w:eastAsiaTheme="majorEastAsia" w:hAnsi="Times New Roman"/>
          <w:b/>
          <w:sz w:val="36"/>
          <w:szCs w:val="36"/>
        </w:rPr>
        <w:t>士班</w:t>
      </w:r>
      <w:r w:rsidR="00BF59D5" w:rsidRPr="00A622A1">
        <w:rPr>
          <w:rFonts w:ascii="Times New Roman" w:eastAsiaTheme="majorEastAsia" w:hAnsi="Times New Roman"/>
          <w:b/>
          <w:sz w:val="36"/>
          <w:szCs w:val="36"/>
        </w:rPr>
        <w:t>課程大綱</w:t>
      </w:r>
    </w:p>
    <w:p w:rsidR="00BF59D5" w:rsidRPr="00A622A1" w:rsidRDefault="00A6636C" w:rsidP="00BF59D5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 w:rsidRPr="00A622A1">
        <w:rPr>
          <w:rFonts w:ascii="Times New Roman" w:eastAsiaTheme="majorEastAsia" w:hAnsi="Times New Roman"/>
          <w:b/>
          <w:sz w:val="20"/>
          <w:szCs w:val="20"/>
        </w:rPr>
        <w:t>2019.05.29</w:t>
      </w:r>
      <w:r w:rsidR="00BF59D5" w:rsidRPr="00A622A1">
        <w:rPr>
          <w:rFonts w:ascii="Times New Roman" w:eastAsiaTheme="majorEastAsia" w:hAnsi="Times New Roman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56"/>
        <w:gridCol w:w="745"/>
        <w:gridCol w:w="1559"/>
      </w:tblGrid>
      <w:tr w:rsidR="004B0BFA" w:rsidRPr="00A622A1" w:rsidTr="008C60AF">
        <w:trPr>
          <w:trHeight w:val="567"/>
        </w:trPr>
        <w:tc>
          <w:tcPr>
            <w:tcW w:w="2093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  <w:vAlign w:val="center"/>
          </w:tcPr>
          <w:p w:rsidR="004B0BFA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資管系</w:t>
            </w:r>
          </w:p>
        </w:tc>
        <w:tc>
          <w:tcPr>
            <w:tcW w:w="956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必選修</w:t>
            </w:r>
          </w:p>
        </w:tc>
        <w:tc>
          <w:tcPr>
            <w:tcW w:w="2304" w:type="dxa"/>
            <w:gridSpan w:val="2"/>
            <w:vAlign w:val="center"/>
          </w:tcPr>
          <w:p w:rsidR="004B0BFA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選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DB6E93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:rsidR="00DB6E93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EA7FA7">
              <w:rPr>
                <w:rFonts w:ascii="Times New Roman" w:eastAsiaTheme="majorEastAsia" w:hAnsi="Times New Roman" w:hint="eastAsia"/>
                <w:szCs w:val="24"/>
              </w:rPr>
              <w:t>機器學習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學分數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</w:tcBorders>
            <w:vAlign w:val="center"/>
          </w:tcPr>
          <w:p w:rsidR="00DB6E93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</w:p>
        </w:tc>
      </w:tr>
      <w:tr w:rsidR="00BF59D5" w:rsidRPr="00A622A1" w:rsidTr="008C60AF">
        <w:trPr>
          <w:trHeight w:val="567"/>
        </w:trPr>
        <w:tc>
          <w:tcPr>
            <w:tcW w:w="2093" w:type="dxa"/>
            <w:vAlign w:val="center"/>
          </w:tcPr>
          <w:p w:rsidR="00BF59D5" w:rsidRPr="00A622A1" w:rsidRDefault="00BF59D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學年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學期</w:t>
            </w:r>
          </w:p>
        </w:tc>
        <w:tc>
          <w:tcPr>
            <w:tcW w:w="7654" w:type="dxa"/>
            <w:gridSpan w:val="6"/>
            <w:vAlign w:val="center"/>
          </w:tcPr>
          <w:p w:rsidR="00BF59D5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108/2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許巍嚴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地點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EA7FA7" w:rsidP="008C60AF">
            <w:pPr>
              <w:ind w:left="2876" w:hanging="2876"/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/ </w:t>
            </w:r>
            <w:r>
              <w:rPr>
                <w:rFonts w:ascii="Times New Roman" w:hAnsi="Times New Roman" w:hint="eastAsia"/>
                <w:szCs w:val="24"/>
              </w:rPr>
              <w:t>Thursday 9:10</w:t>
            </w:r>
            <w:r w:rsidRPr="00D34C0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D34C04">
              <w:rPr>
                <w:rFonts w:ascii="Times New Roman" w:hAnsi="Times New Roman"/>
                <w:szCs w:val="24"/>
              </w:rPr>
              <w:t>:00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6"/>
            <w:vAlign w:val="center"/>
          </w:tcPr>
          <w:p w:rsidR="00EA7FA7" w:rsidRPr="005F09B8" w:rsidRDefault="00EA7FA7" w:rsidP="00EA7FA7">
            <w:pPr>
              <w:widowControl/>
              <w:ind w:left="437" w:hanging="437"/>
              <w:jc w:val="both"/>
              <w:rPr>
                <w:rFonts w:ascii="新細明體" w:hAnsi="新細明體" w:cs="新細明體"/>
                <w:kern w:val="0"/>
              </w:rPr>
            </w:pPr>
            <w:r w:rsidRPr="005F09B8">
              <w:rPr>
                <w:rFonts w:ascii="新細明體" w:hAnsi="新細明體" w:cs="新細明體"/>
                <w:kern w:val="0"/>
              </w:rPr>
              <w:t>(1)</w:t>
            </w:r>
            <w:r w:rsidRPr="005F09B8">
              <w:rPr>
                <w:kern w:val="0"/>
                <w:sz w:val="14"/>
                <w:szCs w:val="14"/>
              </w:rPr>
              <w:t xml:space="preserve">      </w:t>
            </w:r>
            <w:r w:rsidRPr="005F09B8">
              <w:rPr>
                <w:rFonts w:ascii="新細明體" w:hAnsi="新細明體" w:cs="新細明體"/>
                <w:kern w:val="0"/>
              </w:rPr>
              <w:t>Understanding the characteristics, capabilities, principles, and applications of information technology and systems (IT/IS).</w:t>
            </w:r>
          </w:p>
          <w:p w:rsidR="008C60AF" w:rsidRPr="00A622A1" w:rsidRDefault="00EA7FA7" w:rsidP="00EA7FA7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5F09B8">
              <w:rPr>
                <w:rFonts w:ascii="新細明體" w:hAnsi="新細明體" w:cs="新細明體"/>
                <w:kern w:val="0"/>
              </w:rPr>
              <w:t xml:space="preserve">(2)   Use our understanding of IT/IS knowledge to rethink our conceptions of </w:t>
            </w:r>
            <w:r>
              <w:rPr>
                <w:rFonts w:ascii="新細明體" w:hAnsi="新細明體" w:cs="新細明體" w:hint="eastAsia"/>
                <w:kern w:val="0"/>
              </w:rPr>
              <w:t>machine learning</w:t>
            </w:r>
            <w:r w:rsidRPr="005F09B8">
              <w:rPr>
                <w:rFonts w:ascii="新細明體" w:hAnsi="新細明體" w:cs="新細明體"/>
                <w:kern w:val="0"/>
              </w:rPr>
              <w:t>, and to develop an effective and solid systems</w:t>
            </w:r>
            <w:r>
              <w:rPr>
                <w:rFonts w:ascii="新細明體" w:hAnsi="新細明體" w:cs="新細明體" w:hint="eastAsia"/>
                <w:kern w:val="0"/>
              </w:rPr>
              <w:t>.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6"/>
            <w:vAlign w:val="center"/>
          </w:tcPr>
          <w:p w:rsidR="00885C61" w:rsidRPr="00A622A1" w:rsidRDefault="00885C61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222112">
        <w:trPr>
          <w:trHeight w:val="567"/>
        </w:trPr>
        <w:tc>
          <w:tcPr>
            <w:tcW w:w="2093" w:type="dxa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參考資料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6"/>
          </w:tcPr>
          <w:p w:rsidR="00EA7FA7" w:rsidRPr="000E1F3C" w:rsidRDefault="00EA7FA7" w:rsidP="00EA7FA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E. Alpaydin, </w:t>
            </w:r>
            <w:r>
              <w:rPr>
                <w:rFonts w:hint="eastAsia"/>
              </w:rPr>
              <w:t>Introduction to Machine Learning</w:t>
            </w:r>
            <w:r>
              <w:t xml:space="preserve">, </w:t>
            </w:r>
            <w:r>
              <w:rPr>
                <w:rFonts w:hint="eastAsia"/>
              </w:rPr>
              <w:t xml:space="preserve">3rd </w:t>
            </w:r>
            <w:r>
              <w:t xml:space="preserve">Edition, </w:t>
            </w:r>
            <w:r>
              <w:rPr>
                <w:rFonts w:hint="eastAsia"/>
              </w:rPr>
              <w:t>MIT Press</w:t>
            </w:r>
            <w:r>
              <w:t xml:space="preserve">, </w:t>
            </w:r>
            <w:r>
              <w:rPr>
                <w:rFonts w:hint="eastAsia"/>
              </w:rPr>
              <w:t>2015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 w:val="restart"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評量方式</w:t>
            </w:r>
            <w:r w:rsidRPr="00A622A1">
              <w:rPr>
                <w:rFonts w:ascii="Times New Roman" w:eastAsiaTheme="majorEastAsia" w:hAnsi="Times New Roman"/>
                <w:szCs w:val="24"/>
              </w:rPr>
              <w:t>(</w:t>
            </w:r>
            <w:r w:rsidRPr="00A622A1">
              <w:rPr>
                <w:rFonts w:ascii="Times New Roman" w:eastAsiaTheme="majorEastAsia" w:hAnsi="Times New Roman"/>
                <w:szCs w:val="24"/>
              </w:rPr>
              <w:t>請填百分比</w:t>
            </w:r>
            <w:r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EA7FA7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80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小考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ind w:firstLineChars="100" w:firstLine="24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EA7FA7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20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期中考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1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 xml:space="preserve"> (   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     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316006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A0089B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其他說明</w:t>
            </w:r>
          </w:p>
        </w:tc>
        <w:tc>
          <w:tcPr>
            <w:tcW w:w="7654" w:type="dxa"/>
            <w:gridSpan w:val="6"/>
            <w:vAlign w:val="center"/>
          </w:tcPr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924"/>
        <w:gridCol w:w="5395"/>
        <w:gridCol w:w="1425"/>
        <w:gridCol w:w="1433"/>
      </w:tblGrid>
      <w:tr w:rsidR="00490886" w:rsidRPr="00A622A1" w:rsidTr="00490886">
        <w:tc>
          <w:tcPr>
            <w:tcW w:w="394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週次</w:t>
            </w:r>
          </w:p>
        </w:tc>
        <w:tc>
          <w:tcPr>
            <w:tcW w:w="464" w:type="pct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5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19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EA7FA7" w:rsidRPr="00A622A1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ind w:left="120" w:hangingChars="50" w:hanging="120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pStyle w:val="Web"/>
              <w:spacing w:line="372" w:lineRule="atLeast"/>
              <w:rPr>
                <w:rFonts w:ascii="標楷體" w:eastAsia="標楷體" w:hAnsi="標楷體" w:cs="Arial"/>
                <w:color w:val="222222"/>
              </w:rPr>
            </w:pPr>
            <w:r>
              <w:rPr>
                <w:rFonts w:ascii="標楷體" w:eastAsia="標楷體" w:hAnsi="標楷體" w:cs="Arial" w:hint="eastAsia"/>
                <w:color w:val="222222"/>
              </w:rPr>
              <w:t>Introduction</w:t>
            </w:r>
          </w:p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</w:rPr>
              <w:t>Supervised Learning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Bayesian Decision Theory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Parametric Methods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Multivariate Methods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Multivariate Methods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Dimensionality Reduction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Dimensionality Reduction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873A71" w:rsidRDefault="00EA7FA7" w:rsidP="00EA7FA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Clustering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5726A2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EA7FA7" w:rsidRPr="00FD5FAF" w:rsidRDefault="00EA7FA7" w:rsidP="00EA7F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Clustering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5726A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EA7FA7" w:rsidRPr="00EB5A18" w:rsidRDefault="00EA7FA7" w:rsidP="00EA7FA7">
            <w:pPr>
              <w:rPr>
                <w:rFonts w:ascii="Times New Roman" w:hAnsi="Times New Roman"/>
              </w:rPr>
            </w:pPr>
            <w:r>
              <w:rPr>
                <w:rFonts w:ascii="標楷體" w:eastAsia="標楷體" w:hAnsi="標楷體" w:hint="eastAsia"/>
              </w:rPr>
              <w:t>Nonparametric Methods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Nonparametric Methods</w:t>
            </w:r>
          </w:p>
        </w:tc>
        <w:tc>
          <w:tcPr>
            <w:tcW w:w="715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Decision Trees</w:t>
            </w:r>
          </w:p>
        </w:tc>
        <w:tc>
          <w:tcPr>
            <w:tcW w:w="715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Decision Trees</w:t>
            </w:r>
          </w:p>
        </w:tc>
        <w:tc>
          <w:tcPr>
            <w:tcW w:w="715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Linear Discrimination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Linear Discrimination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AF5C4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EA7FA7" w:rsidRPr="00EB5A18" w:rsidRDefault="00EA7FA7" w:rsidP="00EA7FA7">
            <w:pPr>
              <w:rPr>
                <w:rFonts w:ascii="Times New Roman" w:hAnsi="Times New Roman"/>
              </w:rPr>
            </w:pPr>
            <w:r w:rsidRPr="00EB5A18">
              <w:rPr>
                <w:rFonts w:ascii="Times New Roman" w:hAnsi="Times New Roman" w:hint="eastAsia"/>
              </w:rPr>
              <w:t>Multilayer Perceptrons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EA7FA7" w:rsidRPr="00A622A1" w:rsidTr="00F905B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EA7FA7" w:rsidRPr="00A622A1" w:rsidRDefault="00EA7FA7" w:rsidP="00EA7FA7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EA7FA7" w:rsidRPr="00EB5A18" w:rsidRDefault="00EA7FA7" w:rsidP="00EA7FA7">
            <w:pPr>
              <w:rPr>
                <w:rFonts w:ascii="Times New Roman" w:hAnsi="Times New Roman"/>
              </w:rPr>
            </w:pPr>
            <w:r w:rsidRPr="00EB5A18">
              <w:rPr>
                <w:rFonts w:ascii="Times New Roman" w:hAnsi="Times New Roman" w:hint="eastAsia"/>
              </w:rPr>
              <w:t>Multilayer Perceptrons</w:t>
            </w:r>
          </w:p>
        </w:tc>
        <w:tc>
          <w:tcPr>
            <w:tcW w:w="715" w:type="pct"/>
            <w:vAlign w:val="center"/>
          </w:tcPr>
          <w:p w:rsidR="00EA7FA7" w:rsidRPr="00A622A1" w:rsidRDefault="00EA7FA7" w:rsidP="00EA7FA7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EA7FA7" w:rsidRPr="00A622A1" w:rsidRDefault="00EA7FA7" w:rsidP="00EA7FA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:rsidTr="00A622A1">
        <w:tc>
          <w:tcPr>
            <w:tcW w:w="846" w:type="dxa"/>
          </w:tcPr>
          <w:p w:rsidR="00BB7AE2" w:rsidRPr="00BB7AE2" w:rsidRDefault="002B6D42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2B6D42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623747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此項，請填寫比例______</w:t>
            </w:r>
            <w:r w:rsidR="004D2DA4">
              <w:rPr>
                <w:rFonts w:asciiTheme="majorEastAsia" w:eastAsiaTheme="majorEastAsia" w:hAnsiTheme="majorEastAsia"/>
                <w:color w:val="FF0000"/>
                <w:szCs w:val="24"/>
              </w:rPr>
              <w:t>30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2B6D42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395133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此項，請填寫比例___________%)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2B6D42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8306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此項，請填寫教學方法________________________)</w:t>
            </w:r>
          </w:p>
        </w:tc>
      </w:tr>
    </w:tbl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E42DB9">
        <w:rPr>
          <w:rFonts w:asciiTheme="majorEastAsia" w:eastAsiaTheme="majorEastAsia" w:hAnsiTheme="majorEastAsia" w:hint="eastAsia"/>
          <w:color w:val="FF0000"/>
          <w:szCs w:val="24"/>
        </w:rPr>
        <w:t>點選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DE" w:rsidRDefault="006B5071" w:rsidP="00A93AEB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碩</w:t>
            </w:r>
            <w:r w:rsidR="006877DE">
              <w:rPr>
                <w:rFonts w:asciiTheme="majorEastAsia" w:eastAsiaTheme="majorEastAsia" w:hAnsiTheme="majorEastAsia" w:hint="eastAsia"/>
                <w:b/>
                <w:szCs w:val="24"/>
              </w:rPr>
              <w:t>士班</w:t>
            </w:r>
          </w:p>
        </w:tc>
      </w:tr>
      <w:tr w:rsidR="006877DE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2B6D42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7304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主要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38037935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="006B5071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="006B5071"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>知識整合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6B5071" w:rsidRPr="006B5071">
              <w:rPr>
                <w:rFonts w:hint="eastAsia"/>
                <w:spacing w:val="20"/>
              </w:rPr>
              <w:t>培養每位學生具備商業界的專業領域知識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="00E32433">
              <w:rPr>
                <w:rFonts w:hint="eastAsia"/>
              </w:rPr>
              <w:t>了解跨學科與學科的基本管理技術</w:t>
            </w:r>
          </w:p>
          <w:p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="00E32433">
              <w:rPr>
                <w:rFonts w:hint="eastAsia"/>
              </w:rPr>
              <w:t>整合跨學科的商業知識和管理技術，並應用於實際商業實踐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2B6D42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7919280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721252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="00E32433" w:rsidRPr="00E32433">
              <w:rPr>
                <w:rFonts w:asciiTheme="majorEastAsia" w:eastAsiaTheme="majorEastAsia" w:hAnsiTheme="majorEastAsia"/>
                <w:color w:val="000000"/>
                <w:kern w:val="28"/>
                <w:szCs w:val="24"/>
              </w:rPr>
              <w:t>創造力與創新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培養每位學生展現專業領域的管理科技能力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針對企業議題能具批判性與創新思考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開發並評估創新解決辦法以解決企業問題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2B6D42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5982916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76993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</w:t>
            </w:r>
            <w:r w:rsidR="00E32433">
              <w:rPr>
                <w:rFonts w:ascii="Times New Roman" w:eastAsiaTheme="majorEastAsia" w:hAnsi="Times New Roman" w:hint="eastAsia"/>
                <w:color w:val="000000"/>
                <w:szCs w:val="24"/>
              </w:rPr>
              <w:t>研究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243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培養每位學生能在商業環境中展現商業決策及分析能力</w:t>
            </w:r>
          </w:p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辨認、總結與適度重新構思問題或工作上的任務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評估結論、涵義與結果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2B6D42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83985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907289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2B6D42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875146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696622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2433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培養每位學生能在商業環境中重視並強調企業倫理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:rsidR="006877DE" w:rsidRDefault="006877DE"/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t>核心能力</w:t>
      </w:r>
    </w:p>
    <w:p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="002903C3">
        <w:rPr>
          <w:rFonts w:asciiTheme="majorEastAsia" w:eastAsiaTheme="majorEastAsia" w:hAnsiTheme="majorEastAsia" w:hint="eastAsia"/>
          <w:szCs w:val="24"/>
        </w:rPr>
        <w:t>請</w:t>
      </w:r>
      <w:r w:rsidR="00E42DB9">
        <w:rPr>
          <w:rFonts w:asciiTheme="majorEastAsia" w:eastAsiaTheme="majorEastAsia" w:hAnsiTheme="majorEastAsia" w:hint="eastAsia"/>
          <w:szCs w:val="24"/>
        </w:rPr>
        <w:t>點選</w:t>
      </w:r>
      <w:r w:rsidR="002903C3">
        <w:rPr>
          <w:rFonts w:asciiTheme="majorEastAsia" w:eastAsiaTheme="majorEastAsia" w:hAnsiTheme="majorEastAsia" w:hint="eastAsia"/>
          <w:szCs w:val="24"/>
        </w:rPr>
        <w:t>本課程對應</w:t>
      </w:r>
      <w:r w:rsidR="006B5071">
        <w:rPr>
          <w:rFonts w:asciiTheme="majorEastAsia" w:eastAsiaTheme="majorEastAsia" w:hAnsiTheme="majorEastAsia" w:hint="eastAsia"/>
          <w:szCs w:val="24"/>
        </w:rPr>
        <w:t>本系碩</w:t>
      </w:r>
      <w:r>
        <w:rPr>
          <w:rFonts w:asciiTheme="majorEastAsia" w:eastAsiaTheme="majorEastAsia" w:hAnsiTheme="majorEastAsia" w:hint="eastAsia"/>
          <w:szCs w:val="24"/>
        </w:rPr>
        <w:t>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BF07C5" w:rsidTr="00C91873">
        <w:tc>
          <w:tcPr>
            <w:tcW w:w="978" w:type="dxa"/>
          </w:tcPr>
          <w:p w:rsidR="00BF07C5" w:rsidRDefault="002B6D42" w:rsidP="00E32433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95386507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培養基礎研究之能力：</w:t>
            </w:r>
          </w:p>
        </w:tc>
      </w:tr>
      <w:tr w:rsidR="00BF07C5" w:rsidTr="00C91873">
        <w:tc>
          <w:tcPr>
            <w:tcW w:w="978" w:type="dxa"/>
          </w:tcPr>
          <w:p w:rsidR="00BF07C5" w:rsidRDefault="002B6D42" w:rsidP="00E32433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42274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運用資訊科技管理企業組織運作之能力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2B6D42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161574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充實專業領域知識，分析與解決相關問題之能力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2B6D42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764761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ascii="細明體" w:eastAsia="細明體" w:hAnsi="細明體" w:hint="eastAsia"/>
                <w:color w:val="000000"/>
              </w:rPr>
              <w:t>領導、管理及規劃之能力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2B6D42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544680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ascii="細明體" w:eastAsia="細明體" w:hAnsi="細明體" w:hint="eastAsia"/>
                <w:color w:val="000000"/>
              </w:rPr>
              <w:t>和外籍人士溝通和討論之英語能力</w:t>
            </w:r>
          </w:p>
        </w:tc>
      </w:tr>
    </w:tbl>
    <w:p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</w:t>
      </w:r>
      <w:bookmarkStart w:id="0" w:name="_GoBack"/>
      <w:bookmarkEnd w:id="0"/>
      <w:r w:rsidRPr="00A622A1">
        <w:rPr>
          <w:rFonts w:asciiTheme="majorEastAsia" w:eastAsiaTheme="majorEastAsia" w:hAnsiTheme="majorEastAsia" w:hint="eastAsia"/>
          <w:b/>
          <w:szCs w:val="24"/>
        </w:rPr>
        <w:t>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42" w:rsidRDefault="002B6D42" w:rsidP="00711B26">
      <w:r>
        <w:separator/>
      </w:r>
    </w:p>
  </w:endnote>
  <w:endnote w:type="continuationSeparator" w:id="0">
    <w:p w:rsidR="002B6D42" w:rsidRDefault="002B6D42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2DA4" w:rsidRPr="004D2DA4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42" w:rsidRDefault="002B6D42" w:rsidP="00711B26">
      <w:r>
        <w:separator/>
      </w:r>
    </w:p>
  </w:footnote>
  <w:footnote w:type="continuationSeparator" w:id="0">
    <w:p w:rsidR="002B6D42" w:rsidRDefault="002B6D42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7400C9F"/>
    <w:multiLevelType w:val="hybridMultilevel"/>
    <w:tmpl w:val="3DC2912E"/>
    <w:lvl w:ilvl="0" w:tplc="3D847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0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735873"/>
    <w:multiLevelType w:val="hybridMultilevel"/>
    <w:tmpl w:val="ECDC68B0"/>
    <w:lvl w:ilvl="0" w:tplc="7B782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9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  <w:num w:numId="20">
    <w:abstractNumId w:val="18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46372"/>
    <w:rsid w:val="00057A8E"/>
    <w:rsid w:val="00062478"/>
    <w:rsid w:val="00065E07"/>
    <w:rsid w:val="000740B8"/>
    <w:rsid w:val="00081C72"/>
    <w:rsid w:val="000879E5"/>
    <w:rsid w:val="0009346A"/>
    <w:rsid w:val="000B0BD4"/>
    <w:rsid w:val="000B5EC0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43AAB"/>
    <w:rsid w:val="00146BFA"/>
    <w:rsid w:val="00150B16"/>
    <w:rsid w:val="001518CF"/>
    <w:rsid w:val="00152A55"/>
    <w:rsid w:val="00153958"/>
    <w:rsid w:val="00163544"/>
    <w:rsid w:val="00192F79"/>
    <w:rsid w:val="00193997"/>
    <w:rsid w:val="001B33F0"/>
    <w:rsid w:val="001B39F7"/>
    <w:rsid w:val="001C58F2"/>
    <w:rsid w:val="001C6078"/>
    <w:rsid w:val="001D2AEC"/>
    <w:rsid w:val="001E75FD"/>
    <w:rsid w:val="001F6A8F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903C3"/>
    <w:rsid w:val="002A0B87"/>
    <w:rsid w:val="002A3737"/>
    <w:rsid w:val="002B0C30"/>
    <w:rsid w:val="002B6D42"/>
    <w:rsid w:val="002B75A2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37DFC"/>
    <w:rsid w:val="00341FDB"/>
    <w:rsid w:val="003435A2"/>
    <w:rsid w:val="00347CA9"/>
    <w:rsid w:val="0035104E"/>
    <w:rsid w:val="00363132"/>
    <w:rsid w:val="00365C5B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B0BFA"/>
    <w:rsid w:val="004C1D7B"/>
    <w:rsid w:val="004C747C"/>
    <w:rsid w:val="004D2DA4"/>
    <w:rsid w:val="004D7105"/>
    <w:rsid w:val="004E1615"/>
    <w:rsid w:val="00506F1A"/>
    <w:rsid w:val="00507A6B"/>
    <w:rsid w:val="00511412"/>
    <w:rsid w:val="005147D4"/>
    <w:rsid w:val="0053139D"/>
    <w:rsid w:val="00555BB6"/>
    <w:rsid w:val="00556834"/>
    <w:rsid w:val="00563BE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606B42"/>
    <w:rsid w:val="00626AD9"/>
    <w:rsid w:val="00630488"/>
    <w:rsid w:val="0065307A"/>
    <w:rsid w:val="006559CF"/>
    <w:rsid w:val="00660B72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5071"/>
    <w:rsid w:val="006B7C20"/>
    <w:rsid w:val="006C3646"/>
    <w:rsid w:val="006C4899"/>
    <w:rsid w:val="006C57CB"/>
    <w:rsid w:val="006D3351"/>
    <w:rsid w:val="006E1703"/>
    <w:rsid w:val="006E41A7"/>
    <w:rsid w:val="00711B26"/>
    <w:rsid w:val="007250D3"/>
    <w:rsid w:val="00744C97"/>
    <w:rsid w:val="0075749B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20729"/>
    <w:rsid w:val="00821708"/>
    <w:rsid w:val="00830043"/>
    <w:rsid w:val="008309AF"/>
    <w:rsid w:val="00830C5F"/>
    <w:rsid w:val="00835F07"/>
    <w:rsid w:val="00836041"/>
    <w:rsid w:val="0083770B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3E10"/>
    <w:rsid w:val="008C60AF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2794"/>
    <w:rsid w:val="009E4144"/>
    <w:rsid w:val="009E4E5C"/>
    <w:rsid w:val="009F08BC"/>
    <w:rsid w:val="009F1C4C"/>
    <w:rsid w:val="009F1DFD"/>
    <w:rsid w:val="009F3558"/>
    <w:rsid w:val="00A0089B"/>
    <w:rsid w:val="00A01621"/>
    <w:rsid w:val="00A04855"/>
    <w:rsid w:val="00A12277"/>
    <w:rsid w:val="00A1444F"/>
    <w:rsid w:val="00A27D10"/>
    <w:rsid w:val="00A344B4"/>
    <w:rsid w:val="00A3691A"/>
    <w:rsid w:val="00A454DB"/>
    <w:rsid w:val="00A622A1"/>
    <w:rsid w:val="00A62AB8"/>
    <w:rsid w:val="00A6636C"/>
    <w:rsid w:val="00A7570F"/>
    <w:rsid w:val="00A7682D"/>
    <w:rsid w:val="00A76C53"/>
    <w:rsid w:val="00A83B10"/>
    <w:rsid w:val="00A90F33"/>
    <w:rsid w:val="00A93AEB"/>
    <w:rsid w:val="00AA0FF9"/>
    <w:rsid w:val="00AA2931"/>
    <w:rsid w:val="00AB08AB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B7AE2"/>
    <w:rsid w:val="00BC2E46"/>
    <w:rsid w:val="00BD26F0"/>
    <w:rsid w:val="00BD568E"/>
    <w:rsid w:val="00BD5834"/>
    <w:rsid w:val="00BE05B5"/>
    <w:rsid w:val="00BE6D67"/>
    <w:rsid w:val="00BF07C5"/>
    <w:rsid w:val="00BF1C7C"/>
    <w:rsid w:val="00BF59D5"/>
    <w:rsid w:val="00C07218"/>
    <w:rsid w:val="00C1428F"/>
    <w:rsid w:val="00C23EBF"/>
    <w:rsid w:val="00C30E9B"/>
    <w:rsid w:val="00C3127A"/>
    <w:rsid w:val="00C40AF5"/>
    <w:rsid w:val="00C61A53"/>
    <w:rsid w:val="00C72E2F"/>
    <w:rsid w:val="00C77C81"/>
    <w:rsid w:val="00C877E6"/>
    <w:rsid w:val="00C91873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79E2"/>
    <w:rsid w:val="00D73C1B"/>
    <w:rsid w:val="00D746D3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32433"/>
    <w:rsid w:val="00E40586"/>
    <w:rsid w:val="00E42DB9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6545"/>
    <w:rsid w:val="00EA7FA7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685C8"/>
  <w15:docId w15:val="{135CBF15-1B5E-4783-B304-5C09A718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B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5EC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rsid w:val="00EA7FA7"/>
    <w:pPr>
      <w:widowControl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DB0E-47E3-4E7E-A09F-7101136E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299</Words>
  <Characters>1708</Characters>
  <Application>Microsoft Office Word</Application>
  <DocSecurity>0</DocSecurity>
  <Lines>14</Lines>
  <Paragraphs>4</Paragraphs>
  <ScaleCrop>false</ScaleCrop>
  <Company>CCU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WYHsu</cp:lastModifiedBy>
  <cp:revision>8</cp:revision>
  <cp:lastPrinted>2012-09-20T07:07:00Z</cp:lastPrinted>
  <dcterms:created xsi:type="dcterms:W3CDTF">2019-05-30T02:25:00Z</dcterms:created>
  <dcterms:modified xsi:type="dcterms:W3CDTF">2019-12-20T08:22:00Z</dcterms:modified>
</cp:coreProperties>
</file>