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009" w:rsidRDefault="00A94009">
      <w:pPr>
        <w:pStyle w:val="a7"/>
      </w:pPr>
      <w:r>
        <w:t xml:space="preserve"> PORTFOLIO ANALYSIS </w:t>
      </w:r>
    </w:p>
    <w:p w:rsidR="00A94009" w:rsidRDefault="00BA44D0">
      <w:pPr>
        <w:pStyle w:val="a8"/>
        <w:rPr>
          <w:lang w:eastAsia="zh-TW"/>
        </w:rPr>
      </w:pPr>
      <w:r>
        <w:rPr>
          <w:rFonts w:hint="eastAsia"/>
          <w:lang w:eastAsia="zh-TW"/>
        </w:rPr>
        <w:t>Spring</w:t>
      </w:r>
      <w:r>
        <w:t xml:space="preserve"> Semester 20</w:t>
      </w:r>
      <w:r w:rsidR="00377924">
        <w:rPr>
          <w:rFonts w:hint="eastAsia"/>
          <w:lang w:eastAsia="zh-TW"/>
        </w:rPr>
        <w:t>21</w:t>
      </w:r>
    </w:p>
    <w:p w:rsidR="00A94009" w:rsidRDefault="00A94009">
      <w:pPr>
        <w:jc w:val="center"/>
        <w:rPr>
          <w:sz w:val="22"/>
        </w:rPr>
      </w:pPr>
    </w:p>
    <w:p w:rsidR="00A94009" w:rsidRDefault="00A94009">
      <w:pPr>
        <w:tabs>
          <w:tab w:val="left" w:pos="1800"/>
          <w:tab w:val="left" w:pos="2160"/>
        </w:tabs>
        <w:jc w:val="both"/>
        <w:rPr>
          <w:b/>
          <w:sz w:val="24"/>
        </w:rPr>
      </w:pPr>
    </w:p>
    <w:p w:rsidR="00A94009" w:rsidRDefault="00A94009">
      <w:pPr>
        <w:tabs>
          <w:tab w:val="left" w:pos="1800"/>
          <w:tab w:val="left" w:pos="2160"/>
        </w:tabs>
        <w:jc w:val="both"/>
        <w:rPr>
          <w:b/>
          <w:sz w:val="24"/>
        </w:rPr>
      </w:pPr>
      <w:r>
        <w:rPr>
          <w:b/>
          <w:sz w:val="24"/>
        </w:rPr>
        <w:t>Instructor:</w:t>
      </w:r>
      <w:r>
        <w:rPr>
          <w:b/>
          <w:sz w:val="24"/>
        </w:rPr>
        <w:tab/>
        <w:t>Pei-Jung Tsai, Ph.D.</w:t>
      </w:r>
    </w:p>
    <w:p w:rsidR="00A94009" w:rsidRDefault="00A94009">
      <w:pPr>
        <w:tabs>
          <w:tab w:val="left" w:pos="1800"/>
          <w:tab w:val="left" w:pos="2160"/>
        </w:tabs>
        <w:jc w:val="both"/>
        <w:rPr>
          <w:b/>
          <w:sz w:val="24"/>
        </w:rPr>
      </w:pPr>
      <w:proofErr w:type="gramStart"/>
      <w:r>
        <w:rPr>
          <w:b/>
          <w:sz w:val="24"/>
        </w:rPr>
        <w:t>Office :</w:t>
      </w:r>
      <w:proofErr w:type="gramEnd"/>
      <w:r>
        <w:rPr>
          <w:b/>
          <w:sz w:val="24"/>
        </w:rPr>
        <w:tab/>
        <w:t>Management Building Rm. 355</w:t>
      </w:r>
    </w:p>
    <w:p w:rsidR="00A94009" w:rsidRDefault="00A94009">
      <w:pPr>
        <w:tabs>
          <w:tab w:val="left" w:pos="1800"/>
          <w:tab w:val="left" w:pos="2160"/>
        </w:tabs>
        <w:jc w:val="both"/>
        <w:rPr>
          <w:b/>
          <w:sz w:val="24"/>
        </w:rPr>
      </w:pPr>
      <w:r>
        <w:rPr>
          <w:b/>
          <w:sz w:val="24"/>
        </w:rPr>
        <w:t>Phone Number:</w:t>
      </w:r>
      <w:r>
        <w:rPr>
          <w:b/>
          <w:sz w:val="24"/>
        </w:rPr>
        <w:tab/>
        <w:t>272-0411 Ext. 34205</w:t>
      </w:r>
    </w:p>
    <w:p w:rsidR="00A94009" w:rsidRDefault="00A94009">
      <w:pPr>
        <w:tabs>
          <w:tab w:val="left" w:pos="1800"/>
          <w:tab w:val="left" w:pos="2160"/>
        </w:tabs>
        <w:jc w:val="both"/>
        <w:rPr>
          <w:b/>
          <w:sz w:val="24"/>
        </w:rPr>
      </w:pPr>
      <w:r>
        <w:rPr>
          <w:b/>
          <w:sz w:val="24"/>
        </w:rPr>
        <w:t>E-mail:  finpjt@ccu.edu.tw (best way to reach me)</w:t>
      </w:r>
    </w:p>
    <w:p w:rsidR="00A94009" w:rsidRDefault="00A94009">
      <w:pPr>
        <w:tabs>
          <w:tab w:val="left" w:pos="1800"/>
          <w:tab w:val="left" w:pos="2160"/>
        </w:tabs>
        <w:jc w:val="both"/>
        <w:rPr>
          <w:b/>
          <w:sz w:val="24"/>
        </w:rPr>
      </w:pPr>
      <w:r>
        <w:rPr>
          <w:b/>
          <w:sz w:val="24"/>
        </w:rPr>
        <w:t>Office Hours:</w:t>
      </w:r>
      <w:r>
        <w:rPr>
          <w:b/>
          <w:sz w:val="24"/>
        </w:rPr>
        <w:tab/>
        <w:t xml:space="preserve">By appointment.  </w:t>
      </w:r>
    </w:p>
    <w:p w:rsidR="00A94009" w:rsidRDefault="00A94009">
      <w:pPr>
        <w:jc w:val="both"/>
        <w:rPr>
          <w:sz w:val="24"/>
        </w:rPr>
      </w:pPr>
    </w:p>
    <w:p w:rsidR="00A94009" w:rsidRDefault="00A94009">
      <w:pPr>
        <w:pStyle w:val="3"/>
        <w:numPr>
          <w:ilvl w:val="0"/>
          <w:numId w:val="0"/>
        </w:numPr>
        <w:rPr>
          <w:rFonts w:ascii="Times New Roman" w:hAnsi="Times New Roman"/>
          <w:b w:val="0"/>
          <w:sz w:val="24"/>
        </w:rPr>
      </w:pPr>
    </w:p>
    <w:p w:rsidR="00A94009" w:rsidRDefault="00A94009">
      <w:pPr>
        <w:pStyle w:val="3"/>
        <w:numPr>
          <w:ilvl w:val="0"/>
          <w:numId w:val="0"/>
        </w:numPr>
        <w:rPr>
          <w:rFonts w:ascii="Times New Roman" w:hAnsi="Times New Roman"/>
          <w:sz w:val="24"/>
        </w:rPr>
      </w:pPr>
      <w:r>
        <w:rPr>
          <w:rFonts w:ascii="Times New Roman" w:hAnsi="Times New Roman"/>
          <w:sz w:val="24"/>
        </w:rPr>
        <w:t>Course Description</w:t>
      </w:r>
    </w:p>
    <w:p w:rsidR="00A94009" w:rsidRDefault="00A94009"/>
    <w:p w:rsidR="00A94009" w:rsidRDefault="00A94009">
      <w:pPr>
        <w:pStyle w:val="a3"/>
        <w:rPr>
          <w:rFonts w:ascii="Times New Roman" w:hAnsi="Times New Roman"/>
          <w:sz w:val="24"/>
        </w:rPr>
      </w:pPr>
      <w:proofErr w:type="gramStart"/>
      <w:r>
        <w:rPr>
          <w:rFonts w:ascii="Times New Roman" w:hAnsi="Times New Roman"/>
          <w:sz w:val="24"/>
        </w:rPr>
        <w:t>The use of economic and accounting data in the selection of securities.</w:t>
      </w:r>
      <w:proofErr w:type="gramEnd"/>
      <w:r>
        <w:rPr>
          <w:rFonts w:ascii="Times New Roman" w:hAnsi="Times New Roman"/>
          <w:sz w:val="24"/>
        </w:rPr>
        <w:t xml:space="preserve">  </w:t>
      </w:r>
      <w:proofErr w:type="gramStart"/>
      <w:r>
        <w:rPr>
          <w:rFonts w:ascii="Times New Roman" w:hAnsi="Times New Roman"/>
          <w:sz w:val="24"/>
        </w:rPr>
        <w:t>Examination of current and traditional techniques used by investment practitioner.</w:t>
      </w:r>
      <w:proofErr w:type="gramEnd"/>
      <w:r>
        <w:rPr>
          <w:rFonts w:ascii="Times New Roman" w:hAnsi="Times New Roman"/>
          <w:sz w:val="24"/>
        </w:rPr>
        <w:t xml:space="preserve">  Specific topics include:</w:t>
      </w:r>
    </w:p>
    <w:p w:rsidR="00A94009" w:rsidRDefault="00A94009">
      <w:pPr>
        <w:pStyle w:val="a3"/>
        <w:numPr>
          <w:ilvl w:val="0"/>
          <w:numId w:val="3"/>
        </w:numPr>
        <w:rPr>
          <w:rFonts w:ascii="Times New Roman" w:hAnsi="Times New Roman"/>
          <w:sz w:val="24"/>
        </w:rPr>
      </w:pPr>
      <w:r>
        <w:rPr>
          <w:rFonts w:ascii="Times New Roman" w:hAnsi="Times New Roman"/>
          <w:sz w:val="24"/>
        </w:rPr>
        <w:t xml:space="preserve">Portfolio Theory and Security Analysis </w:t>
      </w:r>
    </w:p>
    <w:p w:rsidR="00A94009" w:rsidRDefault="00A94009">
      <w:pPr>
        <w:pStyle w:val="a3"/>
        <w:numPr>
          <w:ilvl w:val="0"/>
          <w:numId w:val="3"/>
        </w:numPr>
        <w:rPr>
          <w:rFonts w:ascii="Times New Roman" w:hAnsi="Times New Roman"/>
          <w:sz w:val="24"/>
        </w:rPr>
      </w:pPr>
      <w:r>
        <w:rPr>
          <w:rFonts w:ascii="Times New Roman" w:hAnsi="Times New Roman"/>
          <w:sz w:val="24"/>
        </w:rPr>
        <w:t>Market Efficiency</w:t>
      </w:r>
    </w:p>
    <w:p w:rsidR="00A94009" w:rsidRDefault="00A94009">
      <w:pPr>
        <w:pStyle w:val="a3"/>
        <w:numPr>
          <w:ilvl w:val="0"/>
          <w:numId w:val="3"/>
        </w:numPr>
        <w:rPr>
          <w:rFonts w:ascii="Times New Roman" w:hAnsi="Times New Roman"/>
          <w:sz w:val="24"/>
        </w:rPr>
      </w:pPr>
      <w:r>
        <w:rPr>
          <w:rFonts w:ascii="Times New Roman" w:hAnsi="Times New Roman"/>
          <w:sz w:val="24"/>
        </w:rPr>
        <w:t>Investment Tools and Economic Inputs</w:t>
      </w:r>
    </w:p>
    <w:p w:rsidR="00A94009" w:rsidRDefault="00A94009">
      <w:pPr>
        <w:pStyle w:val="a3"/>
        <w:numPr>
          <w:ilvl w:val="0"/>
          <w:numId w:val="3"/>
        </w:numPr>
        <w:rPr>
          <w:rFonts w:ascii="Times New Roman" w:hAnsi="Times New Roman"/>
          <w:sz w:val="24"/>
        </w:rPr>
      </w:pPr>
      <w:r>
        <w:rPr>
          <w:rFonts w:ascii="Times New Roman" w:hAnsi="Times New Roman"/>
          <w:sz w:val="24"/>
        </w:rPr>
        <w:t>Asset Allocation</w:t>
      </w:r>
    </w:p>
    <w:p w:rsidR="00A94009" w:rsidRDefault="00A94009">
      <w:pPr>
        <w:pStyle w:val="a3"/>
        <w:numPr>
          <w:ilvl w:val="0"/>
          <w:numId w:val="3"/>
        </w:numPr>
        <w:rPr>
          <w:rFonts w:ascii="Times New Roman" w:hAnsi="Times New Roman"/>
          <w:sz w:val="24"/>
        </w:rPr>
      </w:pPr>
      <w:r>
        <w:rPr>
          <w:rFonts w:ascii="Times New Roman" w:hAnsi="Times New Roman"/>
          <w:sz w:val="24"/>
        </w:rPr>
        <w:t>Innovations in Risk Management</w:t>
      </w:r>
    </w:p>
    <w:p w:rsidR="00A94009" w:rsidRDefault="00A94009">
      <w:pPr>
        <w:pStyle w:val="a3"/>
        <w:numPr>
          <w:ilvl w:val="0"/>
          <w:numId w:val="3"/>
        </w:numPr>
        <w:rPr>
          <w:rFonts w:ascii="Times New Roman" w:hAnsi="Times New Roman"/>
          <w:sz w:val="24"/>
        </w:rPr>
      </w:pPr>
      <w:r>
        <w:rPr>
          <w:rFonts w:ascii="Times New Roman" w:hAnsi="Times New Roman"/>
          <w:sz w:val="24"/>
        </w:rPr>
        <w:t>Performance Evaluation</w:t>
      </w:r>
    </w:p>
    <w:p w:rsidR="00A94009" w:rsidRDefault="00A94009">
      <w:pPr>
        <w:pStyle w:val="a3"/>
        <w:numPr>
          <w:ilvl w:val="0"/>
          <w:numId w:val="3"/>
        </w:numPr>
        <w:rPr>
          <w:rFonts w:ascii="Times New Roman" w:hAnsi="Times New Roman"/>
          <w:sz w:val="24"/>
        </w:rPr>
      </w:pPr>
      <w:r>
        <w:rPr>
          <w:rFonts w:ascii="Times New Roman" w:hAnsi="Times New Roman"/>
          <w:sz w:val="24"/>
        </w:rPr>
        <w:t>Style Investing</w:t>
      </w:r>
    </w:p>
    <w:p w:rsidR="00A94009" w:rsidRDefault="00A94009">
      <w:pPr>
        <w:pStyle w:val="3"/>
        <w:numPr>
          <w:ilvl w:val="0"/>
          <w:numId w:val="0"/>
        </w:numPr>
        <w:rPr>
          <w:rFonts w:ascii="Times New Roman" w:hAnsi="Times New Roman"/>
          <w:b w:val="0"/>
          <w:sz w:val="24"/>
        </w:rPr>
      </w:pPr>
    </w:p>
    <w:p w:rsidR="00A94009" w:rsidRDefault="00A94009">
      <w:pPr>
        <w:pStyle w:val="3"/>
        <w:numPr>
          <w:ilvl w:val="0"/>
          <w:numId w:val="0"/>
        </w:numPr>
        <w:rPr>
          <w:rFonts w:ascii="Times New Roman" w:hAnsi="Times New Roman"/>
          <w:sz w:val="24"/>
        </w:rPr>
      </w:pPr>
      <w:r>
        <w:rPr>
          <w:rFonts w:ascii="Times New Roman" w:hAnsi="Times New Roman"/>
          <w:sz w:val="24"/>
        </w:rPr>
        <w:t>Course Prerequisites</w:t>
      </w:r>
    </w:p>
    <w:p w:rsidR="00A94009" w:rsidRDefault="00A94009"/>
    <w:p w:rsidR="00A94009" w:rsidRDefault="00A94009">
      <w:pPr>
        <w:ind w:left="360"/>
        <w:jc w:val="both"/>
        <w:rPr>
          <w:sz w:val="24"/>
        </w:rPr>
      </w:pPr>
      <w:r>
        <w:rPr>
          <w:sz w:val="24"/>
        </w:rPr>
        <w:t>You should have basic knowledge of the fundamentals of portfolio theory.</w:t>
      </w:r>
    </w:p>
    <w:p w:rsidR="00A94009" w:rsidRDefault="00A94009">
      <w:pPr>
        <w:jc w:val="both"/>
        <w:rPr>
          <w:sz w:val="24"/>
        </w:rPr>
      </w:pPr>
    </w:p>
    <w:p w:rsidR="00A94009" w:rsidRDefault="00A94009">
      <w:pPr>
        <w:pStyle w:val="3"/>
        <w:numPr>
          <w:ilvl w:val="0"/>
          <w:numId w:val="0"/>
        </w:numPr>
        <w:rPr>
          <w:rFonts w:ascii="Times New Roman" w:hAnsi="Times New Roman"/>
          <w:sz w:val="24"/>
        </w:rPr>
      </w:pPr>
      <w:r>
        <w:rPr>
          <w:rFonts w:ascii="Times New Roman" w:hAnsi="Times New Roman"/>
          <w:sz w:val="24"/>
        </w:rPr>
        <w:t>Class Format</w:t>
      </w:r>
    </w:p>
    <w:p w:rsidR="00A94009" w:rsidRDefault="00A94009"/>
    <w:p w:rsidR="00A94009" w:rsidRDefault="00A94009">
      <w:pPr>
        <w:pStyle w:val="a3"/>
        <w:numPr>
          <w:ilvl w:val="0"/>
          <w:numId w:val="4"/>
        </w:numPr>
        <w:rPr>
          <w:rFonts w:ascii="Times New Roman" w:hAnsi="Times New Roman"/>
          <w:sz w:val="24"/>
        </w:rPr>
      </w:pPr>
      <w:r>
        <w:rPr>
          <w:rFonts w:ascii="Times New Roman" w:hAnsi="Times New Roman"/>
          <w:sz w:val="24"/>
        </w:rPr>
        <w:t>Discussion/Seminar: Specific readings will be assigned for each class period.  Class will be conducted in a seminar and it is expected that each assignment will be read prior to class and you will be ready to discuss the material.  You will be responsible for leading the class discussion several times throughout the course.</w:t>
      </w:r>
    </w:p>
    <w:p w:rsidR="00A94009" w:rsidRDefault="00A94009">
      <w:pPr>
        <w:pStyle w:val="a3"/>
        <w:numPr>
          <w:ilvl w:val="0"/>
          <w:numId w:val="4"/>
        </w:numPr>
        <w:rPr>
          <w:rFonts w:ascii="Times New Roman" w:hAnsi="Times New Roman"/>
          <w:sz w:val="24"/>
        </w:rPr>
      </w:pPr>
      <w:r>
        <w:rPr>
          <w:rFonts w:ascii="Times New Roman" w:hAnsi="Times New Roman"/>
          <w:sz w:val="24"/>
        </w:rPr>
        <w:t>Examinations: Two midterm exams and a final exam.</w:t>
      </w:r>
    </w:p>
    <w:p w:rsidR="00A94009" w:rsidRDefault="00A94009">
      <w:pPr>
        <w:pStyle w:val="a3"/>
        <w:numPr>
          <w:ilvl w:val="0"/>
          <w:numId w:val="4"/>
        </w:numPr>
        <w:rPr>
          <w:rFonts w:ascii="Times New Roman" w:hAnsi="Times New Roman"/>
          <w:sz w:val="24"/>
        </w:rPr>
      </w:pPr>
      <w:r>
        <w:rPr>
          <w:rFonts w:ascii="Times New Roman" w:hAnsi="Times New Roman"/>
          <w:sz w:val="24"/>
        </w:rPr>
        <w:t>Attendance and participation is required.  Due to the seminar format of this course, class discussion and contribution is critical.</w:t>
      </w:r>
    </w:p>
    <w:p w:rsidR="00A94009" w:rsidRDefault="00A94009">
      <w:pPr>
        <w:jc w:val="both"/>
        <w:rPr>
          <w:sz w:val="24"/>
        </w:rPr>
      </w:pPr>
    </w:p>
    <w:p w:rsidR="00A94009" w:rsidRDefault="00A94009">
      <w:pPr>
        <w:pStyle w:val="3"/>
        <w:numPr>
          <w:ilvl w:val="0"/>
          <w:numId w:val="0"/>
        </w:numPr>
        <w:rPr>
          <w:rFonts w:ascii="Times New Roman" w:hAnsi="Times New Roman"/>
          <w:sz w:val="24"/>
        </w:rPr>
      </w:pPr>
      <w:r>
        <w:rPr>
          <w:rFonts w:ascii="Times New Roman" w:hAnsi="Times New Roman"/>
          <w:sz w:val="24"/>
        </w:rPr>
        <w:t>Course Materials</w:t>
      </w:r>
    </w:p>
    <w:p w:rsidR="00A94009" w:rsidRDefault="00A94009"/>
    <w:p w:rsidR="00A94009" w:rsidRDefault="00A94009">
      <w:pPr>
        <w:numPr>
          <w:ilvl w:val="0"/>
          <w:numId w:val="2"/>
        </w:numPr>
        <w:jc w:val="both"/>
        <w:rPr>
          <w:iCs/>
          <w:color w:val="000000"/>
          <w:sz w:val="24"/>
        </w:rPr>
      </w:pPr>
      <w:r>
        <w:rPr>
          <w:b/>
          <w:i/>
          <w:sz w:val="24"/>
        </w:rPr>
        <w:t>Required Textbook:</w:t>
      </w:r>
      <w:r>
        <w:rPr>
          <w:sz w:val="24"/>
        </w:rPr>
        <w:t xml:space="preserve">  Frank K. Reilly and Keith C. Brown,</w:t>
      </w:r>
      <w:r>
        <w:rPr>
          <w:i/>
          <w:sz w:val="24"/>
        </w:rPr>
        <w:t xml:space="preserve"> </w:t>
      </w:r>
      <w:r>
        <w:rPr>
          <w:iCs/>
          <w:sz w:val="24"/>
        </w:rPr>
        <w:t>Investment Anal</w:t>
      </w:r>
      <w:r w:rsidR="00BA44D0">
        <w:rPr>
          <w:iCs/>
          <w:sz w:val="24"/>
        </w:rPr>
        <w:t xml:space="preserve">ysis and Portfolio Management, </w:t>
      </w:r>
      <w:r w:rsidR="00BA44D0">
        <w:rPr>
          <w:rFonts w:hint="eastAsia"/>
          <w:iCs/>
          <w:sz w:val="24"/>
          <w:lang w:eastAsia="zh-TW"/>
        </w:rPr>
        <w:t>8</w:t>
      </w:r>
      <w:r>
        <w:rPr>
          <w:iCs/>
          <w:sz w:val="24"/>
          <w:vertAlign w:val="superscript"/>
        </w:rPr>
        <w:t>th</w:t>
      </w:r>
      <w:r>
        <w:rPr>
          <w:iCs/>
          <w:sz w:val="24"/>
        </w:rPr>
        <w:t xml:space="preserve"> Edition. </w:t>
      </w:r>
    </w:p>
    <w:p w:rsidR="00A94009" w:rsidRDefault="00A94009">
      <w:pPr>
        <w:numPr>
          <w:ilvl w:val="0"/>
          <w:numId w:val="2"/>
        </w:numPr>
        <w:jc w:val="both"/>
        <w:rPr>
          <w:color w:val="000000"/>
          <w:sz w:val="24"/>
        </w:rPr>
      </w:pPr>
      <w:r>
        <w:rPr>
          <w:b/>
          <w:i/>
          <w:sz w:val="24"/>
        </w:rPr>
        <w:t xml:space="preserve">Required </w:t>
      </w:r>
      <w:smartTag w:uri="urn:schemas-microsoft-com:office:smarttags" w:element="place">
        <w:smartTag w:uri="urn:schemas-microsoft-com:office:smarttags" w:element="City">
          <w:r>
            <w:rPr>
              <w:b/>
              <w:i/>
              <w:sz w:val="24"/>
            </w:rPr>
            <w:t>Reading</w:t>
          </w:r>
        </w:smartTag>
      </w:smartTag>
      <w:r>
        <w:rPr>
          <w:b/>
          <w:i/>
          <w:sz w:val="24"/>
        </w:rPr>
        <w:t xml:space="preserve"> Packet:</w:t>
      </w:r>
      <w:r>
        <w:rPr>
          <w:color w:val="000000"/>
          <w:sz w:val="24"/>
        </w:rPr>
        <w:t xml:space="preserve">  A file contains most of assigned articles in the syllabus. </w:t>
      </w:r>
    </w:p>
    <w:p w:rsidR="00A94009" w:rsidRDefault="00A94009">
      <w:pPr>
        <w:jc w:val="both"/>
        <w:rPr>
          <w:sz w:val="24"/>
        </w:rPr>
      </w:pPr>
      <w:r>
        <w:rPr>
          <w:color w:val="000000"/>
          <w:sz w:val="24"/>
        </w:rPr>
        <w:br w:type="page"/>
      </w:r>
    </w:p>
    <w:p w:rsidR="00A94009" w:rsidRDefault="00A94009">
      <w:pPr>
        <w:pStyle w:val="20"/>
        <w:ind w:left="0"/>
        <w:rPr>
          <w:sz w:val="24"/>
        </w:rPr>
      </w:pPr>
    </w:p>
    <w:p w:rsidR="00A94009" w:rsidRDefault="00A94009">
      <w:pPr>
        <w:pStyle w:val="3"/>
        <w:numPr>
          <w:ilvl w:val="0"/>
          <w:numId w:val="0"/>
        </w:numPr>
        <w:rPr>
          <w:rFonts w:ascii="Times New Roman" w:hAnsi="Times New Roman"/>
          <w:sz w:val="24"/>
        </w:rPr>
      </w:pPr>
      <w:r>
        <w:rPr>
          <w:rFonts w:ascii="Times New Roman" w:hAnsi="Times New Roman"/>
          <w:sz w:val="24"/>
        </w:rPr>
        <w:t>Overall Grading</w:t>
      </w:r>
    </w:p>
    <w:p w:rsidR="00A94009" w:rsidRDefault="00A94009"/>
    <w:p w:rsidR="00A94009" w:rsidRDefault="00A94009">
      <w:pPr>
        <w:ind w:firstLine="720"/>
        <w:jc w:val="both"/>
        <w:rPr>
          <w:sz w:val="24"/>
        </w:rPr>
      </w:pPr>
      <w:r>
        <w:rPr>
          <w:sz w:val="24"/>
        </w:rPr>
        <w:t>As noted earlier, the makeup of your grades is as follows:</w:t>
      </w:r>
    </w:p>
    <w:p w:rsidR="00A94009" w:rsidRDefault="00A94009">
      <w:pPr>
        <w:jc w:val="both"/>
        <w:rPr>
          <w:sz w:val="24"/>
        </w:rPr>
      </w:pPr>
    </w:p>
    <w:p w:rsidR="00A94009" w:rsidRDefault="00A94009">
      <w:pPr>
        <w:ind w:firstLine="720"/>
        <w:jc w:val="both"/>
        <w:rPr>
          <w:sz w:val="24"/>
        </w:rPr>
      </w:pPr>
      <w:r>
        <w:rPr>
          <w:sz w:val="24"/>
        </w:rPr>
        <w:t>Midterm #1</w:t>
      </w:r>
      <w:r>
        <w:rPr>
          <w:sz w:val="24"/>
        </w:rPr>
        <w:tab/>
      </w:r>
      <w:r>
        <w:rPr>
          <w:sz w:val="24"/>
        </w:rPr>
        <w:tab/>
      </w:r>
      <w:r>
        <w:rPr>
          <w:sz w:val="24"/>
        </w:rPr>
        <w:tab/>
      </w:r>
      <w:r>
        <w:rPr>
          <w:sz w:val="24"/>
        </w:rPr>
        <w:tab/>
        <w:t>30%</w:t>
      </w:r>
    </w:p>
    <w:p w:rsidR="00A94009" w:rsidRDefault="00A94009">
      <w:pPr>
        <w:ind w:firstLine="720"/>
        <w:jc w:val="both"/>
        <w:rPr>
          <w:sz w:val="24"/>
        </w:rPr>
      </w:pPr>
      <w:r>
        <w:rPr>
          <w:sz w:val="24"/>
        </w:rPr>
        <w:t>Midterm #2</w:t>
      </w:r>
      <w:r>
        <w:rPr>
          <w:sz w:val="24"/>
        </w:rPr>
        <w:tab/>
      </w:r>
      <w:r>
        <w:rPr>
          <w:sz w:val="24"/>
        </w:rPr>
        <w:tab/>
      </w:r>
      <w:r>
        <w:rPr>
          <w:sz w:val="24"/>
        </w:rPr>
        <w:tab/>
      </w:r>
      <w:r>
        <w:rPr>
          <w:sz w:val="24"/>
        </w:rPr>
        <w:tab/>
        <w:t>30%</w:t>
      </w:r>
    </w:p>
    <w:p w:rsidR="00A94009" w:rsidRDefault="00A94009">
      <w:pPr>
        <w:ind w:firstLine="720"/>
        <w:jc w:val="both"/>
        <w:rPr>
          <w:sz w:val="24"/>
        </w:rPr>
      </w:pPr>
      <w:r>
        <w:rPr>
          <w:sz w:val="24"/>
        </w:rPr>
        <w:t>Final Exam</w:t>
      </w:r>
      <w:r>
        <w:rPr>
          <w:sz w:val="24"/>
        </w:rPr>
        <w:tab/>
      </w:r>
      <w:r>
        <w:rPr>
          <w:sz w:val="24"/>
        </w:rPr>
        <w:tab/>
      </w:r>
      <w:r>
        <w:rPr>
          <w:sz w:val="24"/>
        </w:rPr>
        <w:tab/>
      </w:r>
      <w:r>
        <w:rPr>
          <w:sz w:val="24"/>
        </w:rPr>
        <w:tab/>
        <w:t>30%</w:t>
      </w:r>
    </w:p>
    <w:p w:rsidR="00A94009" w:rsidRDefault="00A94009">
      <w:pPr>
        <w:ind w:firstLine="720"/>
        <w:jc w:val="both"/>
        <w:rPr>
          <w:sz w:val="24"/>
        </w:rPr>
      </w:pPr>
      <w:r>
        <w:rPr>
          <w:sz w:val="24"/>
        </w:rPr>
        <w:t>Preparation, Article Presentation</w:t>
      </w:r>
      <w:r>
        <w:rPr>
          <w:sz w:val="24"/>
        </w:rPr>
        <w:tab/>
        <w:t>10%</w:t>
      </w:r>
    </w:p>
    <w:p w:rsidR="00A94009" w:rsidRDefault="00A94009">
      <w:pPr>
        <w:jc w:val="both"/>
        <w:rPr>
          <w:sz w:val="24"/>
        </w:rPr>
      </w:pPr>
    </w:p>
    <w:p w:rsidR="00A94009" w:rsidRDefault="00A94009">
      <w:pPr>
        <w:jc w:val="both"/>
        <w:rPr>
          <w:sz w:val="24"/>
        </w:rPr>
      </w:pPr>
    </w:p>
    <w:p w:rsidR="00A94009" w:rsidRDefault="00A94009">
      <w:pPr>
        <w:jc w:val="both"/>
        <w:rPr>
          <w:sz w:val="22"/>
        </w:rPr>
      </w:pPr>
    </w:p>
    <w:p w:rsidR="00A94009" w:rsidRDefault="00A94009">
      <w:pPr>
        <w:pStyle w:val="3"/>
        <w:numPr>
          <w:ilvl w:val="0"/>
          <w:numId w:val="0"/>
        </w:numPr>
        <w:rPr>
          <w:rFonts w:ascii="Times New Roman" w:hAnsi="Times New Roman"/>
          <w:sz w:val="24"/>
        </w:rPr>
      </w:pPr>
      <w:r>
        <w:rPr>
          <w:rFonts w:ascii="Times New Roman" w:hAnsi="Times New Roman"/>
          <w:sz w:val="24"/>
        </w:rPr>
        <w:t>Make-up Examination Policy</w:t>
      </w:r>
    </w:p>
    <w:p w:rsidR="00A94009" w:rsidRDefault="00A94009"/>
    <w:p w:rsidR="00A94009" w:rsidRDefault="00A94009">
      <w:pPr>
        <w:pStyle w:val="20"/>
        <w:ind w:left="720"/>
        <w:jc w:val="both"/>
        <w:rPr>
          <w:b/>
          <w:bCs/>
          <w:sz w:val="24"/>
        </w:rPr>
      </w:pPr>
      <w:r>
        <w:rPr>
          <w:sz w:val="24"/>
        </w:rPr>
        <w:t xml:space="preserve">A make-up exam will be given if the student has a reasonable, verifiable excuse.  However, the make-up exam request must be made prior to the regularly scheduled exam.  Students should not expect to take more than one make-up exam.  The make-up exam must be completed before the end of the week in which the original exam was scheduled.  The instructor reserves the rights to change the style, format, and content of a make-up examination.  Once a student has taken an exam, a make-up exam cannot be given.  </w:t>
      </w:r>
    </w:p>
    <w:p w:rsidR="00A94009" w:rsidRDefault="00A94009">
      <w:pPr>
        <w:jc w:val="both"/>
        <w:rPr>
          <w:b/>
          <w:sz w:val="24"/>
        </w:rPr>
      </w:pPr>
    </w:p>
    <w:p w:rsidR="00A94009" w:rsidRDefault="00A94009">
      <w:pPr>
        <w:pStyle w:val="5"/>
        <w:rPr>
          <w:i w:val="0"/>
          <w:iCs/>
          <w:sz w:val="24"/>
          <w:u w:val="none"/>
        </w:rPr>
      </w:pPr>
      <w:r>
        <w:rPr>
          <w:i w:val="0"/>
          <w:iCs/>
          <w:sz w:val="24"/>
          <w:u w:val="none"/>
        </w:rPr>
        <w:t>Other Examination Policies</w:t>
      </w:r>
    </w:p>
    <w:p w:rsidR="00A94009" w:rsidRDefault="00A94009"/>
    <w:p w:rsidR="00A94009" w:rsidRDefault="00A94009">
      <w:pPr>
        <w:pStyle w:val="20"/>
        <w:ind w:left="720"/>
        <w:jc w:val="both"/>
        <w:rPr>
          <w:sz w:val="24"/>
        </w:rPr>
      </w:pPr>
      <w:r>
        <w:rPr>
          <w:sz w:val="24"/>
        </w:rPr>
        <w:t xml:space="preserve">No dictionaries are allowed on exams.  Ask the proctor or professor if you have a question about a definition. Calculators -- you will not be allowed to use a </w:t>
      </w:r>
      <w:proofErr w:type="spellStart"/>
      <w:r>
        <w:rPr>
          <w:sz w:val="24"/>
        </w:rPr>
        <w:t>pda</w:t>
      </w:r>
      <w:proofErr w:type="spellEnd"/>
      <w:r>
        <w:rPr>
          <w:sz w:val="24"/>
        </w:rPr>
        <w:t xml:space="preserve"> with a calculator or any calculator/computer which allows text entry on exams.  You are </w:t>
      </w:r>
      <w:r>
        <w:rPr>
          <w:b/>
          <w:bCs/>
          <w:sz w:val="24"/>
        </w:rPr>
        <w:t>not allowed</w:t>
      </w:r>
      <w:r>
        <w:rPr>
          <w:sz w:val="24"/>
        </w:rPr>
        <w:t xml:space="preserve"> to share a calculator. Students who wear </w:t>
      </w:r>
      <w:proofErr w:type="spellStart"/>
      <w:r>
        <w:rPr>
          <w:sz w:val="24"/>
        </w:rPr>
        <w:t>ballcaps</w:t>
      </w:r>
      <w:proofErr w:type="spellEnd"/>
      <w:r>
        <w:rPr>
          <w:sz w:val="24"/>
        </w:rPr>
        <w:t xml:space="preserve"> to exams will be asked to remove the cap or wear it with the bill facing backwards.  </w:t>
      </w:r>
      <w:r>
        <w:rPr>
          <w:b/>
          <w:bCs/>
          <w:sz w:val="24"/>
        </w:rPr>
        <w:t>30 Minute Rule</w:t>
      </w:r>
      <w:r>
        <w:rPr>
          <w:sz w:val="24"/>
        </w:rPr>
        <w:t xml:space="preserve"> – Students arriving 30 minutes late may not be permitted to take the exam.  Students are not allowed to leave the exam during the first 30 minutes.  Exams will be returned in class one day only-- generally during the class following the exam.  If you want your exam back, come to class.</w:t>
      </w:r>
    </w:p>
    <w:p w:rsidR="00A94009" w:rsidRDefault="00A94009">
      <w:pPr>
        <w:jc w:val="both"/>
        <w:rPr>
          <w:sz w:val="22"/>
        </w:rPr>
      </w:pPr>
    </w:p>
    <w:p w:rsidR="00A94009" w:rsidRDefault="00A94009">
      <w:pPr>
        <w:jc w:val="both"/>
        <w:rPr>
          <w:sz w:val="22"/>
        </w:rPr>
      </w:pPr>
    </w:p>
    <w:p w:rsidR="00A94009" w:rsidRDefault="00A94009">
      <w:pPr>
        <w:jc w:val="both"/>
        <w:rPr>
          <w:sz w:val="22"/>
        </w:rPr>
      </w:pPr>
      <w:r>
        <w:rPr>
          <w:sz w:val="22"/>
        </w:rPr>
        <w:br w:type="page"/>
      </w:r>
      <w:r>
        <w:rPr>
          <w:b/>
          <w:sz w:val="24"/>
        </w:rPr>
        <w:lastRenderedPageBreak/>
        <w:t>Tentative Course Schedule</w:t>
      </w:r>
      <w:r>
        <w:rPr>
          <w:b/>
          <w:sz w:val="22"/>
        </w:rPr>
        <w:t>:</w:t>
      </w:r>
      <w:r>
        <w:rPr>
          <w:bCs/>
          <w:sz w:val="22"/>
        </w:rPr>
        <w:t xml:space="preserve">  </w:t>
      </w:r>
      <w:r>
        <w:rPr>
          <w:color w:val="000000"/>
          <w:sz w:val="22"/>
        </w:rPr>
        <w:t>The outline below is a tentative schedule.  Adjustments will be necessary during the progression of the semester.  It is the student’s responsibility to be aware of any changes announced in-class.</w:t>
      </w:r>
    </w:p>
    <w:p w:rsidR="00A94009" w:rsidRDefault="00A94009">
      <w:pPr>
        <w:jc w:val="both"/>
        <w:rPr>
          <w:sz w:val="22"/>
        </w:rPr>
      </w:pPr>
    </w:p>
    <w:p w:rsidR="00A94009" w:rsidRDefault="00A94009">
      <w:pPr>
        <w:jc w:val="both"/>
        <w:rPr>
          <w:sz w:val="22"/>
        </w:rPr>
      </w:pPr>
    </w:p>
    <w:p w:rsidR="00A94009" w:rsidRDefault="00A94009">
      <w:pPr>
        <w:jc w:val="both"/>
        <w:rPr>
          <w:sz w:val="22"/>
          <w:lang w:eastAsia="zh-TW"/>
        </w:rPr>
      </w:pPr>
      <w:r>
        <w:rPr>
          <w:sz w:val="22"/>
        </w:rPr>
        <w:t>Introduction and Statistical Concepts</w:t>
      </w:r>
      <w:r>
        <w:rPr>
          <w:sz w:val="22"/>
        </w:rPr>
        <w:tab/>
      </w:r>
      <w:r>
        <w:rPr>
          <w:sz w:val="22"/>
        </w:rPr>
        <w:tab/>
      </w:r>
      <w:r>
        <w:rPr>
          <w:sz w:val="22"/>
        </w:rPr>
        <w:tab/>
      </w:r>
      <w:r>
        <w:rPr>
          <w:sz w:val="22"/>
        </w:rPr>
        <w:tab/>
      </w:r>
      <w:r>
        <w:rPr>
          <w:sz w:val="22"/>
        </w:rPr>
        <w:tab/>
      </w:r>
      <w:r>
        <w:rPr>
          <w:sz w:val="22"/>
        </w:rPr>
        <w:tab/>
      </w:r>
      <w:r w:rsidR="00726308">
        <w:rPr>
          <w:rFonts w:hint="eastAsia"/>
          <w:sz w:val="22"/>
          <w:lang w:eastAsia="zh-TW"/>
        </w:rPr>
        <w:t>February 25</w:t>
      </w:r>
    </w:p>
    <w:p w:rsidR="007543AD" w:rsidRPr="00726308" w:rsidRDefault="007543AD" w:rsidP="00726308">
      <w:pPr>
        <w:rPr>
          <w:sz w:val="22"/>
          <w:lang w:eastAsia="zh-TW"/>
        </w:rPr>
      </w:pPr>
    </w:p>
    <w:p w:rsidR="00A94009" w:rsidRDefault="00A94009" w:rsidP="00320280">
      <w:pPr>
        <w:ind w:left="2880" w:hanging="2880"/>
        <w:rPr>
          <w:sz w:val="22"/>
          <w:lang w:eastAsia="zh-TW"/>
        </w:rPr>
      </w:pPr>
      <w:r>
        <w:rPr>
          <w:sz w:val="22"/>
        </w:rPr>
        <w:t>Portfolio Theory Review</w:t>
      </w:r>
      <w:r>
        <w:rPr>
          <w:sz w:val="22"/>
        </w:rPr>
        <w:tab/>
      </w:r>
      <w:r>
        <w:rPr>
          <w:sz w:val="22"/>
        </w:rPr>
        <w:tab/>
      </w:r>
      <w:r>
        <w:rPr>
          <w:sz w:val="22"/>
        </w:rPr>
        <w:tab/>
      </w:r>
      <w:r>
        <w:rPr>
          <w:sz w:val="22"/>
        </w:rPr>
        <w:tab/>
      </w:r>
      <w:r>
        <w:rPr>
          <w:sz w:val="22"/>
        </w:rPr>
        <w:tab/>
      </w:r>
      <w:r>
        <w:rPr>
          <w:sz w:val="22"/>
        </w:rPr>
        <w:tab/>
      </w:r>
      <w:r>
        <w:rPr>
          <w:sz w:val="22"/>
        </w:rPr>
        <w:tab/>
      </w:r>
      <w:r w:rsidR="00726308">
        <w:rPr>
          <w:rFonts w:hint="eastAsia"/>
          <w:sz w:val="22"/>
          <w:lang w:eastAsia="zh-TW"/>
        </w:rPr>
        <w:t>March 4</w:t>
      </w:r>
    </w:p>
    <w:p w:rsidR="00A94009" w:rsidRDefault="00A94009">
      <w:pPr>
        <w:jc w:val="both"/>
        <w:rPr>
          <w:sz w:val="22"/>
        </w:rPr>
      </w:pPr>
    </w:p>
    <w:p w:rsidR="00A94009" w:rsidRDefault="00A94009">
      <w:pPr>
        <w:jc w:val="both"/>
        <w:rPr>
          <w:sz w:val="22"/>
          <w:lang w:eastAsia="zh-TW"/>
        </w:rPr>
      </w:pPr>
      <w:r>
        <w:rPr>
          <w:sz w:val="22"/>
        </w:rPr>
        <w:t>Security Analysis Review</w:t>
      </w:r>
      <w:r>
        <w:rPr>
          <w:sz w:val="22"/>
        </w:rPr>
        <w:tab/>
      </w:r>
      <w:r>
        <w:rPr>
          <w:sz w:val="22"/>
        </w:rPr>
        <w:tab/>
      </w:r>
      <w:r>
        <w:rPr>
          <w:sz w:val="22"/>
        </w:rPr>
        <w:tab/>
      </w:r>
      <w:r>
        <w:rPr>
          <w:sz w:val="22"/>
        </w:rPr>
        <w:tab/>
      </w:r>
      <w:r>
        <w:rPr>
          <w:sz w:val="22"/>
        </w:rPr>
        <w:tab/>
      </w:r>
      <w:r>
        <w:rPr>
          <w:sz w:val="22"/>
        </w:rPr>
        <w:tab/>
      </w:r>
      <w:r>
        <w:rPr>
          <w:sz w:val="22"/>
        </w:rPr>
        <w:tab/>
      </w:r>
      <w:r w:rsidR="00726308">
        <w:rPr>
          <w:rFonts w:hint="eastAsia"/>
          <w:sz w:val="22"/>
          <w:lang w:eastAsia="zh-TW"/>
        </w:rPr>
        <w:t>March 11</w:t>
      </w:r>
    </w:p>
    <w:p w:rsidR="00A94009" w:rsidRDefault="00A94009">
      <w:pPr>
        <w:jc w:val="both"/>
        <w:rPr>
          <w:sz w:val="22"/>
          <w:lang w:eastAsia="zh-TW"/>
        </w:rPr>
      </w:pPr>
    </w:p>
    <w:p w:rsidR="00A94009" w:rsidRDefault="00A94009">
      <w:pPr>
        <w:jc w:val="both"/>
        <w:rPr>
          <w:sz w:val="22"/>
          <w:lang w:eastAsia="zh-TW"/>
        </w:rPr>
      </w:pPr>
      <w:r>
        <w:rPr>
          <w:sz w:val="22"/>
        </w:rPr>
        <w:t>Ma</w:t>
      </w:r>
      <w:r w:rsidR="00BA44D0">
        <w:rPr>
          <w:sz w:val="22"/>
        </w:rPr>
        <w:t>rket Efficiency</w:t>
      </w:r>
      <w:r w:rsidR="00BA44D0">
        <w:rPr>
          <w:sz w:val="22"/>
        </w:rPr>
        <w:tab/>
      </w:r>
      <w:r w:rsidR="00BA44D0">
        <w:rPr>
          <w:sz w:val="22"/>
        </w:rPr>
        <w:tab/>
      </w:r>
      <w:r w:rsidR="00BA44D0">
        <w:rPr>
          <w:sz w:val="22"/>
        </w:rPr>
        <w:tab/>
      </w:r>
      <w:r w:rsidR="00BA44D0">
        <w:rPr>
          <w:sz w:val="22"/>
        </w:rPr>
        <w:tab/>
      </w:r>
      <w:r w:rsidR="00BA44D0">
        <w:rPr>
          <w:sz w:val="22"/>
        </w:rPr>
        <w:tab/>
      </w:r>
      <w:r w:rsidR="00BA44D0">
        <w:rPr>
          <w:sz w:val="22"/>
        </w:rPr>
        <w:tab/>
      </w:r>
      <w:r w:rsidR="00BA44D0">
        <w:rPr>
          <w:sz w:val="22"/>
        </w:rPr>
        <w:tab/>
      </w:r>
      <w:r w:rsidR="00BA44D0">
        <w:rPr>
          <w:sz w:val="22"/>
        </w:rPr>
        <w:tab/>
      </w:r>
      <w:r w:rsidR="00726308">
        <w:rPr>
          <w:rFonts w:hint="eastAsia"/>
          <w:sz w:val="22"/>
          <w:lang w:eastAsia="zh-TW"/>
        </w:rPr>
        <w:t>March 18</w:t>
      </w:r>
    </w:p>
    <w:p w:rsidR="007543AD" w:rsidRDefault="007543AD">
      <w:pPr>
        <w:jc w:val="both"/>
        <w:rPr>
          <w:sz w:val="22"/>
        </w:rPr>
      </w:pPr>
    </w:p>
    <w:p w:rsidR="00A94009" w:rsidRDefault="00A94009">
      <w:pPr>
        <w:numPr>
          <w:ilvl w:val="0"/>
          <w:numId w:val="5"/>
        </w:numPr>
        <w:jc w:val="both"/>
        <w:rPr>
          <w:sz w:val="22"/>
        </w:rPr>
      </w:pPr>
      <w:r>
        <w:rPr>
          <w:sz w:val="22"/>
        </w:rPr>
        <w:t xml:space="preserve">“Market Efficiency,” Gary G. </w:t>
      </w:r>
      <w:proofErr w:type="spellStart"/>
      <w:r>
        <w:rPr>
          <w:sz w:val="22"/>
        </w:rPr>
        <w:t>Schlarbaum</w:t>
      </w:r>
      <w:proofErr w:type="spellEnd"/>
      <w:r>
        <w:rPr>
          <w:sz w:val="22"/>
        </w:rPr>
        <w:t>, Equity Markets and Valuation Methods, (AIMR, 1987).</w:t>
      </w:r>
    </w:p>
    <w:p w:rsidR="00A94009" w:rsidRDefault="00A94009">
      <w:pPr>
        <w:numPr>
          <w:ilvl w:val="0"/>
          <w:numId w:val="5"/>
        </w:numPr>
        <w:jc w:val="both"/>
        <w:rPr>
          <w:sz w:val="22"/>
        </w:rPr>
      </w:pPr>
      <w:r>
        <w:rPr>
          <w:sz w:val="22"/>
        </w:rPr>
        <w:t>“Chapter 1: The Loser’s Game” and “Chapter 2: Beating the Market,” Charles D. Ellis, Winning the Loser’s Game: Timeless Strategies for Successful Investing, 3</w:t>
      </w:r>
      <w:r>
        <w:rPr>
          <w:sz w:val="22"/>
          <w:vertAlign w:val="superscript"/>
        </w:rPr>
        <w:t>rd</w:t>
      </w:r>
      <w:r>
        <w:rPr>
          <w:sz w:val="22"/>
        </w:rPr>
        <w:t xml:space="preserve"> edition, (Irwin, 1998).</w:t>
      </w:r>
    </w:p>
    <w:p w:rsidR="00A94009" w:rsidRPr="00DC58D4" w:rsidRDefault="00A94009" w:rsidP="00DC58D4">
      <w:pPr>
        <w:numPr>
          <w:ilvl w:val="0"/>
          <w:numId w:val="5"/>
        </w:numPr>
        <w:jc w:val="both"/>
        <w:rPr>
          <w:sz w:val="22"/>
        </w:rPr>
      </w:pPr>
      <w:r>
        <w:rPr>
          <w:sz w:val="22"/>
        </w:rPr>
        <w:t>“Where, Oh where are the .400 Hitters of Yesteryear?” Peter L. Bernstein, Financial Analysts Journal, (AIMR, November/December 1998).</w:t>
      </w:r>
    </w:p>
    <w:p w:rsidR="00A94009" w:rsidRDefault="00A94009">
      <w:pPr>
        <w:jc w:val="both"/>
        <w:rPr>
          <w:sz w:val="22"/>
        </w:rPr>
      </w:pPr>
    </w:p>
    <w:p w:rsidR="00A94009" w:rsidRDefault="00A94009">
      <w:pPr>
        <w:jc w:val="both"/>
        <w:rPr>
          <w:sz w:val="22"/>
          <w:lang w:eastAsia="zh-TW"/>
        </w:rPr>
      </w:pPr>
      <w:r>
        <w:rPr>
          <w:sz w:val="22"/>
        </w:rPr>
        <w:t>Investment Tools and Economic Inputs</w:t>
      </w:r>
      <w:r>
        <w:rPr>
          <w:sz w:val="22"/>
        </w:rPr>
        <w:tab/>
      </w:r>
      <w:r>
        <w:rPr>
          <w:sz w:val="22"/>
        </w:rPr>
        <w:tab/>
      </w:r>
      <w:r>
        <w:rPr>
          <w:sz w:val="22"/>
        </w:rPr>
        <w:tab/>
      </w:r>
      <w:r>
        <w:rPr>
          <w:sz w:val="22"/>
        </w:rPr>
        <w:tab/>
      </w:r>
      <w:r>
        <w:rPr>
          <w:sz w:val="22"/>
        </w:rPr>
        <w:tab/>
      </w:r>
      <w:r>
        <w:rPr>
          <w:sz w:val="22"/>
        </w:rPr>
        <w:tab/>
      </w:r>
      <w:r w:rsidR="00726308">
        <w:rPr>
          <w:rFonts w:hint="eastAsia"/>
          <w:sz w:val="22"/>
          <w:lang w:eastAsia="zh-TW"/>
        </w:rPr>
        <w:t>March 25</w:t>
      </w:r>
    </w:p>
    <w:p w:rsidR="00A94009" w:rsidRDefault="00A94009">
      <w:pPr>
        <w:jc w:val="both"/>
        <w:rPr>
          <w:sz w:val="22"/>
        </w:rPr>
      </w:pPr>
    </w:p>
    <w:p w:rsidR="00A94009" w:rsidRDefault="00A94009">
      <w:pPr>
        <w:numPr>
          <w:ilvl w:val="0"/>
          <w:numId w:val="10"/>
        </w:numPr>
        <w:jc w:val="both"/>
        <w:rPr>
          <w:sz w:val="22"/>
        </w:rPr>
      </w:pPr>
      <w:r>
        <w:rPr>
          <w:sz w:val="22"/>
        </w:rPr>
        <w:t>Improving the Investment Decision Process – Better use of Economic Inputs in Securities Analysis and Portfolio Management (AIMR, 1992).</w:t>
      </w:r>
    </w:p>
    <w:p w:rsidR="00A94009" w:rsidRDefault="00A94009">
      <w:pPr>
        <w:ind w:left="720"/>
        <w:jc w:val="both"/>
        <w:rPr>
          <w:sz w:val="22"/>
        </w:rPr>
      </w:pPr>
      <w:proofErr w:type="gramStart"/>
      <w:r>
        <w:rPr>
          <w:sz w:val="22"/>
        </w:rPr>
        <w:t xml:space="preserve">“The Nature of Effective Forecasts,” David B. </w:t>
      </w:r>
      <w:proofErr w:type="spellStart"/>
      <w:r>
        <w:rPr>
          <w:sz w:val="22"/>
        </w:rPr>
        <w:t>Bostian</w:t>
      </w:r>
      <w:proofErr w:type="spellEnd"/>
      <w:r>
        <w:rPr>
          <w:sz w:val="22"/>
        </w:rPr>
        <w:t>, Jr.</w:t>
      </w:r>
      <w:proofErr w:type="gramEnd"/>
    </w:p>
    <w:p w:rsidR="00A94009" w:rsidRDefault="00A94009">
      <w:pPr>
        <w:numPr>
          <w:ilvl w:val="0"/>
          <w:numId w:val="5"/>
        </w:numPr>
        <w:jc w:val="both"/>
        <w:rPr>
          <w:sz w:val="22"/>
        </w:rPr>
      </w:pPr>
      <w:r>
        <w:rPr>
          <w:sz w:val="22"/>
        </w:rPr>
        <w:t>Economic Analysis for Investment Professional (AIMR, 1997)</w:t>
      </w:r>
    </w:p>
    <w:p w:rsidR="00A94009" w:rsidRDefault="00A94009">
      <w:pPr>
        <w:ind w:left="720"/>
        <w:jc w:val="both"/>
        <w:rPr>
          <w:sz w:val="22"/>
        </w:rPr>
      </w:pPr>
      <w:r>
        <w:rPr>
          <w:sz w:val="22"/>
        </w:rPr>
        <w:t xml:space="preserve">“Using Economic Models,” Avery B. </w:t>
      </w:r>
      <w:proofErr w:type="spellStart"/>
      <w:r>
        <w:rPr>
          <w:sz w:val="22"/>
        </w:rPr>
        <w:t>Shenfeld</w:t>
      </w:r>
      <w:proofErr w:type="spellEnd"/>
    </w:p>
    <w:p w:rsidR="00A94009" w:rsidRDefault="00A94009">
      <w:pPr>
        <w:ind w:left="720"/>
        <w:jc w:val="both"/>
        <w:rPr>
          <w:sz w:val="22"/>
        </w:rPr>
      </w:pPr>
      <w:r>
        <w:rPr>
          <w:sz w:val="22"/>
        </w:rPr>
        <w:t>“Economic Forecasts and the Asset Allocation Decision,” Abby Joseph Cohen</w:t>
      </w:r>
    </w:p>
    <w:p w:rsidR="00A94009" w:rsidRDefault="00A94009">
      <w:pPr>
        <w:numPr>
          <w:ilvl w:val="0"/>
          <w:numId w:val="5"/>
        </w:numPr>
        <w:jc w:val="both"/>
        <w:rPr>
          <w:sz w:val="22"/>
        </w:rPr>
      </w:pPr>
      <w:r>
        <w:rPr>
          <w:sz w:val="22"/>
        </w:rPr>
        <w:t xml:space="preserve">“The Brave New Business Cycle: No Recession in Sight” by William Dudley and Edward </w:t>
      </w:r>
      <w:proofErr w:type="spellStart"/>
      <w:r>
        <w:rPr>
          <w:sz w:val="22"/>
        </w:rPr>
        <w:t>McKelvey</w:t>
      </w:r>
      <w:proofErr w:type="spellEnd"/>
      <w:r>
        <w:rPr>
          <w:sz w:val="22"/>
        </w:rPr>
        <w:t xml:space="preserve"> of Goldman Sachs. 1997</w:t>
      </w:r>
    </w:p>
    <w:p w:rsidR="007543AD" w:rsidRDefault="007543AD" w:rsidP="008377B3">
      <w:pPr>
        <w:jc w:val="both"/>
        <w:rPr>
          <w:sz w:val="22"/>
          <w:lang w:eastAsia="zh-TW"/>
        </w:rPr>
      </w:pPr>
    </w:p>
    <w:p w:rsidR="007543AD" w:rsidRDefault="00726308" w:rsidP="007543AD">
      <w:pPr>
        <w:pStyle w:val="2"/>
        <w:rPr>
          <w:rFonts w:ascii="Times New Roman" w:hAnsi="Times New Roman"/>
          <w:bCs/>
          <w:lang w:eastAsia="zh-TW"/>
        </w:rPr>
      </w:pPr>
      <w:r>
        <w:rPr>
          <w:rFonts w:ascii="Times New Roman" w:hAnsi="Times New Roman" w:hint="eastAsia"/>
          <w:bCs/>
          <w:lang w:eastAsia="zh-TW"/>
        </w:rPr>
        <w:t>Spring Break</w:t>
      </w:r>
      <w:r>
        <w:rPr>
          <w:rFonts w:ascii="Times New Roman" w:hAnsi="Times New Roman" w:hint="eastAsia"/>
          <w:bCs/>
          <w:lang w:eastAsia="zh-TW"/>
        </w:rPr>
        <w:tab/>
      </w:r>
      <w:r>
        <w:rPr>
          <w:rFonts w:ascii="Times New Roman" w:hAnsi="Times New Roman" w:hint="eastAsia"/>
          <w:bCs/>
          <w:lang w:eastAsia="zh-TW"/>
        </w:rPr>
        <w:tab/>
        <w:t>No Class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hint="eastAsia"/>
          <w:bCs/>
          <w:lang w:eastAsia="zh-TW"/>
        </w:rPr>
        <w:t>April 1</w:t>
      </w:r>
    </w:p>
    <w:p w:rsidR="00282F47" w:rsidRPr="00282F47" w:rsidRDefault="00282F47" w:rsidP="007543AD">
      <w:pPr>
        <w:jc w:val="both"/>
        <w:rPr>
          <w:sz w:val="22"/>
          <w:lang w:eastAsia="zh-TW"/>
        </w:rPr>
      </w:pPr>
    </w:p>
    <w:p w:rsidR="00A94009" w:rsidRDefault="00726308">
      <w:pPr>
        <w:pStyle w:val="2"/>
        <w:rPr>
          <w:rFonts w:ascii="Times New Roman" w:hAnsi="Times New Roman"/>
          <w:bCs/>
          <w:lang w:eastAsia="zh-TW"/>
        </w:rPr>
      </w:pPr>
      <w:r>
        <w:rPr>
          <w:rFonts w:ascii="Times New Roman" w:hAnsi="Times New Roman" w:hint="eastAsia"/>
          <w:bCs/>
          <w:lang w:eastAsia="zh-TW"/>
        </w:rPr>
        <w:t>Midterm Exam I</w:t>
      </w:r>
      <w:r w:rsidR="00B410F4">
        <w:rPr>
          <w:rFonts w:ascii="Times New Roman" w:hAnsi="Times New Roman"/>
          <w:bCs/>
        </w:rPr>
        <w:tab/>
      </w:r>
      <w:r w:rsidR="00B410F4">
        <w:rPr>
          <w:rFonts w:ascii="Times New Roman" w:hAnsi="Times New Roman"/>
          <w:bCs/>
        </w:rPr>
        <w:tab/>
      </w:r>
      <w:r w:rsidR="00B410F4">
        <w:rPr>
          <w:rFonts w:ascii="Times New Roman" w:hAnsi="Times New Roman"/>
          <w:bCs/>
        </w:rPr>
        <w:tab/>
      </w:r>
      <w:r>
        <w:rPr>
          <w:rFonts w:ascii="Times New Roman" w:hAnsi="Times New Roman" w:hint="eastAsia"/>
          <w:bCs/>
          <w:lang w:eastAsia="zh-TW"/>
        </w:rPr>
        <w:tab/>
      </w:r>
      <w:r>
        <w:rPr>
          <w:rFonts w:ascii="Times New Roman" w:hAnsi="Times New Roman" w:hint="eastAsia"/>
          <w:bCs/>
          <w:lang w:eastAsia="zh-TW"/>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hint="eastAsia"/>
          <w:bCs/>
          <w:lang w:eastAsia="zh-TW"/>
        </w:rPr>
        <w:t>April 8</w:t>
      </w:r>
    </w:p>
    <w:p w:rsidR="00441F92" w:rsidRDefault="00441F92" w:rsidP="00DB6F23">
      <w:pPr>
        <w:jc w:val="both"/>
        <w:rPr>
          <w:sz w:val="22"/>
          <w:lang w:eastAsia="zh-TW"/>
        </w:rPr>
      </w:pPr>
    </w:p>
    <w:p w:rsidR="00DB6F23" w:rsidRDefault="00DB6F23" w:rsidP="00DB6F23">
      <w:pPr>
        <w:jc w:val="both"/>
        <w:rPr>
          <w:sz w:val="22"/>
          <w:lang w:eastAsia="zh-TW"/>
        </w:rPr>
      </w:pPr>
      <w:r>
        <w:rPr>
          <w:sz w:val="22"/>
        </w:rPr>
        <w:t>Asset Allocation Part I</w:t>
      </w:r>
      <w:r>
        <w:rPr>
          <w:sz w:val="22"/>
        </w:rPr>
        <w:tab/>
      </w:r>
      <w:r>
        <w:rPr>
          <w:sz w:val="22"/>
        </w:rPr>
        <w:tab/>
      </w:r>
      <w:r>
        <w:rPr>
          <w:sz w:val="22"/>
        </w:rPr>
        <w:tab/>
      </w:r>
      <w:r>
        <w:rPr>
          <w:sz w:val="22"/>
        </w:rPr>
        <w:tab/>
      </w:r>
      <w:r>
        <w:rPr>
          <w:sz w:val="22"/>
        </w:rPr>
        <w:tab/>
      </w:r>
      <w:r>
        <w:rPr>
          <w:sz w:val="22"/>
        </w:rPr>
        <w:tab/>
      </w:r>
      <w:r>
        <w:rPr>
          <w:sz w:val="22"/>
        </w:rPr>
        <w:tab/>
      </w:r>
      <w:r>
        <w:rPr>
          <w:sz w:val="22"/>
        </w:rPr>
        <w:tab/>
      </w:r>
      <w:r>
        <w:rPr>
          <w:rFonts w:hint="eastAsia"/>
          <w:sz w:val="22"/>
          <w:lang w:eastAsia="zh-TW"/>
        </w:rPr>
        <w:t xml:space="preserve">April </w:t>
      </w:r>
      <w:r w:rsidR="00DF7843">
        <w:rPr>
          <w:rFonts w:hint="eastAsia"/>
          <w:sz w:val="22"/>
          <w:lang w:eastAsia="zh-TW"/>
        </w:rPr>
        <w:t>15</w:t>
      </w:r>
    </w:p>
    <w:p w:rsidR="00DB6F23" w:rsidRDefault="00DB6F23" w:rsidP="00DB6F23">
      <w:pPr>
        <w:jc w:val="both"/>
        <w:rPr>
          <w:sz w:val="22"/>
        </w:rPr>
      </w:pPr>
    </w:p>
    <w:p w:rsidR="00A94009" w:rsidRPr="00DF7843" w:rsidRDefault="00DB6F23" w:rsidP="00DF7843">
      <w:pPr>
        <w:numPr>
          <w:ilvl w:val="0"/>
          <w:numId w:val="5"/>
        </w:numPr>
        <w:jc w:val="both"/>
        <w:rPr>
          <w:rFonts w:hint="eastAsia"/>
          <w:sz w:val="22"/>
        </w:rPr>
      </w:pPr>
      <w:r>
        <w:rPr>
          <w:sz w:val="22"/>
        </w:rPr>
        <w:t xml:space="preserve">“Dynamic Strategies for Asset Allocation,” Andre </w:t>
      </w:r>
      <w:proofErr w:type="spellStart"/>
      <w:r>
        <w:rPr>
          <w:sz w:val="22"/>
        </w:rPr>
        <w:t>Perold</w:t>
      </w:r>
      <w:proofErr w:type="spellEnd"/>
      <w:r>
        <w:rPr>
          <w:sz w:val="22"/>
        </w:rPr>
        <w:t xml:space="preserve"> and William Sharpe, Financial Analysts Journal (AIMR, January/February 1988).</w:t>
      </w:r>
      <w:bookmarkStart w:id="0" w:name="_GoBack"/>
      <w:bookmarkEnd w:id="0"/>
    </w:p>
    <w:p w:rsidR="00A94009" w:rsidRDefault="00A94009" w:rsidP="00282F47">
      <w:pPr>
        <w:numPr>
          <w:ilvl w:val="0"/>
          <w:numId w:val="6"/>
        </w:numPr>
        <w:jc w:val="both"/>
        <w:rPr>
          <w:sz w:val="22"/>
        </w:rPr>
      </w:pPr>
      <w:r>
        <w:rPr>
          <w:sz w:val="22"/>
        </w:rPr>
        <w:t xml:space="preserve">“Using Information from Trading in Trading and Portfolio Management,” David J. </w:t>
      </w:r>
      <w:proofErr w:type="spellStart"/>
      <w:r>
        <w:rPr>
          <w:sz w:val="22"/>
        </w:rPr>
        <w:t>Leinweber</w:t>
      </w:r>
      <w:proofErr w:type="spellEnd"/>
      <w:r>
        <w:rPr>
          <w:sz w:val="22"/>
        </w:rPr>
        <w:t>, Execution Techniques, True Trading Costs, and the Microstructure of Markets (AIMR, 1993).</w:t>
      </w:r>
    </w:p>
    <w:p w:rsidR="00A94009" w:rsidRDefault="00A94009">
      <w:pPr>
        <w:numPr>
          <w:ilvl w:val="0"/>
          <w:numId w:val="6"/>
        </w:numPr>
        <w:jc w:val="both"/>
        <w:rPr>
          <w:sz w:val="22"/>
        </w:rPr>
      </w:pPr>
      <w:r>
        <w:rPr>
          <w:sz w:val="22"/>
        </w:rPr>
        <w:t xml:space="preserve">“Implementing Investment Strategies: The Art Science of Investing,” Ch.17, Wayne H. Wagner and Mark Edwards, Handbook of Portfolio Management, Frank J. </w:t>
      </w:r>
      <w:proofErr w:type="spellStart"/>
      <w:r>
        <w:rPr>
          <w:sz w:val="22"/>
        </w:rPr>
        <w:t>Fabozzi</w:t>
      </w:r>
      <w:proofErr w:type="spellEnd"/>
      <w:r>
        <w:rPr>
          <w:sz w:val="22"/>
        </w:rPr>
        <w:t xml:space="preserve">, ed. (Frank J. </w:t>
      </w:r>
      <w:proofErr w:type="spellStart"/>
      <w:r>
        <w:rPr>
          <w:sz w:val="22"/>
        </w:rPr>
        <w:t>Fabozzi</w:t>
      </w:r>
      <w:proofErr w:type="spellEnd"/>
      <w:r>
        <w:rPr>
          <w:sz w:val="22"/>
        </w:rPr>
        <w:t xml:space="preserve"> Associates, 1998).</w:t>
      </w:r>
    </w:p>
    <w:p w:rsidR="00A94009" w:rsidRDefault="00A94009">
      <w:pPr>
        <w:numPr>
          <w:ilvl w:val="0"/>
          <w:numId w:val="6"/>
        </w:numPr>
        <w:jc w:val="both"/>
        <w:rPr>
          <w:sz w:val="22"/>
        </w:rPr>
      </w:pPr>
      <w:r>
        <w:rPr>
          <w:sz w:val="22"/>
        </w:rPr>
        <w:t xml:space="preserve">“Equity Style: What It Is and Why It Matters,” Ch.1, Jon A. </w:t>
      </w:r>
      <w:proofErr w:type="spellStart"/>
      <w:r>
        <w:rPr>
          <w:sz w:val="22"/>
        </w:rPr>
        <w:t>Christopherson</w:t>
      </w:r>
      <w:proofErr w:type="spellEnd"/>
      <w:r>
        <w:rPr>
          <w:sz w:val="22"/>
        </w:rPr>
        <w:t xml:space="preserve"> and C. Nola Williams, The Handbook of Equity Style Management, 2</w:t>
      </w:r>
      <w:r>
        <w:rPr>
          <w:sz w:val="22"/>
          <w:vertAlign w:val="superscript"/>
        </w:rPr>
        <w:t>nd</w:t>
      </w:r>
      <w:r>
        <w:rPr>
          <w:sz w:val="22"/>
        </w:rPr>
        <w:t xml:space="preserve"> edition, T. Daniel </w:t>
      </w:r>
      <w:proofErr w:type="spellStart"/>
      <w:r>
        <w:rPr>
          <w:sz w:val="22"/>
        </w:rPr>
        <w:t>Coggin</w:t>
      </w:r>
      <w:proofErr w:type="spellEnd"/>
      <w:r>
        <w:rPr>
          <w:sz w:val="22"/>
        </w:rPr>
        <w:t xml:space="preserve">, Frank J. </w:t>
      </w:r>
      <w:proofErr w:type="spellStart"/>
      <w:r>
        <w:rPr>
          <w:sz w:val="22"/>
        </w:rPr>
        <w:t>Fabozzi</w:t>
      </w:r>
      <w:proofErr w:type="spellEnd"/>
      <w:r>
        <w:rPr>
          <w:sz w:val="22"/>
        </w:rPr>
        <w:t xml:space="preserve">, and Robert D. Arnott, eds. (Frank J. </w:t>
      </w:r>
      <w:proofErr w:type="spellStart"/>
      <w:r>
        <w:rPr>
          <w:sz w:val="22"/>
        </w:rPr>
        <w:t>Fabozzi</w:t>
      </w:r>
      <w:proofErr w:type="spellEnd"/>
      <w:r>
        <w:rPr>
          <w:sz w:val="22"/>
        </w:rPr>
        <w:t xml:space="preserve"> Associates, 1997).</w:t>
      </w:r>
    </w:p>
    <w:p w:rsidR="00A94009" w:rsidRDefault="00A94009">
      <w:pPr>
        <w:ind w:left="360"/>
        <w:jc w:val="both"/>
        <w:rPr>
          <w:sz w:val="22"/>
        </w:rPr>
      </w:pPr>
    </w:p>
    <w:p w:rsidR="00A94009" w:rsidRDefault="00A94009">
      <w:pPr>
        <w:jc w:val="both"/>
        <w:rPr>
          <w:sz w:val="22"/>
          <w:lang w:eastAsia="zh-TW"/>
        </w:rPr>
      </w:pPr>
      <w:r>
        <w:rPr>
          <w:sz w:val="22"/>
        </w:rPr>
        <w:t>Risk Management Part I</w:t>
      </w:r>
      <w:r>
        <w:rPr>
          <w:sz w:val="22"/>
        </w:rPr>
        <w:tab/>
      </w:r>
      <w:r>
        <w:rPr>
          <w:sz w:val="22"/>
        </w:rPr>
        <w:tab/>
      </w:r>
      <w:r>
        <w:rPr>
          <w:sz w:val="22"/>
        </w:rPr>
        <w:tab/>
      </w:r>
      <w:r>
        <w:rPr>
          <w:sz w:val="22"/>
        </w:rPr>
        <w:tab/>
      </w:r>
      <w:r>
        <w:rPr>
          <w:sz w:val="22"/>
        </w:rPr>
        <w:tab/>
      </w:r>
      <w:r>
        <w:rPr>
          <w:sz w:val="22"/>
        </w:rPr>
        <w:tab/>
      </w:r>
      <w:r>
        <w:rPr>
          <w:sz w:val="22"/>
        </w:rPr>
        <w:tab/>
      </w:r>
      <w:r>
        <w:rPr>
          <w:sz w:val="22"/>
        </w:rPr>
        <w:tab/>
      </w:r>
      <w:r w:rsidR="00726308">
        <w:rPr>
          <w:rFonts w:hint="eastAsia"/>
          <w:sz w:val="22"/>
          <w:lang w:eastAsia="zh-TW"/>
        </w:rPr>
        <w:t>April 22</w:t>
      </w:r>
    </w:p>
    <w:p w:rsidR="00A94009" w:rsidRDefault="00A94009">
      <w:pPr>
        <w:jc w:val="both"/>
        <w:rPr>
          <w:sz w:val="22"/>
        </w:rPr>
      </w:pPr>
    </w:p>
    <w:p w:rsidR="00A94009" w:rsidRDefault="00A94009">
      <w:pPr>
        <w:numPr>
          <w:ilvl w:val="0"/>
          <w:numId w:val="7"/>
        </w:numPr>
        <w:jc w:val="both"/>
        <w:rPr>
          <w:sz w:val="22"/>
        </w:rPr>
      </w:pPr>
      <w:r>
        <w:rPr>
          <w:sz w:val="22"/>
        </w:rPr>
        <w:t xml:space="preserve">“Alternative Measures of Risk,” Roger G. Clarke, Investment Management, Peter L. Bernstein and </w:t>
      </w:r>
      <w:proofErr w:type="spellStart"/>
      <w:r>
        <w:rPr>
          <w:sz w:val="22"/>
        </w:rPr>
        <w:t>Aswath</w:t>
      </w:r>
      <w:proofErr w:type="spellEnd"/>
      <w:r>
        <w:rPr>
          <w:sz w:val="22"/>
        </w:rPr>
        <w:t xml:space="preserve"> </w:t>
      </w:r>
      <w:proofErr w:type="spellStart"/>
      <w:r>
        <w:rPr>
          <w:sz w:val="22"/>
        </w:rPr>
        <w:t>Damodaran</w:t>
      </w:r>
      <w:proofErr w:type="spellEnd"/>
      <w:r>
        <w:rPr>
          <w:sz w:val="22"/>
        </w:rPr>
        <w:t>, eds. (Wiley, 1998).</w:t>
      </w:r>
    </w:p>
    <w:p w:rsidR="00A94009" w:rsidRDefault="00A94009">
      <w:pPr>
        <w:numPr>
          <w:ilvl w:val="0"/>
          <w:numId w:val="7"/>
        </w:numPr>
        <w:jc w:val="both"/>
        <w:rPr>
          <w:sz w:val="22"/>
        </w:rPr>
      </w:pPr>
      <w:r>
        <w:rPr>
          <w:sz w:val="22"/>
        </w:rPr>
        <w:lastRenderedPageBreak/>
        <w:t xml:space="preserve">“Value at Risk for the Asset Manager,” Mary Ellen Stocks and Christopher Ito, </w:t>
      </w:r>
      <w:proofErr w:type="gramStart"/>
      <w:r>
        <w:rPr>
          <w:sz w:val="22"/>
        </w:rPr>
        <w:t>The</w:t>
      </w:r>
      <w:proofErr w:type="gramEnd"/>
      <w:r>
        <w:rPr>
          <w:sz w:val="22"/>
        </w:rPr>
        <w:t xml:space="preserve"> Journal of Performance Measurement (The Spaulding Group, Summer 1997).</w:t>
      </w:r>
    </w:p>
    <w:p w:rsidR="005E2B60" w:rsidRPr="005E2B60" w:rsidRDefault="005E2B60" w:rsidP="005E2B60">
      <w:pPr>
        <w:numPr>
          <w:ilvl w:val="0"/>
          <w:numId w:val="7"/>
        </w:numPr>
        <w:jc w:val="both"/>
        <w:rPr>
          <w:sz w:val="22"/>
        </w:rPr>
      </w:pPr>
      <w:r>
        <w:rPr>
          <w:sz w:val="22"/>
        </w:rPr>
        <w:t xml:space="preserve">“Global Risk Management: Are We Missing the Point?” Richard </w:t>
      </w:r>
      <w:proofErr w:type="spellStart"/>
      <w:r>
        <w:rPr>
          <w:sz w:val="22"/>
        </w:rPr>
        <w:t>Bookstaber</w:t>
      </w:r>
      <w:proofErr w:type="spellEnd"/>
      <w:r>
        <w:rPr>
          <w:sz w:val="22"/>
        </w:rPr>
        <w:t xml:space="preserve">, </w:t>
      </w:r>
      <w:proofErr w:type="gramStart"/>
      <w:r>
        <w:rPr>
          <w:sz w:val="22"/>
        </w:rPr>
        <w:t>The</w:t>
      </w:r>
      <w:proofErr w:type="gramEnd"/>
      <w:r>
        <w:rPr>
          <w:sz w:val="22"/>
        </w:rPr>
        <w:t xml:space="preserve"> Journal of Portfolio Management (Institutional Investor, Spring 1997).</w:t>
      </w:r>
    </w:p>
    <w:p w:rsidR="00A94009" w:rsidRDefault="00A94009">
      <w:pPr>
        <w:jc w:val="both"/>
        <w:rPr>
          <w:sz w:val="22"/>
        </w:rPr>
      </w:pPr>
    </w:p>
    <w:p w:rsidR="005E2B60" w:rsidRDefault="00A94009">
      <w:pPr>
        <w:jc w:val="both"/>
        <w:rPr>
          <w:sz w:val="22"/>
          <w:lang w:eastAsia="zh-TW"/>
        </w:rPr>
      </w:pPr>
      <w:r>
        <w:rPr>
          <w:sz w:val="22"/>
        </w:rPr>
        <w:t>Risk Management Part I</w:t>
      </w:r>
      <w:r>
        <w:rPr>
          <w:sz w:val="22"/>
        </w:rPr>
        <w:tab/>
        <w:t>I</w:t>
      </w:r>
      <w:r>
        <w:rPr>
          <w:sz w:val="22"/>
        </w:rPr>
        <w:tab/>
      </w:r>
      <w:r>
        <w:rPr>
          <w:sz w:val="22"/>
        </w:rPr>
        <w:tab/>
      </w:r>
      <w:r>
        <w:rPr>
          <w:sz w:val="22"/>
        </w:rPr>
        <w:tab/>
      </w:r>
      <w:r>
        <w:rPr>
          <w:sz w:val="22"/>
        </w:rPr>
        <w:tab/>
      </w:r>
      <w:r>
        <w:rPr>
          <w:sz w:val="22"/>
        </w:rPr>
        <w:tab/>
      </w:r>
      <w:r>
        <w:rPr>
          <w:sz w:val="22"/>
        </w:rPr>
        <w:tab/>
      </w:r>
      <w:r>
        <w:rPr>
          <w:sz w:val="22"/>
        </w:rPr>
        <w:tab/>
      </w:r>
      <w:r w:rsidR="00726308">
        <w:rPr>
          <w:rFonts w:hint="eastAsia"/>
          <w:sz w:val="22"/>
          <w:lang w:eastAsia="zh-TW"/>
        </w:rPr>
        <w:t>April 29</w:t>
      </w:r>
    </w:p>
    <w:p w:rsidR="00A94009" w:rsidRDefault="00A94009" w:rsidP="005E2B60">
      <w:pPr>
        <w:jc w:val="center"/>
        <w:rPr>
          <w:sz w:val="22"/>
        </w:rPr>
      </w:pPr>
    </w:p>
    <w:p w:rsidR="00A94009" w:rsidRPr="005E2B60" w:rsidRDefault="005E2B60" w:rsidP="005E2B60">
      <w:pPr>
        <w:numPr>
          <w:ilvl w:val="0"/>
          <w:numId w:val="9"/>
        </w:numPr>
        <w:jc w:val="both"/>
        <w:rPr>
          <w:sz w:val="22"/>
        </w:rPr>
      </w:pPr>
      <w:r>
        <w:rPr>
          <w:sz w:val="22"/>
        </w:rPr>
        <w:t>“</w:t>
      </w:r>
      <w:r w:rsidRPr="005E2B60">
        <w:rPr>
          <w:sz w:val="22"/>
        </w:rPr>
        <w:t xml:space="preserve">Optimization, </w:t>
      </w:r>
      <w:proofErr w:type="spellStart"/>
      <w:r w:rsidRPr="005E2B60">
        <w:rPr>
          <w:sz w:val="22"/>
        </w:rPr>
        <w:t>cointegration</w:t>
      </w:r>
      <w:proofErr w:type="spellEnd"/>
      <w:r w:rsidRPr="005E2B60">
        <w:rPr>
          <w:sz w:val="22"/>
        </w:rPr>
        <w:t xml:space="preserve"> and diversification gains</w:t>
      </w:r>
      <w:r>
        <w:rPr>
          <w:rFonts w:hint="eastAsia"/>
          <w:sz w:val="22"/>
          <w:lang w:eastAsia="zh-TW"/>
        </w:rPr>
        <w:t xml:space="preserve"> </w:t>
      </w:r>
      <w:r w:rsidRPr="005E2B60">
        <w:rPr>
          <w:sz w:val="22"/>
        </w:rPr>
        <w:t>from international portfolios: an out-of-sample analysis</w:t>
      </w:r>
      <w:r w:rsidRPr="005E2B60">
        <w:rPr>
          <w:rFonts w:hint="eastAsia"/>
          <w:sz w:val="22"/>
          <w:lang w:eastAsia="zh-TW"/>
        </w:rPr>
        <w:t>,</w:t>
      </w:r>
      <w:r w:rsidRPr="005E2B60">
        <w:rPr>
          <w:sz w:val="22"/>
          <w:lang w:eastAsia="zh-TW"/>
        </w:rPr>
        <w:t>”</w:t>
      </w:r>
      <w:r w:rsidRPr="005E2B60">
        <w:rPr>
          <w:rFonts w:hint="eastAsia"/>
          <w:sz w:val="22"/>
          <w:lang w:eastAsia="zh-TW"/>
        </w:rPr>
        <w:t xml:space="preserve"> </w:t>
      </w:r>
      <w:proofErr w:type="spellStart"/>
      <w:r w:rsidRPr="005E2B60">
        <w:rPr>
          <w:sz w:val="22"/>
        </w:rPr>
        <w:t>Chanwit</w:t>
      </w:r>
      <w:proofErr w:type="spellEnd"/>
      <w:r w:rsidRPr="005E2B60">
        <w:rPr>
          <w:sz w:val="22"/>
        </w:rPr>
        <w:t xml:space="preserve"> </w:t>
      </w:r>
      <w:proofErr w:type="spellStart"/>
      <w:r w:rsidRPr="005E2B60">
        <w:rPr>
          <w:sz w:val="22"/>
        </w:rPr>
        <w:t>Phengpis</w:t>
      </w:r>
      <w:proofErr w:type="spellEnd"/>
      <w:r>
        <w:rPr>
          <w:rFonts w:hint="eastAsia"/>
          <w:sz w:val="22"/>
          <w:lang w:eastAsia="zh-TW"/>
        </w:rPr>
        <w:t xml:space="preserve"> </w:t>
      </w:r>
      <w:r w:rsidRPr="005E2B60">
        <w:rPr>
          <w:rFonts w:hint="eastAsia"/>
          <w:sz w:val="22"/>
          <w:lang w:eastAsia="zh-TW"/>
        </w:rPr>
        <w:t>and Peggy E. Swanson,</w:t>
      </w:r>
      <w:r>
        <w:rPr>
          <w:sz w:val="22"/>
        </w:rPr>
        <w:t xml:space="preserve"> </w:t>
      </w:r>
      <w:r w:rsidRPr="005E2B60">
        <w:rPr>
          <w:sz w:val="22"/>
        </w:rPr>
        <w:t>Review of Quantitative Finance and Accounting</w:t>
      </w:r>
      <w:r>
        <w:rPr>
          <w:sz w:val="22"/>
        </w:rPr>
        <w:t xml:space="preserve">, </w:t>
      </w:r>
      <w:r>
        <w:rPr>
          <w:rFonts w:hint="eastAsia"/>
          <w:sz w:val="22"/>
          <w:lang w:eastAsia="zh-TW"/>
        </w:rPr>
        <w:t>36</w:t>
      </w:r>
      <w:r>
        <w:rPr>
          <w:sz w:val="22"/>
        </w:rPr>
        <w:t>, (</w:t>
      </w:r>
      <w:r>
        <w:rPr>
          <w:rFonts w:hint="eastAsia"/>
          <w:sz w:val="22"/>
          <w:lang w:eastAsia="zh-TW"/>
        </w:rPr>
        <w:t>2011</w:t>
      </w:r>
      <w:r>
        <w:rPr>
          <w:sz w:val="22"/>
        </w:rPr>
        <w:t xml:space="preserve">), </w:t>
      </w:r>
      <w:r>
        <w:rPr>
          <w:rFonts w:hint="eastAsia"/>
          <w:sz w:val="22"/>
          <w:lang w:eastAsia="zh-TW"/>
        </w:rPr>
        <w:t>269-286</w:t>
      </w:r>
      <w:r w:rsidRPr="005E2B60">
        <w:rPr>
          <w:sz w:val="22"/>
        </w:rPr>
        <w:t>.</w:t>
      </w:r>
    </w:p>
    <w:p w:rsidR="005E2B60" w:rsidRDefault="005E2B60" w:rsidP="005E2B60">
      <w:pPr>
        <w:jc w:val="both"/>
        <w:rPr>
          <w:sz w:val="22"/>
          <w:lang w:eastAsia="zh-TW"/>
        </w:rPr>
      </w:pPr>
    </w:p>
    <w:p w:rsidR="00A94009" w:rsidRDefault="00A94009">
      <w:pPr>
        <w:jc w:val="both"/>
        <w:rPr>
          <w:sz w:val="22"/>
          <w:lang w:eastAsia="zh-TW"/>
        </w:rPr>
      </w:pPr>
    </w:p>
    <w:p w:rsidR="00DE7244" w:rsidRDefault="00DE7244" w:rsidP="00DE7244">
      <w:pPr>
        <w:jc w:val="both"/>
        <w:rPr>
          <w:bCs/>
          <w:color w:val="000000"/>
          <w:sz w:val="22"/>
          <w:lang w:eastAsia="zh-TW"/>
        </w:rPr>
      </w:pPr>
      <w:r>
        <w:rPr>
          <w:rFonts w:hint="eastAsia"/>
          <w:sz w:val="22"/>
          <w:lang w:eastAsia="zh-TW"/>
        </w:rPr>
        <w:t xml:space="preserve">Alternative Investments </w:t>
      </w:r>
      <w:r>
        <w:rPr>
          <w:sz w:val="22"/>
          <w:lang w:eastAsia="zh-TW"/>
        </w:rPr>
        <w:t>–</w:t>
      </w:r>
      <w:r>
        <w:rPr>
          <w:rFonts w:hint="eastAsia"/>
          <w:sz w:val="22"/>
          <w:lang w:eastAsia="zh-TW"/>
        </w:rPr>
        <w:t xml:space="preserve"> Hedge funds</w:t>
      </w:r>
      <w:r>
        <w:rPr>
          <w:rFonts w:hint="eastAsia"/>
          <w:sz w:val="22"/>
          <w:lang w:eastAsia="zh-TW"/>
        </w:rPr>
        <w:tab/>
      </w:r>
      <w:r>
        <w:rPr>
          <w:sz w:val="22"/>
        </w:rPr>
        <w:tab/>
      </w:r>
      <w:r>
        <w:rPr>
          <w:sz w:val="22"/>
        </w:rPr>
        <w:tab/>
      </w:r>
      <w:r>
        <w:rPr>
          <w:sz w:val="22"/>
        </w:rPr>
        <w:tab/>
      </w:r>
      <w:r>
        <w:rPr>
          <w:sz w:val="22"/>
        </w:rPr>
        <w:tab/>
      </w:r>
      <w:r>
        <w:rPr>
          <w:sz w:val="22"/>
        </w:rPr>
        <w:tab/>
      </w:r>
      <w:r w:rsidR="00726308">
        <w:rPr>
          <w:rFonts w:hint="eastAsia"/>
          <w:bCs/>
          <w:color w:val="000000"/>
          <w:sz w:val="22"/>
          <w:lang w:eastAsia="zh-TW"/>
        </w:rPr>
        <w:t>May 6</w:t>
      </w:r>
    </w:p>
    <w:p w:rsidR="00DE7244" w:rsidRPr="005D4BB2" w:rsidRDefault="00DE7244" w:rsidP="00DE7244">
      <w:pPr>
        <w:jc w:val="both"/>
        <w:rPr>
          <w:sz w:val="22"/>
          <w:lang w:eastAsia="zh-TW"/>
        </w:rPr>
      </w:pPr>
    </w:p>
    <w:p w:rsidR="00DE7244" w:rsidRDefault="00DE7244" w:rsidP="00DE7244">
      <w:pPr>
        <w:numPr>
          <w:ilvl w:val="0"/>
          <w:numId w:val="10"/>
        </w:numPr>
        <w:jc w:val="both"/>
        <w:rPr>
          <w:sz w:val="22"/>
        </w:rPr>
      </w:pPr>
      <w:r>
        <w:rPr>
          <w:sz w:val="22"/>
          <w:lang w:eastAsia="zh-TW"/>
        </w:rPr>
        <w:t>“</w:t>
      </w:r>
      <w:r>
        <w:rPr>
          <w:rFonts w:hint="eastAsia"/>
          <w:sz w:val="22"/>
          <w:lang w:eastAsia="zh-TW"/>
        </w:rPr>
        <w:t>The Reality of Hedge Funds</w:t>
      </w:r>
      <w:r>
        <w:rPr>
          <w:sz w:val="22"/>
          <w:lang w:eastAsia="zh-TW"/>
        </w:rPr>
        <w:t>”</w:t>
      </w:r>
      <w:r>
        <w:rPr>
          <w:rFonts w:hint="eastAsia"/>
          <w:sz w:val="22"/>
          <w:lang w:eastAsia="zh-TW"/>
        </w:rPr>
        <w:t xml:space="preserve"> pp. 6-17 and pp.32-36 by Dave Purcell and Paul Crowley, Journal of Investing (Institutional Investor, Fall 1999)</w:t>
      </w:r>
    </w:p>
    <w:p w:rsidR="00DE7244" w:rsidRPr="00DE7244" w:rsidRDefault="00DE7244" w:rsidP="00DE7244">
      <w:pPr>
        <w:numPr>
          <w:ilvl w:val="0"/>
          <w:numId w:val="10"/>
        </w:numPr>
        <w:jc w:val="both"/>
        <w:rPr>
          <w:sz w:val="22"/>
        </w:rPr>
      </w:pPr>
      <w:r>
        <w:rPr>
          <w:sz w:val="22"/>
          <w:lang w:eastAsia="zh-TW"/>
        </w:rPr>
        <w:t>“</w:t>
      </w:r>
      <w:r>
        <w:rPr>
          <w:rFonts w:hint="eastAsia"/>
          <w:sz w:val="22"/>
          <w:lang w:eastAsia="zh-TW"/>
        </w:rPr>
        <w:t>What Drives ETF Flows,</w:t>
      </w:r>
      <w:r>
        <w:rPr>
          <w:sz w:val="22"/>
          <w:lang w:eastAsia="zh-TW"/>
        </w:rPr>
        <w:t>”</w:t>
      </w:r>
      <w:r>
        <w:rPr>
          <w:rFonts w:hint="eastAsia"/>
          <w:sz w:val="22"/>
          <w:lang w:eastAsia="zh-TW"/>
        </w:rPr>
        <w:t xml:space="preserve"> </w:t>
      </w:r>
      <w:r w:rsidRPr="00100C8C">
        <w:rPr>
          <w:sz w:val="22"/>
          <w:lang w:eastAsia="zh-TW"/>
        </w:rPr>
        <w:t>Christopher P. Clifford</w:t>
      </w:r>
      <w:r>
        <w:rPr>
          <w:rFonts w:hint="eastAsia"/>
          <w:sz w:val="22"/>
          <w:lang w:eastAsia="zh-TW"/>
        </w:rPr>
        <w:t xml:space="preserve">, </w:t>
      </w:r>
      <w:r w:rsidRPr="00100C8C">
        <w:rPr>
          <w:sz w:val="22"/>
          <w:lang w:eastAsia="zh-TW"/>
        </w:rPr>
        <w:t>Jon A. Fulkerson</w:t>
      </w:r>
      <w:r>
        <w:rPr>
          <w:rFonts w:ascii="Cambria Math" w:hAnsi="Cambria Math" w:cs="Cambria Math" w:hint="eastAsia"/>
          <w:sz w:val="22"/>
          <w:lang w:eastAsia="zh-TW"/>
        </w:rPr>
        <w:t xml:space="preserve">, and </w:t>
      </w:r>
      <w:r w:rsidRPr="00100C8C">
        <w:rPr>
          <w:rFonts w:ascii="Cambria Math" w:hAnsi="Cambria Math" w:cs="Cambria Math"/>
          <w:sz w:val="22"/>
          <w:lang w:eastAsia="zh-TW"/>
        </w:rPr>
        <w:t>Bradford D. Jordan</w:t>
      </w:r>
      <w:r>
        <w:rPr>
          <w:rFonts w:ascii="Cambria Math" w:hAnsi="Cambria Math" w:cs="Cambria Math" w:hint="eastAsia"/>
          <w:sz w:val="22"/>
          <w:lang w:eastAsia="zh-TW"/>
        </w:rPr>
        <w:t xml:space="preserve">, </w:t>
      </w:r>
      <w:proofErr w:type="gramStart"/>
      <w:r>
        <w:rPr>
          <w:rFonts w:ascii="Cambria Math" w:hAnsi="Cambria Math" w:cs="Cambria Math" w:hint="eastAsia"/>
          <w:sz w:val="22"/>
          <w:lang w:eastAsia="zh-TW"/>
        </w:rPr>
        <w:t>T</w:t>
      </w:r>
      <w:r>
        <w:rPr>
          <w:rFonts w:ascii="Cambria Math" w:hAnsi="Cambria Math" w:cs="Cambria Math"/>
          <w:sz w:val="22"/>
          <w:lang w:eastAsia="zh-TW"/>
        </w:rPr>
        <w:t>h</w:t>
      </w:r>
      <w:r>
        <w:rPr>
          <w:rFonts w:ascii="Cambria Math" w:hAnsi="Cambria Math" w:cs="Cambria Math" w:hint="eastAsia"/>
          <w:sz w:val="22"/>
          <w:lang w:eastAsia="zh-TW"/>
        </w:rPr>
        <w:t>e</w:t>
      </w:r>
      <w:proofErr w:type="gramEnd"/>
      <w:r>
        <w:rPr>
          <w:rFonts w:ascii="Cambria Math" w:hAnsi="Cambria Math" w:cs="Cambria Math" w:hint="eastAsia"/>
          <w:sz w:val="22"/>
          <w:lang w:eastAsia="zh-TW"/>
        </w:rPr>
        <w:t xml:space="preserve"> Financial Review, 49, (2014), 619-642.</w:t>
      </w:r>
    </w:p>
    <w:p w:rsidR="00DE7244" w:rsidRDefault="00DE7244">
      <w:pPr>
        <w:jc w:val="both"/>
        <w:rPr>
          <w:sz w:val="22"/>
          <w:lang w:eastAsia="zh-TW"/>
        </w:rPr>
      </w:pPr>
    </w:p>
    <w:p w:rsidR="00A94009" w:rsidRDefault="00A94009">
      <w:pPr>
        <w:pStyle w:val="2"/>
        <w:rPr>
          <w:rFonts w:ascii="Times New Roman" w:hAnsi="Times New Roman"/>
          <w:bCs/>
          <w:lang w:eastAsia="zh-TW"/>
        </w:rPr>
      </w:pPr>
      <w:r>
        <w:rPr>
          <w:rFonts w:ascii="Times New Roman" w:hAnsi="Times New Roman"/>
          <w:bCs/>
        </w:rPr>
        <w:t>Midterm Exam II</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00726308">
        <w:rPr>
          <w:rFonts w:ascii="Times New Roman" w:hAnsi="Times New Roman" w:hint="eastAsia"/>
          <w:bCs/>
          <w:lang w:eastAsia="zh-TW"/>
        </w:rPr>
        <w:t>May 13</w:t>
      </w:r>
    </w:p>
    <w:p w:rsidR="00A94009" w:rsidRDefault="00A94009">
      <w:pPr>
        <w:jc w:val="both"/>
        <w:rPr>
          <w:sz w:val="22"/>
          <w:lang w:eastAsia="zh-TW"/>
        </w:rPr>
      </w:pPr>
    </w:p>
    <w:p w:rsidR="00A94009" w:rsidRDefault="00A94009">
      <w:pPr>
        <w:jc w:val="both"/>
        <w:rPr>
          <w:sz w:val="22"/>
          <w:lang w:eastAsia="zh-TW"/>
        </w:rPr>
      </w:pPr>
      <w:r>
        <w:rPr>
          <w:sz w:val="22"/>
        </w:rPr>
        <w:t>Performance Evaluation Part I</w:t>
      </w:r>
      <w:r>
        <w:rPr>
          <w:sz w:val="22"/>
        </w:rPr>
        <w:tab/>
      </w:r>
      <w:r>
        <w:rPr>
          <w:sz w:val="22"/>
        </w:rPr>
        <w:tab/>
      </w:r>
      <w:r>
        <w:rPr>
          <w:sz w:val="22"/>
        </w:rPr>
        <w:tab/>
      </w:r>
      <w:r>
        <w:rPr>
          <w:sz w:val="22"/>
        </w:rPr>
        <w:tab/>
      </w:r>
      <w:r>
        <w:rPr>
          <w:sz w:val="22"/>
        </w:rPr>
        <w:tab/>
      </w:r>
      <w:r>
        <w:rPr>
          <w:sz w:val="22"/>
        </w:rPr>
        <w:tab/>
      </w:r>
      <w:r>
        <w:rPr>
          <w:sz w:val="22"/>
        </w:rPr>
        <w:tab/>
      </w:r>
      <w:r w:rsidR="00726308">
        <w:rPr>
          <w:rFonts w:hint="eastAsia"/>
          <w:sz w:val="22"/>
          <w:lang w:eastAsia="zh-TW"/>
        </w:rPr>
        <w:t>May 20</w:t>
      </w:r>
    </w:p>
    <w:p w:rsidR="00A94009" w:rsidRDefault="00A94009">
      <w:pPr>
        <w:jc w:val="both"/>
        <w:rPr>
          <w:sz w:val="22"/>
        </w:rPr>
      </w:pPr>
    </w:p>
    <w:p w:rsidR="00A94009" w:rsidRDefault="00A94009">
      <w:pPr>
        <w:numPr>
          <w:ilvl w:val="0"/>
          <w:numId w:val="8"/>
        </w:numPr>
        <w:jc w:val="both"/>
        <w:rPr>
          <w:sz w:val="22"/>
        </w:rPr>
      </w:pPr>
      <w:r>
        <w:rPr>
          <w:sz w:val="22"/>
        </w:rPr>
        <w:t>“Evaluation of Portfolio Performance,” Ch.24, Modern Portfolio Theory and Investment Analysis, 5</w:t>
      </w:r>
      <w:r>
        <w:rPr>
          <w:sz w:val="22"/>
          <w:vertAlign w:val="superscript"/>
        </w:rPr>
        <w:t>th</w:t>
      </w:r>
      <w:r>
        <w:rPr>
          <w:sz w:val="22"/>
        </w:rPr>
        <w:t xml:space="preserve"> edition, Edwin Elton and Martin Gruber (John Wiley &amp; Sons, 1995).</w:t>
      </w:r>
    </w:p>
    <w:p w:rsidR="004A4757" w:rsidRDefault="00A94009">
      <w:pPr>
        <w:numPr>
          <w:ilvl w:val="0"/>
          <w:numId w:val="8"/>
        </w:numPr>
        <w:jc w:val="both"/>
        <w:rPr>
          <w:sz w:val="22"/>
        </w:rPr>
      </w:pPr>
      <w:r>
        <w:rPr>
          <w:sz w:val="22"/>
        </w:rPr>
        <w:t xml:space="preserve">“Asset Allocation: Management Style and Performance Measurement,” William F. Sharpe, </w:t>
      </w:r>
      <w:proofErr w:type="gramStart"/>
      <w:r>
        <w:rPr>
          <w:sz w:val="22"/>
        </w:rPr>
        <w:t>The</w:t>
      </w:r>
      <w:proofErr w:type="gramEnd"/>
      <w:r>
        <w:rPr>
          <w:sz w:val="22"/>
        </w:rPr>
        <w:t xml:space="preserve"> Journal of Portfolio Management (Institutional Investor, Winter 1992).</w:t>
      </w:r>
    </w:p>
    <w:p w:rsidR="00A94009" w:rsidRDefault="00A94009" w:rsidP="004A4757">
      <w:pPr>
        <w:jc w:val="both"/>
        <w:rPr>
          <w:sz w:val="22"/>
          <w:lang w:eastAsia="zh-TW"/>
        </w:rPr>
      </w:pPr>
    </w:p>
    <w:p w:rsidR="004A4757" w:rsidRDefault="004A4757" w:rsidP="004A4757">
      <w:pPr>
        <w:jc w:val="both"/>
        <w:rPr>
          <w:sz w:val="22"/>
          <w:lang w:eastAsia="zh-TW"/>
        </w:rPr>
      </w:pPr>
      <w:r>
        <w:rPr>
          <w:sz w:val="22"/>
        </w:rPr>
        <w:t>Performance Evaluation Part I</w:t>
      </w:r>
      <w:r>
        <w:rPr>
          <w:rFonts w:hint="eastAsia"/>
          <w:sz w:val="22"/>
          <w:lang w:eastAsia="zh-TW"/>
        </w:rPr>
        <w:t>I</w:t>
      </w:r>
      <w:r>
        <w:rPr>
          <w:sz w:val="22"/>
        </w:rPr>
        <w:tab/>
      </w:r>
      <w:r>
        <w:rPr>
          <w:sz w:val="22"/>
        </w:rPr>
        <w:tab/>
      </w:r>
      <w:r>
        <w:rPr>
          <w:sz w:val="22"/>
        </w:rPr>
        <w:tab/>
      </w:r>
      <w:r>
        <w:rPr>
          <w:sz w:val="22"/>
        </w:rPr>
        <w:tab/>
      </w:r>
      <w:r>
        <w:rPr>
          <w:sz w:val="22"/>
        </w:rPr>
        <w:tab/>
      </w:r>
      <w:r>
        <w:rPr>
          <w:sz w:val="22"/>
        </w:rPr>
        <w:tab/>
      </w:r>
      <w:r>
        <w:rPr>
          <w:sz w:val="22"/>
        </w:rPr>
        <w:tab/>
      </w:r>
      <w:r w:rsidR="00726308">
        <w:rPr>
          <w:rFonts w:hint="eastAsia"/>
          <w:sz w:val="22"/>
          <w:lang w:eastAsia="zh-TW"/>
        </w:rPr>
        <w:t>May 27</w:t>
      </w:r>
    </w:p>
    <w:p w:rsidR="004A4757" w:rsidRPr="004A4757" w:rsidRDefault="004A4757" w:rsidP="004A4757">
      <w:pPr>
        <w:jc w:val="both"/>
        <w:rPr>
          <w:sz w:val="22"/>
          <w:lang w:eastAsia="zh-TW"/>
        </w:rPr>
      </w:pPr>
    </w:p>
    <w:p w:rsidR="00A94009" w:rsidRDefault="00A94009">
      <w:pPr>
        <w:numPr>
          <w:ilvl w:val="0"/>
          <w:numId w:val="8"/>
        </w:numPr>
        <w:jc w:val="both"/>
        <w:rPr>
          <w:sz w:val="22"/>
        </w:rPr>
      </w:pPr>
      <w:r>
        <w:rPr>
          <w:sz w:val="22"/>
        </w:rPr>
        <w:t xml:space="preserve">“Benchmark Portfolios and the Manager/Plan Sponsor Relationship,” Jeffery Bailey, Thomas Richards, and David Tierney, Current Topics in Investment Management, Frank </w:t>
      </w:r>
      <w:proofErr w:type="spellStart"/>
      <w:r>
        <w:rPr>
          <w:sz w:val="22"/>
        </w:rPr>
        <w:t>Fabozzi</w:t>
      </w:r>
      <w:proofErr w:type="spellEnd"/>
      <w:r>
        <w:rPr>
          <w:sz w:val="22"/>
        </w:rPr>
        <w:t xml:space="preserve"> and T. </w:t>
      </w:r>
      <w:proofErr w:type="spellStart"/>
      <w:r>
        <w:rPr>
          <w:sz w:val="22"/>
        </w:rPr>
        <w:t>Dessa</w:t>
      </w:r>
      <w:proofErr w:type="spellEnd"/>
      <w:r>
        <w:rPr>
          <w:sz w:val="22"/>
        </w:rPr>
        <w:t xml:space="preserve"> </w:t>
      </w:r>
      <w:proofErr w:type="spellStart"/>
      <w:r>
        <w:rPr>
          <w:sz w:val="22"/>
        </w:rPr>
        <w:t>Fabozzi</w:t>
      </w:r>
      <w:proofErr w:type="spellEnd"/>
      <w:r>
        <w:rPr>
          <w:sz w:val="22"/>
        </w:rPr>
        <w:t>, eds. (Harper Collins 1990).</w:t>
      </w:r>
    </w:p>
    <w:p w:rsidR="00A94009" w:rsidRDefault="00A94009">
      <w:pPr>
        <w:numPr>
          <w:ilvl w:val="0"/>
          <w:numId w:val="8"/>
        </w:numPr>
        <w:jc w:val="both"/>
        <w:rPr>
          <w:sz w:val="22"/>
        </w:rPr>
      </w:pPr>
      <w:r>
        <w:rPr>
          <w:sz w:val="22"/>
        </w:rPr>
        <w:t xml:space="preserve">“Are Manager Universe Acceptable Performance Benchmarks?” Jeffery Bailey, </w:t>
      </w:r>
      <w:proofErr w:type="gramStart"/>
      <w:r>
        <w:rPr>
          <w:sz w:val="22"/>
        </w:rPr>
        <w:t>The</w:t>
      </w:r>
      <w:proofErr w:type="gramEnd"/>
      <w:r>
        <w:rPr>
          <w:sz w:val="22"/>
        </w:rPr>
        <w:t xml:space="preserve"> Journal of Portfolio Management (Institutional Investor, Spring 1992).</w:t>
      </w:r>
    </w:p>
    <w:p w:rsidR="00320280" w:rsidRDefault="00320280" w:rsidP="00320280">
      <w:pPr>
        <w:ind w:left="360"/>
        <w:jc w:val="both"/>
        <w:rPr>
          <w:sz w:val="22"/>
        </w:rPr>
      </w:pPr>
    </w:p>
    <w:p w:rsidR="00320280" w:rsidRDefault="00320280" w:rsidP="00320280">
      <w:pPr>
        <w:jc w:val="both"/>
        <w:rPr>
          <w:sz w:val="22"/>
          <w:lang w:eastAsia="zh-TW"/>
        </w:rPr>
      </w:pPr>
      <w:r>
        <w:rPr>
          <w:rFonts w:hint="eastAsia"/>
          <w:sz w:val="22"/>
          <w:lang w:eastAsia="zh-TW"/>
        </w:rPr>
        <w:t>International/Emerging Markets</w:t>
      </w:r>
      <w:r>
        <w:rPr>
          <w:rFonts w:hint="eastAsia"/>
          <w:sz w:val="22"/>
          <w:lang w:eastAsia="zh-TW"/>
        </w:rPr>
        <w:tab/>
      </w:r>
      <w:r>
        <w:rPr>
          <w:sz w:val="22"/>
        </w:rPr>
        <w:tab/>
      </w:r>
      <w:r>
        <w:rPr>
          <w:sz w:val="22"/>
        </w:rPr>
        <w:tab/>
      </w:r>
      <w:r>
        <w:rPr>
          <w:sz w:val="22"/>
        </w:rPr>
        <w:tab/>
      </w:r>
      <w:r>
        <w:rPr>
          <w:sz w:val="22"/>
        </w:rPr>
        <w:tab/>
      </w:r>
      <w:r>
        <w:rPr>
          <w:sz w:val="22"/>
        </w:rPr>
        <w:tab/>
      </w:r>
      <w:r>
        <w:rPr>
          <w:sz w:val="22"/>
        </w:rPr>
        <w:tab/>
      </w:r>
      <w:r w:rsidR="00726308">
        <w:rPr>
          <w:rFonts w:hint="eastAsia"/>
          <w:sz w:val="22"/>
          <w:lang w:eastAsia="zh-TW"/>
        </w:rPr>
        <w:t>June 3</w:t>
      </w:r>
    </w:p>
    <w:p w:rsidR="00DE7244" w:rsidRDefault="00DE7244" w:rsidP="00320280">
      <w:pPr>
        <w:jc w:val="both"/>
        <w:rPr>
          <w:sz w:val="22"/>
          <w:lang w:eastAsia="zh-TW"/>
        </w:rPr>
      </w:pPr>
    </w:p>
    <w:p w:rsidR="00320280" w:rsidRDefault="00320280" w:rsidP="00320280">
      <w:pPr>
        <w:numPr>
          <w:ilvl w:val="0"/>
          <w:numId w:val="8"/>
        </w:numPr>
        <w:jc w:val="both"/>
        <w:rPr>
          <w:sz w:val="22"/>
        </w:rPr>
      </w:pPr>
      <w:r>
        <w:rPr>
          <w:sz w:val="22"/>
        </w:rPr>
        <w:t>“</w:t>
      </w:r>
      <w:r>
        <w:rPr>
          <w:rFonts w:hint="eastAsia"/>
          <w:sz w:val="22"/>
          <w:lang w:eastAsia="zh-TW"/>
        </w:rPr>
        <w:t>Twenty Years of</w:t>
      </w:r>
      <w:r w:rsidR="00BD127A">
        <w:rPr>
          <w:rFonts w:hint="eastAsia"/>
          <w:sz w:val="22"/>
          <w:lang w:eastAsia="zh-TW"/>
        </w:rPr>
        <w:t xml:space="preserve"> </w:t>
      </w:r>
      <w:r>
        <w:rPr>
          <w:rFonts w:hint="eastAsia"/>
          <w:sz w:val="22"/>
          <w:lang w:eastAsia="zh-TW"/>
        </w:rPr>
        <w:t>International Equity Investing,</w:t>
      </w:r>
      <w:r>
        <w:rPr>
          <w:sz w:val="22"/>
          <w:lang w:eastAsia="zh-TW"/>
        </w:rPr>
        <w:t>”</w:t>
      </w:r>
      <w:r>
        <w:rPr>
          <w:rFonts w:hint="eastAsia"/>
          <w:sz w:val="22"/>
          <w:lang w:eastAsia="zh-TW"/>
        </w:rPr>
        <w:t xml:space="preserve"> Richard O. Michaud, Gary L. Bergstrom, Ronald D. </w:t>
      </w:r>
      <w:proofErr w:type="spellStart"/>
      <w:r>
        <w:rPr>
          <w:rFonts w:hint="eastAsia"/>
          <w:sz w:val="22"/>
          <w:lang w:eastAsia="zh-TW"/>
        </w:rPr>
        <w:t>Frashure</w:t>
      </w:r>
      <w:proofErr w:type="spellEnd"/>
      <w:r>
        <w:rPr>
          <w:rFonts w:hint="eastAsia"/>
          <w:sz w:val="22"/>
          <w:lang w:eastAsia="zh-TW"/>
        </w:rPr>
        <w:t xml:space="preserve">, and Brian K. </w:t>
      </w:r>
      <w:proofErr w:type="spellStart"/>
      <w:r>
        <w:rPr>
          <w:rFonts w:hint="eastAsia"/>
          <w:sz w:val="22"/>
          <w:lang w:eastAsia="zh-TW"/>
        </w:rPr>
        <w:t>Wolahan</w:t>
      </w:r>
      <w:proofErr w:type="spellEnd"/>
      <w:r>
        <w:rPr>
          <w:rFonts w:hint="eastAsia"/>
          <w:sz w:val="22"/>
          <w:lang w:eastAsia="zh-TW"/>
        </w:rPr>
        <w:t>, The Journal</w:t>
      </w:r>
      <w:r w:rsidR="00BD127A">
        <w:rPr>
          <w:rFonts w:hint="eastAsia"/>
          <w:sz w:val="22"/>
          <w:lang w:eastAsia="zh-TW"/>
        </w:rPr>
        <w:t xml:space="preserve"> </w:t>
      </w:r>
      <w:r>
        <w:rPr>
          <w:rFonts w:hint="eastAsia"/>
          <w:sz w:val="22"/>
          <w:lang w:eastAsia="zh-TW"/>
        </w:rPr>
        <w:t>of Portfolio Management (Institutional Investor, Fall 1999)</w:t>
      </w:r>
    </w:p>
    <w:p w:rsidR="00320280" w:rsidRDefault="00320280" w:rsidP="00320280">
      <w:pPr>
        <w:numPr>
          <w:ilvl w:val="0"/>
          <w:numId w:val="8"/>
        </w:numPr>
        <w:jc w:val="both"/>
        <w:rPr>
          <w:sz w:val="22"/>
        </w:rPr>
      </w:pPr>
      <w:r>
        <w:rPr>
          <w:sz w:val="22"/>
          <w:lang w:eastAsia="zh-TW"/>
        </w:rPr>
        <w:t>“</w:t>
      </w:r>
      <w:r>
        <w:rPr>
          <w:rFonts w:hint="eastAsia"/>
          <w:sz w:val="22"/>
          <w:lang w:eastAsia="zh-TW"/>
        </w:rPr>
        <w:t>International Value and Growth Stock Returns,</w:t>
      </w:r>
      <w:r>
        <w:rPr>
          <w:sz w:val="22"/>
          <w:lang w:eastAsia="zh-TW"/>
        </w:rPr>
        <w:t>”</w:t>
      </w:r>
      <w:r>
        <w:rPr>
          <w:rFonts w:hint="eastAsia"/>
          <w:sz w:val="22"/>
          <w:lang w:eastAsia="zh-TW"/>
        </w:rPr>
        <w:t xml:space="preserve"> Carlo </w:t>
      </w:r>
      <w:proofErr w:type="spellStart"/>
      <w:r>
        <w:rPr>
          <w:rFonts w:hint="eastAsia"/>
          <w:sz w:val="22"/>
          <w:lang w:eastAsia="zh-TW"/>
        </w:rPr>
        <w:t>Capaul</w:t>
      </w:r>
      <w:proofErr w:type="spellEnd"/>
      <w:r>
        <w:rPr>
          <w:rFonts w:hint="eastAsia"/>
          <w:sz w:val="22"/>
          <w:lang w:eastAsia="zh-TW"/>
        </w:rPr>
        <w:t>,</w:t>
      </w:r>
      <w:r w:rsidR="00BD49DA">
        <w:rPr>
          <w:rFonts w:hint="eastAsia"/>
          <w:sz w:val="22"/>
          <w:lang w:eastAsia="zh-TW"/>
        </w:rPr>
        <w:t xml:space="preserve"> </w:t>
      </w:r>
      <w:r>
        <w:rPr>
          <w:rFonts w:hint="eastAsia"/>
          <w:sz w:val="22"/>
          <w:lang w:eastAsia="zh-TW"/>
        </w:rPr>
        <w:t>Ian Rowley, and William Sharpe, Financial Analysts Journal (AIMR, January/February 1993)</w:t>
      </w:r>
    </w:p>
    <w:p w:rsidR="00DE7244" w:rsidRDefault="00DE7244">
      <w:pPr>
        <w:jc w:val="both"/>
        <w:rPr>
          <w:sz w:val="22"/>
          <w:lang w:eastAsia="zh-TW"/>
        </w:rPr>
      </w:pPr>
    </w:p>
    <w:p w:rsidR="00A94009" w:rsidRPr="00F33941" w:rsidRDefault="00A94009">
      <w:pPr>
        <w:jc w:val="both"/>
        <w:rPr>
          <w:sz w:val="22"/>
          <w:lang w:eastAsia="zh-TW"/>
        </w:rPr>
      </w:pPr>
      <w:r>
        <w:rPr>
          <w:sz w:val="22"/>
        </w:rPr>
        <w:t xml:space="preserve">Style Investing </w:t>
      </w:r>
      <w:r w:rsidR="00BA44D0">
        <w:rPr>
          <w:sz w:val="22"/>
        </w:rPr>
        <w:tab/>
      </w:r>
      <w:r w:rsidR="00BA44D0">
        <w:rPr>
          <w:sz w:val="22"/>
        </w:rPr>
        <w:tab/>
      </w:r>
      <w:r w:rsidR="00BA44D0">
        <w:rPr>
          <w:sz w:val="22"/>
        </w:rPr>
        <w:tab/>
      </w:r>
      <w:r w:rsidR="00BA44D0">
        <w:rPr>
          <w:sz w:val="22"/>
        </w:rPr>
        <w:tab/>
      </w:r>
      <w:r w:rsidR="00BA44D0">
        <w:rPr>
          <w:sz w:val="22"/>
        </w:rPr>
        <w:tab/>
      </w:r>
      <w:r w:rsidR="00BA44D0">
        <w:rPr>
          <w:sz w:val="22"/>
        </w:rPr>
        <w:tab/>
      </w:r>
      <w:r w:rsidR="00BA44D0">
        <w:rPr>
          <w:sz w:val="22"/>
        </w:rPr>
        <w:tab/>
      </w:r>
      <w:r w:rsidR="00BA44D0">
        <w:rPr>
          <w:sz w:val="22"/>
        </w:rPr>
        <w:tab/>
      </w:r>
      <w:r w:rsidR="00BA44D0">
        <w:rPr>
          <w:sz w:val="22"/>
        </w:rPr>
        <w:tab/>
      </w:r>
      <w:r w:rsidR="00726308">
        <w:rPr>
          <w:rFonts w:hint="eastAsia"/>
          <w:sz w:val="22"/>
          <w:lang w:eastAsia="zh-TW"/>
        </w:rPr>
        <w:t>June 10</w:t>
      </w:r>
    </w:p>
    <w:p w:rsidR="00A94009" w:rsidRDefault="00A94009">
      <w:pPr>
        <w:jc w:val="both"/>
        <w:rPr>
          <w:sz w:val="22"/>
        </w:rPr>
      </w:pPr>
    </w:p>
    <w:p w:rsidR="00A94009" w:rsidRDefault="00A94009">
      <w:pPr>
        <w:numPr>
          <w:ilvl w:val="0"/>
          <w:numId w:val="9"/>
        </w:numPr>
        <w:jc w:val="both"/>
        <w:rPr>
          <w:b/>
          <w:bCs/>
          <w:color w:val="000000"/>
          <w:sz w:val="22"/>
        </w:rPr>
      </w:pPr>
      <w:r>
        <w:rPr>
          <w:sz w:val="22"/>
        </w:rPr>
        <w:t xml:space="preserve">Style Investing, Richard </w:t>
      </w:r>
      <w:proofErr w:type="spellStart"/>
      <w:r>
        <w:rPr>
          <w:sz w:val="22"/>
        </w:rPr>
        <w:t>Berstein</w:t>
      </w:r>
      <w:proofErr w:type="spellEnd"/>
      <w:r>
        <w:rPr>
          <w:sz w:val="22"/>
        </w:rPr>
        <w:t xml:space="preserve"> (Wiley, 1995).</w:t>
      </w:r>
    </w:p>
    <w:p w:rsidR="00A94009" w:rsidRDefault="00A94009">
      <w:pPr>
        <w:numPr>
          <w:ilvl w:val="1"/>
          <w:numId w:val="9"/>
        </w:numPr>
        <w:jc w:val="both"/>
        <w:rPr>
          <w:b/>
          <w:bCs/>
          <w:color w:val="000000"/>
          <w:sz w:val="22"/>
        </w:rPr>
      </w:pPr>
      <w:r>
        <w:rPr>
          <w:color w:val="000000"/>
          <w:sz w:val="22"/>
        </w:rPr>
        <w:t>“Understanding and Defining Market Segmentation,” Ch.1</w:t>
      </w:r>
    </w:p>
    <w:p w:rsidR="00A94009" w:rsidRDefault="00A94009">
      <w:pPr>
        <w:numPr>
          <w:ilvl w:val="1"/>
          <w:numId w:val="9"/>
        </w:numPr>
        <w:jc w:val="both"/>
        <w:rPr>
          <w:b/>
          <w:bCs/>
          <w:color w:val="000000"/>
          <w:sz w:val="22"/>
        </w:rPr>
      </w:pPr>
      <w:r>
        <w:rPr>
          <w:color w:val="000000"/>
          <w:sz w:val="22"/>
        </w:rPr>
        <w:t>“The Economics of Nominal Earnings Growth and Investor Risk Perception,” Ch.2</w:t>
      </w:r>
    </w:p>
    <w:p w:rsidR="00A94009" w:rsidRDefault="00A94009">
      <w:pPr>
        <w:numPr>
          <w:ilvl w:val="1"/>
          <w:numId w:val="9"/>
        </w:numPr>
        <w:jc w:val="both"/>
        <w:rPr>
          <w:b/>
          <w:bCs/>
          <w:color w:val="000000"/>
          <w:sz w:val="22"/>
        </w:rPr>
      </w:pPr>
      <w:r>
        <w:rPr>
          <w:color w:val="000000"/>
          <w:sz w:val="22"/>
        </w:rPr>
        <w:t>“The Importance of Expectation,” Ch.3</w:t>
      </w:r>
    </w:p>
    <w:p w:rsidR="00A94009" w:rsidRPr="008377B3" w:rsidRDefault="00A94009">
      <w:pPr>
        <w:numPr>
          <w:ilvl w:val="1"/>
          <w:numId w:val="9"/>
        </w:numPr>
        <w:jc w:val="both"/>
        <w:rPr>
          <w:b/>
          <w:bCs/>
          <w:color w:val="000000"/>
          <w:sz w:val="22"/>
        </w:rPr>
      </w:pPr>
      <w:r>
        <w:rPr>
          <w:color w:val="000000"/>
          <w:sz w:val="22"/>
        </w:rPr>
        <w:t>“Growth vs. Value,” Ch.4</w:t>
      </w:r>
    </w:p>
    <w:p w:rsidR="008377B3" w:rsidRPr="008377B3" w:rsidRDefault="008377B3" w:rsidP="008377B3">
      <w:pPr>
        <w:ind w:left="1080"/>
        <w:jc w:val="both"/>
        <w:rPr>
          <w:b/>
          <w:bCs/>
          <w:color w:val="000000"/>
          <w:sz w:val="22"/>
        </w:rPr>
      </w:pPr>
    </w:p>
    <w:p w:rsidR="008377B3" w:rsidRPr="003127A8" w:rsidRDefault="008377B3" w:rsidP="003127A8">
      <w:pPr>
        <w:numPr>
          <w:ilvl w:val="0"/>
          <w:numId w:val="9"/>
        </w:numPr>
        <w:jc w:val="both"/>
        <w:rPr>
          <w:sz w:val="22"/>
        </w:rPr>
      </w:pPr>
      <w:r>
        <w:rPr>
          <w:sz w:val="22"/>
        </w:rPr>
        <w:lastRenderedPageBreak/>
        <w:t>“Determinants of Equity Style</w:t>
      </w:r>
      <w:r>
        <w:rPr>
          <w:rFonts w:hint="eastAsia"/>
          <w:sz w:val="22"/>
          <w:lang w:eastAsia="zh-TW"/>
        </w:rPr>
        <w:t>,</w:t>
      </w:r>
      <w:r>
        <w:rPr>
          <w:sz w:val="22"/>
          <w:lang w:eastAsia="zh-TW"/>
        </w:rPr>
        <w:t>”</w:t>
      </w:r>
      <w:r>
        <w:rPr>
          <w:sz w:val="22"/>
        </w:rPr>
        <w:t xml:space="preserve"> John G. Gallo</w:t>
      </w:r>
      <w:r>
        <w:rPr>
          <w:rFonts w:hint="eastAsia"/>
          <w:sz w:val="22"/>
          <w:lang w:eastAsia="zh-TW"/>
        </w:rPr>
        <w:t xml:space="preserve">, </w:t>
      </w:r>
      <w:proofErr w:type="spellStart"/>
      <w:r>
        <w:rPr>
          <w:sz w:val="22"/>
        </w:rPr>
        <w:t>Chanwit</w:t>
      </w:r>
      <w:proofErr w:type="spellEnd"/>
      <w:r>
        <w:rPr>
          <w:sz w:val="22"/>
        </w:rPr>
        <w:t xml:space="preserve"> </w:t>
      </w:r>
      <w:proofErr w:type="spellStart"/>
      <w:r>
        <w:rPr>
          <w:sz w:val="22"/>
        </w:rPr>
        <w:t>Phengpis</w:t>
      </w:r>
      <w:proofErr w:type="spellEnd"/>
      <w:r w:rsidRPr="008377B3">
        <w:rPr>
          <w:sz w:val="22"/>
        </w:rPr>
        <w:t>,</w:t>
      </w:r>
      <w:r>
        <w:rPr>
          <w:rFonts w:hint="eastAsia"/>
          <w:sz w:val="22"/>
          <w:lang w:eastAsia="zh-TW"/>
        </w:rPr>
        <w:t xml:space="preserve"> and Peggy E. Swanson,</w:t>
      </w:r>
      <w:r w:rsidRPr="008377B3">
        <w:rPr>
          <w:sz w:val="22"/>
        </w:rPr>
        <w:t xml:space="preserve"> Journal of Financial Services Research, XXX</w:t>
      </w:r>
      <w:r>
        <w:rPr>
          <w:sz w:val="22"/>
        </w:rPr>
        <w:t>I, No. 1 (February 2007), 33-51.</w:t>
      </w:r>
    </w:p>
    <w:p w:rsidR="005D4BB2" w:rsidRDefault="005D4BB2" w:rsidP="005D4BB2">
      <w:pPr>
        <w:numPr>
          <w:ilvl w:val="0"/>
          <w:numId w:val="9"/>
        </w:numPr>
        <w:jc w:val="both"/>
        <w:rPr>
          <w:sz w:val="22"/>
        </w:rPr>
      </w:pPr>
      <w:r>
        <w:rPr>
          <w:sz w:val="22"/>
        </w:rPr>
        <w:t>“</w:t>
      </w:r>
      <w:r w:rsidRPr="005D4BB2">
        <w:rPr>
          <w:sz w:val="22"/>
        </w:rPr>
        <w:t>Institutional Flows an</w:t>
      </w:r>
      <w:r>
        <w:rPr>
          <w:sz w:val="22"/>
        </w:rPr>
        <w:t>d Equity Style Diversification,</w:t>
      </w:r>
      <w:r>
        <w:rPr>
          <w:sz w:val="22"/>
          <w:lang w:eastAsia="zh-TW"/>
        </w:rPr>
        <w:t>”</w:t>
      </w:r>
      <w:r>
        <w:rPr>
          <w:sz w:val="22"/>
        </w:rPr>
        <w:t xml:space="preserve"> </w:t>
      </w:r>
      <w:r w:rsidRPr="005D4BB2">
        <w:rPr>
          <w:sz w:val="22"/>
        </w:rPr>
        <w:t>John G. Gallo</w:t>
      </w:r>
      <w:r>
        <w:rPr>
          <w:rFonts w:hint="eastAsia"/>
          <w:sz w:val="22"/>
          <w:lang w:eastAsia="zh-TW"/>
        </w:rPr>
        <w:t xml:space="preserve">, </w:t>
      </w:r>
      <w:proofErr w:type="spellStart"/>
      <w:r>
        <w:rPr>
          <w:sz w:val="22"/>
        </w:rPr>
        <w:t>Chanwit</w:t>
      </w:r>
      <w:proofErr w:type="spellEnd"/>
      <w:r>
        <w:rPr>
          <w:sz w:val="22"/>
        </w:rPr>
        <w:t xml:space="preserve"> </w:t>
      </w:r>
      <w:proofErr w:type="spellStart"/>
      <w:r>
        <w:rPr>
          <w:sz w:val="22"/>
        </w:rPr>
        <w:t>Phengpis</w:t>
      </w:r>
      <w:proofErr w:type="spellEnd"/>
      <w:r>
        <w:rPr>
          <w:rFonts w:hint="eastAsia"/>
          <w:sz w:val="22"/>
          <w:lang w:eastAsia="zh-TW"/>
        </w:rPr>
        <w:t xml:space="preserve"> and Peggy E. Swanson</w:t>
      </w:r>
      <w:r w:rsidRPr="005D4BB2">
        <w:rPr>
          <w:sz w:val="22"/>
        </w:rPr>
        <w:t>, Applied Financial Economics, XVIII, Issue 18 (October, 2008), 1441-1450.</w:t>
      </w:r>
    </w:p>
    <w:p w:rsidR="00A94009" w:rsidRDefault="00A94009">
      <w:pPr>
        <w:jc w:val="both"/>
        <w:rPr>
          <w:b/>
          <w:bCs/>
          <w:color w:val="000000"/>
          <w:sz w:val="22"/>
          <w:lang w:eastAsia="zh-TW"/>
        </w:rPr>
      </w:pPr>
    </w:p>
    <w:p w:rsidR="00DE7244" w:rsidRDefault="00DE7244">
      <w:pPr>
        <w:jc w:val="both"/>
        <w:rPr>
          <w:b/>
          <w:bCs/>
          <w:color w:val="000000"/>
          <w:sz w:val="22"/>
          <w:lang w:eastAsia="zh-TW"/>
        </w:rPr>
      </w:pPr>
    </w:p>
    <w:p w:rsidR="00DE7244" w:rsidRDefault="00DE7244" w:rsidP="00DE7244">
      <w:pPr>
        <w:pStyle w:val="2"/>
        <w:rPr>
          <w:rFonts w:ascii="Times New Roman" w:hAnsi="Times New Roman"/>
          <w:bCs/>
          <w:lang w:eastAsia="zh-TW"/>
        </w:rPr>
      </w:pPr>
      <w:r>
        <w:rPr>
          <w:rFonts w:ascii="Times New Roman" w:hAnsi="Times New Roman" w:hint="eastAsia"/>
          <w:bCs/>
          <w:lang w:eastAsia="zh-TW"/>
        </w:rPr>
        <w:t>Final Ex</w:t>
      </w:r>
      <w:r w:rsidR="006D1A10">
        <w:rPr>
          <w:rFonts w:ascii="Times New Roman" w:hAnsi="Times New Roman" w:hint="eastAsia"/>
          <w:bCs/>
          <w:lang w:eastAsia="zh-TW"/>
        </w:rPr>
        <w:t>a</w:t>
      </w:r>
      <w:r>
        <w:rPr>
          <w:rFonts w:ascii="Times New Roman" w:hAnsi="Times New Roman" w:hint="eastAsia"/>
          <w:bCs/>
          <w:lang w:eastAsia="zh-TW"/>
        </w:rPr>
        <w:t>m</w:t>
      </w:r>
      <w:r>
        <w:rPr>
          <w:rFonts w:ascii="Times New Roman" w:hAnsi="Times New Roman" w:hint="eastAsia"/>
          <w:bCs/>
          <w:lang w:eastAsia="zh-TW"/>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00726308">
        <w:rPr>
          <w:rFonts w:ascii="Times New Roman" w:hAnsi="Times New Roman" w:hint="eastAsia"/>
          <w:bCs/>
          <w:lang w:eastAsia="zh-TW"/>
        </w:rPr>
        <w:t>June 17</w:t>
      </w:r>
    </w:p>
    <w:p w:rsidR="00DE7244" w:rsidRDefault="00DE7244" w:rsidP="00DE7244">
      <w:pPr>
        <w:jc w:val="both"/>
        <w:rPr>
          <w:sz w:val="22"/>
          <w:lang w:eastAsia="zh-TW"/>
        </w:rPr>
      </w:pPr>
    </w:p>
    <w:p w:rsidR="00A94009" w:rsidRPr="00320280" w:rsidRDefault="00A94009" w:rsidP="00320280">
      <w:pPr>
        <w:jc w:val="both"/>
        <w:rPr>
          <w:b/>
          <w:bCs/>
          <w:color w:val="000000"/>
          <w:sz w:val="22"/>
          <w:lang w:eastAsia="zh-TW"/>
        </w:rPr>
      </w:pPr>
    </w:p>
    <w:sectPr w:rsidR="00A94009" w:rsidRPr="00320280" w:rsidSect="00460638">
      <w:type w:val="continuous"/>
      <w:pgSz w:w="11909" w:h="16834" w:code="9"/>
      <w:pgMar w:top="1584" w:right="1440" w:bottom="172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6E1" w:rsidRDefault="00D436E1" w:rsidP="006803FF">
      <w:r>
        <w:separator/>
      </w:r>
    </w:p>
  </w:endnote>
  <w:endnote w:type="continuationSeparator" w:id="0">
    <w:p w:rsidR="00D436E1" w:rsidRDefault="00D436E1" w:rsidP="0068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6E1" w:rsidRDefault="00D436E1" w:rsidP="006803FF">
      <w:r>
        <w:separator/>
      </w:r>
    </w:p>
  </w:footnote>
  <w:footnote w:type="continuationSeparator" w:id="0">
    <w:p w:rsidR="00D436E1" w:rsidRDefault="00D436E1" w:rsidP="00680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9C1"/>
    <w:multiLevelType w:val="hybridMultilevel"/>
    <w:tmpl w:val="B4B65C5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AE3EC2"/>
    <w:multiLevelType w:val="hybridMultilevel"/>
    <w:tmpl w:val="9036DD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E641C"/>
    <w:multiLevelType w:val="hybridMultilevel"/>
    <w:tmpl w:val="C462A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6A2CCB"/>
    <w:multiLevelType w:val="hybridMultilevel"/>
    <w:tmpl w:val="3E14E4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9C1916"/>
    <w:multiLevelType w:val="singleLevel"/>
    <w:tmpl w:val="0409000F"/>
    <w:lvl w:ilvl="0">
      <w:start w:val="1"/>
      <w:numFmt w:val="decimal"/>
      <w:lvlText w:val="%1."/>
      <w:lvlJc w:val="left"/>
      <w:pPr>
        <w:tabs>
          <w:tab w:val="num" w:pos="360"/>
        </w:tabs>
        <w:ind w:left="360" w:hanging="360"/>
      </w:pPr>
    </w:lvl>
  </w:abstractNum>
  <w:abstractNum w:abstractNumId="5">
    <w:nsid w:val="24A74EFC"/>
    <w:multiLevelType w:val="singleLevel"/>
    <w:tmpl w:val="0220C15E"/>
    <w:lvl w:ilvl="0">
      <w:start w:val="1"/>
      <w:numFmt w:val="upperLetter"/>
      <w:pStyle w:val="3"/>
      <w:lvlText w:val="%1."/>
      <w:lvlJc w:val="left"/>
      <w:pPr>
        <w:tabs>
          <w:tab w:val="num" w:pos="720"/>
        </w:tabs>
        <w:ind w:left="720" w:hanging="720"/>
      </w:pPr>
      <w:rPr>
        <w:rFonts w:hint="default"/>
        <w:b/>
      </w:rPr>
    </w:lvl>
  </w:abstractNum>
  <w:abstractNum w:abstractNumId="6">
    <w:nsid w:val="2A55386D"/>
    <w:multiLevelType w:val="hybridMultilevel"/>
    <w:tmpl w:val="C8B44C2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55A2A2A"/>
    <w:multiLevelType w:val="hybridMultilevel"/>
    <w:tmpl w:val="A1E66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CF2D4F"/>
    <w:multiLevelType w:val="hybridMultilevel"/>
    <w:tmpl w:val="B0E003E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0C749DE"/>
    <w:multiLevelType w:val="hybridMultilevel"/>
    <w:tmpl w:val="FC0C079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6"/>
  </w:num>
  <w:num w:numId="4">
    <w:abstractNumId w:val="8"/>
  </w:num>
  <w:num w:numId="5">
    <w:abstractNumId w:val="9"/>
  </w:num>
  <w:num w:numId="6">
    <w:abstractNumId w:val="1"/>
  </w:num>
  <w:num w:numId="7">
    <w:abstractNumId w:val="2"/>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hideGrammaticalErrors/>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935"/>
    <w:rsid w:val="000325BC"/>
    <w:rsid w:val="00057DE2"/>
    <w:rsid w:val="000D6526"/>
    <w:rsid w:val="000E5935"/>
    <w:rsid w:val="00100C8C"/>
    <w:rsid w:val="001251C3"/>
    <w:rsid w:val="0015091C"/>
    <w:rsid w:val="00150F1F"/>
    <w:rsid w:val="001852F5"/>
    <w:rsid w:val="00235DF2"/>
    <w:rsid w:val="00274178"/>
    <w:rsid w:val="00282F47"/>
    <w:rsid w:val="003127A8"/>
    <w:rsid w:val="00320280"/>
    <w:rsid w:val="00371909"/>
    <w:rsid w:val="00377924"/>
    <w:rsid w:val="003B71EE"/>
    <w:rsid w:val="003D3331"/>
    <w:rsid w:val="004374F0"/>
    <w:rsid w:val="00441F92"/>
    <w:rsid w:val="00460638"/>
    <w:rsid w:val="0048548A"/>
    <w:rsid w:val="004A4757"/>
    <w:rsid w:val="005C4438"/>
    <w:rsid w:val="005D4BB2"/>
    <w:rsid w:val="005E2B60"/>
    <w:rsid w:val="005F7998"/>
    <w:rsid w:val="00626892"/>
    <w:rsid w:val="0064727F"/>
    <w:rsid w:val="006803FF"/>
    <w:rsid w:val="006D1A10"/>
    <w:rsid w:val="006E3D88"/>
    <w:rsid w:val="006F0EAC"/>
    <w:rsid w:val="00726308"/>
    <w:rsid w:val="007543AD"/>
    <w:rsid w:val="008377B3"/>
    <w:rsid w:val="008C2EFE"/>
    <w:rsid w:val="008C3BF5"/>
    <w:rsid w:val="008C5BB4"/>
    <w:rsid w:val="008D1DD4"/>
    <w:rsid w:val="00915EB1"/>
    <w:rsid w:val="009677F1"/>
    <w:rsid w:val="0099656B"/>
    <w:rsid w:val="009F56CE"/>
    <w:rsid w:val="00A94009"/>
    <w:rsid w:val="00AA256F"/>
    <w:rsid w:val="00B02107"/>
    <w:rsid w:val="00B410F4"/>
    <w:rsid w:val="00BA44D0"/>
    <w:rsid w:val="00BD127A"/>
    <w:rsid w:val="00BD49DA"/>
    <w:rsid w:val="00C15B8F"/>
    <w:rsid w:val="00C3118C"/>
    <w:rsid w:val="00C925D6"/>
    <w:rsid w:val="00D06399"/>
    <w:rsid w:val="00D22BDF"/>
    <w:rsid w:val="00D436E1"/>
    <w:rsid w:val="00D47512"/>
    <w:rsid w:val="00D5554C"/>
    <w:rsid w:val="00DB6F23"/>
    <w:rsid w:val="00DB79F3"/>
    <w:rsid w:val="00DC58D4"/>
    <w:rsid w:val="00DE7244"/>
    <w:rsid w:val="00DF7843"/>
    <w:rsid w:val="00EA38DE"/>
    <w:rsid w:val="00EF3F2E"/>
    <w:rsid w:val="00F33941"/>
    <w:rsid w:val="00F43835"/>
    <w:rsid w:val="00FA2705"/>
    <w:rsid w:val="00FC75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新細明體" w:hAnsi="CG Times (W1)"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0638"/>
    <w:rPr>
      <w:rFonts w:ascii="Times New Roman" w:hAnsi="Times New Roman"/>
      <w:lang w:eastAsia="en-US"/>
    </w:rPr>
  </w:style>
  <w:style w:type="paragraph" w:styleId="1">
    <w:name w:val="heading 1"/>
    <w:basedOn w:val="a"/>
    <w:next w:val="a"/>
    <w:qFormat/>
    <w:rsid w:val="00460638"/>
    <w:pPr>
      <w:keepNext/>
      <w:tabs>
        <w:tab w:val="left" w:pos="360"/>
      </w:tabs>
      <w:ind w:left="360" w:hanging="360"/>
      <w:jc w:val="both"/>
      <w:outlineLvl w:val="0"/>
    </w:pPr>
    <w:rPr>
      <w:rFonts w:ascii="CG Times" w:hAnsi="CG Times"/>
      <w:b/>
      <w:sz w:val="22"/>
    </w:rPr>
  </w:style>
  <w:style w:type="paragraph" w:styleId="2">
    <w:name w:val="heading 2"/>
    <w:basedOn w:val="a"/>
    <w:next w:val="a"/>
    <w:qFormat/>
    <w:rsid w:val="00460638"/>
    <w:pPr>
      <w:keepNext/>
      <w:jc w:val="both"/>
      <w:outlineLvl w:val="1"/>
    </w:pPr>
    <w:rPr>
      <w:rFonts w:ascii="CG Times" w:hAnsi="CG Times"/>
      <w:b/>
      <w:sz w:val="22"/>
    </w:rPr>
  </w:style>
  <w:style w:type="paragraph" w:styleId="3">
    <w:name w:val="heading 3"/>
    <w:basedOn w:val="a"/>
    <w:next w:val="a"/>
    <w:qFormat/>
    <w:rsid w:val="00460638"/>
    <w:pPr>
      <w:keepNext/>
      <w:numPr>
        <w:numId w:val="1"/>
      </w:numPr>
      <w:jc w:val="both"/>
      <w:outlineLvl w:val="2"/>
    </w:pPr>
    <w:rPr>
      <w:rFonts w:ascii="CG Times" w:hAnsi="CG Times"/>
      <w:b/>
      <w:sz w:val="22"/>
    </w:rPr>
  </w:style>
  <w:style w:type="paragraph" w:styleId="4">
    <w:name w:val="heading 4"/>
    <w:basedOn w:val="a"/>
    <w:next w:val="a"/>
    <w:qFormat/>
    <w:rsid w:val="00460638"/>
    <w:pPr>
      <w:keepNext/>
      <w:jc w:val="both"/>
      <w:outlineLvl w:val="3"/>
    </w:pPr>
    <w:rPr>
      <w:sz w:val="22"/>
      <w:u w:val="single"/>
    </w:rPr>
  </w:style>
  <w:style w:type="paragraph" w:styleId="5">
    <w:name w:val="heading 5"/>
    <w:basedOn w:val="a"/>
    <w:next w:val="a"/>
    <w:qFormat/>
    <w:rsid w:val="00460638"/>
    <w:pPr>
      <w:keepNext/>
      <w:jc w:val="both"/>
      <w:outlineLvl w:val="4"/>
    </w:pPr>
    <w:rPr>
      <w:b/>
      <w:i/>
      <w:sz w:val="22"/>
      <w:u w:val="single"/>
    </w:rPr>
  </w:style>
  <w:style w:type="paragraph" w:styleId="6">
    <w:name w:val="heading 6"/>
    <w:basedOn w:val="a"/>
    <w:next w:val="a"/>
    <w:qFormat/>
    <w:rsid w:val="00460638"/>
    <w:pPr>
      <w:keepNext/>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5"/>
    </w:pPr>
    <w:rPr>
      <w:b/>
    </w:rPr>
  </w:style>
  <w:style w:type="paragraph" w:styleId="7">
    <w:name w:val="heading 7"/>
    <w:basedOn w:val="a"/>
    <w:next w:val="a"/>
    <w:qFormat/>
    <w:rsid w:val="00460638"/>
    <w:pPr>
      <w:keepNext/>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6"/>
    </w:pPr>
    <w:rPr>
      <w:b/>
      <w:bCs/>
      <w:i/>
      <w:iCs/>
      <w:sz w:val="22"/>
    </w:rPr>
  </w:style>
  <w:style w:type="paragraph" w:styleId="8">
    <w:name w:val="heading 8"/>
    <w:basedOn w:val="a"/>
    <w:next w:val="a"/>
    <w:qFormat/>
    <w:rsid w:val="00460638"/>
    <w:pPr>
      <w:keepNext/>
      <w:outlineLvl w:val="7"/>
    </w:pPr>
    <w:rPr>
      <w:b/>
      <w:bCs/>
      <w:sz w:val="22"/>
    </w:rPr>
  </w:style>
  <w:style w:type="paragraph" w:styleId="9">
    <w:name w:val="heading 9"/>
    <w:basedOn w:val="a"/>
    <w:next w:val="a"/>
    <w:qFormat/>
    <w:rsid w:val="00460638"/>
    <w:pPr>
      <w:keepNext/>
      <w:ind w:left="2160" w:hanging="1440"/>
      <w:jc w:val="both"/>
      <w:outlineLvl w:val="8"/>
    </w:pPr>
    <w:rPr>
      <w:b/>
      <w:i/>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60638"/>
    <w:pPr>
      <w:ind w:left="360"/>
      <w:jc w:val="both"/>
    </w:pPr>
    <w:rPr>
      <w:rFonts w:ascii="CG Times" w:hAnsi="CG Times"/>
      <w:sz w:val="22"/>
    </w:rPr>
  </w:style>
  <w:style w:type="paragraph" w:styleId="20">
    <w:name w:val="Body Text Indent 2"/>
    <w:basedOn w:val="a"/>
    <w:rsid w:val="00460638"/>
    <w:pPr>
      <w:ind w:left="360"/>
    </w:pPr>
    <w:rPr>
      <w:sz w:val="22"/>
    </w:rPr>
  </w:style>
  <w:style w:type="character" w:styleId="a4">
    <w:name w:val="Hyperlink"/>
    <w:basedOn w:val="a0"/>
    <w:rsid w:val="00460638"/>
    <w:rPr>
      <w:color w:val="0000FF"/>
      <w:u w:val="single"/>
    </w:rPr>
  </w:style>
  <w:style w:type="character" w:styleId="a5">
    <w:name w:val="FollowedHyperlink"/>
    <w:basedOn w:val="a0"/>
    <w:rsid w:val="00460638"/>
    <w:rPr>
      <w:color w:val="800080"/>
      <w:u w:val="single"/>
    </w:rPr>
  </w:style>
  <w:style w:type="paragraph" w:styleId="a6">
    <w:name w:val="Body Text"/>
    <w:basedOn w:val="a"/>
    <w:rsid w:val="00460638"/>
    <w:pPr>
      <w:autoSpaceDE w:val="0"/>
      <w:autoSpaceDN w:val="0"/>
      <w:adjustRightInd w:val="0"/>
    </w:pPr>
    <w:rPr>
      <w:color w:val="000000"/>
      <w:sz w:val="22"/>
    </w:rPr>
  </w:style>
  <w:style w:type="paragraph" w:styleId="21">
    <w:name w:val="Body Text 2"/>
    <w:basedOn w:val="a"/>
    <w:rsid w:val="00460638"/>
    <w:rPr>
      <w:sz w:val="24"/>
    </w:rPr>
  </w:style>
  <w:style w:type="paragraph" w:styleId="30">
    <w:name w:val="Body Text 3"/>
    <w:basedOn w:val="a"/>
    <w:rsid w:val="00460638"/>
    <w:pPr>
      <w:jc w:val="both"/>
    </w:pPr>
    <w:rPr>
      <w:sz w:val="22"/>
    </w:rPr>
  </w:style>
  <w:style w:type="paragraph" w:customStyle="1" w:styleId="10">
    <w:name w:val="註解方塊文字1"/>
    <w:basedOn w:val="a"/>
    <w:semiHidden/>
    <w:rsid w:val="00460638"/>
    <w:rPr>
      <w:rFonts w:ascii="Tahoma" w:hAnsi="Tahoma" w:cs="Tahoma"/>
      <w:sz w:val="16"/>
      <w:szCs w:val="16"/>
    </w:rPr>
  </w:style>
  <w:style w:type="paragraph" w:styleId="a7">
    <w:name w:val="Title"/>
    <w:basedOn w:val="a"/>
    <w:qFormat/>
    <w:rsid w:val="00460638"/>
    <w:pPr>
      <w:jc w:val="center"/>
    </w:pPr>
    <w:rPr>
      <w:b/>
      <w:sz w:val="28"/>
    </w:rPr>
  </w:style>
  <w:style w:type="paragraph" w:styleId="a8">
    <w:name w:val="Subtitle"/>
    <w:basedOn w:val="a"/>
    <w:qFormat/>
    <w:rsid w:val="00460638"/>
    <w:pPr>
      <w:jc w:val="center"/>
    </w:pPr>
    <w:rPr>
      <w:b/>
      <w:sz w:val="24"/>
    </w:rPr>
  </w:style>
  <w:style w:type="paragraph" w:styleId="a9">
    <w:name w:val="Balloon Text"/>
    <w:basedOn w:val="a"/>
    <w:semiHidden/>
    <w:rsid w:val="00BD49DA"/>
    <w:rPr>
      <w:rFonts w:ascii="Arial" w:hAnsi="Arial"/>
      <w:sz w:val="18"/>
      <w:szCs w:val="18"/>
    </w:rPr>
  </w:style>
  <w:style w:type="paragraph" w:styleId="aa">
    <w:name w:val="header"/>
    <w:basedOn w:val="a"/>
    <w:link w:val="ab"/>
    <w:rsid w:val="006803FF"/>
    <w:pPr>
      <w:tabs>
        <w:tab w:val="center" w:pos="4153"/>
        <w:tab w:val="right" w:pos="8306"/>
      </w:tabs>
      <w:snapToGrid w:val="0"/>
    </w:pPr>
  </w:style>
  <w:style w:type="character" w:customStyle="1" w:styleId="ab">
    <w:name w:val="頁首 字元"/>
    <w:basedOn w:val="a0"/>
    <w:link w:val="aa"/>
    <w:rsid w:val="006803FF"/>
    <w:rPr>
      <w:rFonts w:ascii="Times New Roman" w:hAnsi="Times New Roman"/>
      <w:lang w:eastAsia="en-US"/>
    </w:rPr>
  </w:style>
  <w:style w:type="paragraph" w:styleId="ac">
    <w:name w:val="footer"/>
    <w:basedOn w:val="a"/>
    <w:link w:val="ad"/>
    <w:rsid w:val="006803FF"/>
    <w:pPr>
      <w:tabs>
        <w:tab w:val="center" w:pos="4153"/>
        <w:tab w:val="right" w:pos="8306"/>
      </w:tabs>
      <w:snapToGrid w:val="0"/>
    </w:pPr>
  </w:style>
  <w:style w:type="character" w:customStyle="1" w:styleId="ad">
    <w:name w:val="頁尾 字元"/>
    <w:basedOn w:val="a0"/>
    <w:link w:val="ac"/>
    <w:rsid w:val="006803FF"/>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新細明體" w:hAnsi="CG Times (W1)"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0638"/>
    <w:rPr>
      <w:rFonts w:ascii="Times New Roman" w:hAnsi="Times New Roman"/>
      <w:lang w:eastAsia="en-US"/>
    </w:rPr>
  </w:style>
  <w:style w:type="paragraph" w:styleId="1">
    <w:name w:val="heading 1"/>
    <w:basedOn w:val="a"/>
    <w:next w:val="a"/>
    <w:qFormat/>
    <w:rsid w:val="00460638"/>
    <w:pPr>
      <w:keepNext/>
      <w:tabs>
        <w:tab w:val="left" w:pos="360"/>
      </w:tabs>
      <w:ind w:left="360" w:hanging="360"/>
      <w:jc w:val="both"/>
      <w:outlineLvl w:val="0"/>
    </w:pPr>
    <w:rPr>
      <w:rFonts w:ascii="CG Times" w:hAnsi="CG Times"/>
      <w:b/>
      <w:sz w:val="22"/>
    </w:rPr>
  </w:style>
  <w:style w:type="paragraph" w:styleId="2">
    <w:name w:val="heading 2"/>
    <w:basedOn w:val="a"/>
    <w:next w:val="a"/>
    <w:qFormat/>
    <w:rsid w:val="00460638"/>
    <w:pPr>
      <w:keepNext/>
      <w:jc w:val="both"/>
      <w:outlineLvl w:val="1"/>
    </w:pPr>
    <w:rPr>
      <w:rFonts w:ascii="CG Times" w:hAnsi="CG Times"/>
      <w:b/>
      <w:sz w:val="22"/>
    </w:rPr>
  </w:style>
  <w:style w:type="paragraph" w:styleId="3">
    <w:name w:val="heading 3"/>
    <w:basedOn w:val="a"/>
    <w:next w:val="a"/>
    <w:qFormat/>
    <w:rsid w:val="00460638"/>
    <w:pPr>
      <w:keepNext/>
      <w:numPr>
        <w:numId w:val="1"/>
      </w:numPr>
      <w:jc w:val="both"/>
      <w:outlineLvl w:val="2"/>
    </w:pPr>
    <w:rPr>
      <w:rFonts w:ascii="CG Times" w:hAnsi="CG Times"/>
      <w:b/>
      <w:sz w:val="22"/>
    </w:rPr>
  </w:style>
  <w:style w:type="paragraph" w:styleId="4">
    <w:name w:val="heading 4"/>
    <w:basedOn w:val="a"/>
    <w:next w:val="a"/>
    <w:qFormat/>
    <w:rsid w:val="00460638"/>
    <w:pPr>
      <w:keepNext/>
      <w:jc w:val="both"/>
      <w:outlineLvl w:val="3"/>
    </w:pPr>
    <w:rPr>
      <w:sz w:val="22"/>
      <w:u w:val="single"/>
    </w:rPr>
  </w:style>
  <w:style w:type="paragraph" w:styleId="5">
    <w:name w:val="heading 5"/>
    <w:basedOn w:val="a"/>
    <w:next w:val="a"/>
    <w:qFormat/>
    <w:rsid w:val="00460638"/>
    <w:pPr>
      <w:keepNext/>
      <w:jc w:val="both"/>
      <w:outlineLvl w:val="4"/>
    </w:pPr>
    <w:rPr>
      <w:b/>
      <w:i/>
      <w:sz w:val="22"/>
      <w:u w:val="single"/>
    </w:rPr>
  </w:style>
  <w:style w:type="paragraph" w:styleId="6">
    <w:name w:val="heading 6"/>
    <w:basedOn w:val="a"/>
    <w:next w:val="a"/>
    <w:qFormat/>
    <w:rsid w:val="00460638"/>
    <w:pPr>
      <w:keepNext/>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5"/>
    </w:pPr>
    <w:rPr>
      <w:b/>
    </w:rPr>
  </w:style>
  <w:style w:type="paragraph" w:styleId="7">
    <w:name w:val="heading 7"/>
    <w:basedOn w:val="a"/>
    <w:next w:val="a"/>
    <w:qFormat/>
    <w:rsid w:val="00460638"/>
    <w:pPr>
      <w:keepNext/>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6"/>
    </w:pPr>
    <w:rPr>
      <w:b/>
      <w:bCs/>
      <w:i/>
      <w:iCs/>
      <w:sz w:val="22"/>
    </w:rPr>
  </w:style>
  <w:style w:type="paragraph" w:styleId="8">
    <w:name w:val="heading 8"/>
    <w:basedOn w:val="a"/>
    <w:next w:val="a"/>
    <w:qFormat/>
    <w:rsid w:val="00460638"/>
    <w:pPr>
      <w:keepNext/>
      <w:outlineLvl w:val="7"/>
    </w:pPr>
    <w:rPr>
      <w:b/>
      <w:bCs/>
      <w:sz w:val="22"/>
    </w:rPr>
  </w:style>
  <w:style w:type="paragraph" w:styleId="9">
    <w:name w:val="heading 9"/>
    <w:basedOn w:val="a"/>
    <w:next w:val="a"/>
    <w:qFormat/>
    <w:rsid w:val="00460638"/>
    <w:pPr>
      <w:keepNext/>
      <w:ind w:left="2160" w:hanging="1440"/>
      <w:jc w:val="both"/>
      <w:outlineLvl w:val="8"/>
    </w:pPr>
    <w:rPr>
      <w:b/>
      <w:i/>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60638"/>
    <w:pPr>
      <w:ind w:left="360"/>
      <w:jc w:val="both"/>
    </w:pPr>
    <w:rPr>
      <w:rFonts w:ascii="CG Times" w:hAnsi="CG Times"/>
      <w:sz w:val="22"/>
    </w:rPr>
  </w:style>
  <w:style w:type="paragraph" w:styleId="20">
    <w:name w:val="Body Text Indent 2"/>
    <w:basedOn w:val="a"/>
    <w:rsid w:val="00460638"/>
    <w:pPr>
      <w:ind w:left="360"/>
    </w:pPr>
    <w:rPr>
      <w:sz w:val="22"/>
    </w:rPr>
  </w:style>
  <w:style w:type="character" w:styleId="a4">
    <w:name w:val="Hyperlink"/>
    <w:basedOn w:val="a0"/>
    <w:rsid w:val="00460638"/>
    <w:rPr>
      <w:color w:val="0000FF"/>
      <w:u w:val="single"/>
    </w:rPr>
  </w:style>
  <w:style w:type="character" w:styleId="a5">
    <w:name w:val="FollowedHyperlink"/>
    <w:basedOn w:val="a0"/>
    <w:rsid w:val="00460638"/>
    <w:rPr>
      <w:color w:val="800080"/>
      <w:u w:val="single"/>
    </w:rPr>
  </w:style>
  <w:style w:type="paragraph" w:styleId="a6">
    <w:name w:val="Body Text"/>
    <w:basedOn w:val="a"/>
    <w:rsid w:val="00460638"/>
    <w:pPr>
      <w:autoSpaceDE w:val="0"/>
      <w:autoSpaceDN w:val="0"/>
      <w:adjustRightInd w:val="0"/>
    </w:pPr>
    <w:rPr>
      <w:color w:val="000000"/>
      <w:sz w:val="22"/>
    </w:rPr>
  </w:style>
  <w:style w:type="paragraph" w:styleId="21">
    <w:name w:val="Body Text 2"/>
    <w:basedOn w:val="a"/>
    <w:rsid w:val="00460638"/>
    <w:rPr>
      <w:sz w:val="24"/>
    </w:rPr>
  </w:style>
  <w:style w:type="paragraph" w:styleId="30">
    <w:name w:val="Body Text 3"/>
    <w:basedOn w:val="a"/>
    <w:rsid w:val="00460638"/>
    <w:pPr>
      <w:jc w:val="both"/>
    </w:pPr>
    <w:rPr>
      <w:sz w:val="22"/>
    </w:rPr>
  </w:style>
  <w:style w:type="paragraph" w:customStyle="1" w:styleId="10">
    <w:name w:val="註解方塊文字1"/>
    <w:basedOn w:val="a"/>
    <w:semiHidden/>
    <w:rsid w:val="00460638"/>
    <w:rPr>
      <w:rFonts w:ascii="Tahoma" w:hAnsi="Tahoma" w:cs="Tahoma"/>
      <w:sz w:val="16"/>
      <w:szCs w:val="16"/>
    </w:rPr>
  </w:style>
  <w:style w:type="paragraph" w:styleId="a7">
    <w:name w:val="Title"/>
    <w:basedOn w:val="a"/>
    <w:qFormat/>
    <w:rsid w:val="00460638"/>
    <w:pPr>
      <w:jc w:val="center"/>
    </w:pPr>
    <w:rPr>
      <w:b/>
      <w:sz w:val="28"/>
    </w:rPr>
  </w:style>
  <w:style w:type="paragraph" w:styleId="a8">
    <w:name w:val="Subtitle"/>
    <w:basedOn w:val="a"/>
    <w:qFormat/>
    <w:rsid w:val="00460638"/>
    <w:pPr>
      <w:jc w:val="center"/>
    </w:pPr>
    <w:rPr>
      <w:b/>
      <w:sz w:val="24"/>
    </w:rPr>
  </w:style>
  <w:style w:type="paragraph" w:styleId="a9">
    <w:name w:val="Balloon Text"/>
    <w:basedOn w:val="a"/>
    <w:semiHidden/>
    <w:rsid w:val="00BD49DA"/>
    <w:rPr>
      <w:rFonts w:ascii="Arial" w:hAnsi="Arial"/>
      <w:sz w:val="18"/>
      <w:szCs w:val="18"/>
    </w:rPr>
  </w:style>
  <w:style w:type="paragraph" w:styleId="aa">
    <w:name w:val="header"/>
    <w:basedOn w:val="a"/>
    <w:link w:val="ab"/>
    <w:rsid w:val="006803FF"/>
    <w:pPr>
      <w:tabs>
        <w:tab w:val="center" w:pos="4153"/>
        <w:tab w:val="right" w:pos="8306"/>
      </w:tabs>
      <w:snapToGrid w:val="0"/>
    </w:pPr>
  </w:style>
  <w:style w:type="character" w:customStyle="1" w:styleId="ab">
    <w:name w:val="頁首 字元"/>
    <w:basedOn w:val="a0"/>
    <w:link w:val="aa"/>
    <w:rsid w:val="006803FF"/>
    <w:rPr>
      <w:rFonts w:ascii="Times New Roman" w:hAnsi="Times New Roman"/>
      <w:lang w:eastAsia="en-US"/>
    </w:rPr>
  </w:style>
  <w:style w:type="paragraph" w:styleId="ac">
    <w:name w:val="footer"/>
    <w:basedOn w:val="a"/>
    <w:link w:val="ad"/>
    <w:rsid w:val="006803FF"/>
    <w:pPr>
      <w:tabs>
        <w:tab w:val="center" w:pos="4153"/>
        <w:tab w:val="right" w:pos="8306"/>
      </w:tabs>
      <w:snapToGrid w:val="0"/>
    </w:pPr>
  </w:style>
  <w:style w:type="character" w:customStyle="1" w:styleId="ad">
    <w:name w:val="頁尾 字元"/>
    <w:basedOn w:val="a0"/>
    <w:link w:val="ac"/>
    <w:rsid w:val="006803F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242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1204</Words>
  <Characters>6865</Characters>
  <Application>Microsoft Office Word</Application>
  <DocSecurity>0</DocSecurity>
  <Lines>57</Lines>
  <Paragraphs>16</Paragraphs>
  <ScaleCrop>false</ScaleCrop>
  <Company>Micron Electronics, Inc.</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FINANCE 620 and 620N</dc:title>
  <dc:creator>Fisher College of Business</dc:creator>
  <cp:lastModifiedBy>Admin</cp:lastModifiedBy>
  <cp:revision>3</cp:revision>
  <cp:lastPrinted>2010-02-24T06:08:00Z</cp:lastPrinted>
  <dcterms:created xsi:type="dcterms:W3CDTF">2021-03-11T04:02:00Z</dcterms:created>
  <dcterms:modified xsi:type="dcterms:W3CDTF">2021-03-18T02:12:00Z</dcterms:modified>
</cp:coreProperties>
</file>