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8D" w:rsidRDefault="00A90B8D" w:rsidP="00A90B8D"/>
    <w:p w:rsidR="00AA41C6" w:rsidRDefault="00AA41C6" w:rsidP="00AA41C6">
      <w:pPr>
        <w:pStyle w:val="a3"/>
      </w:pPr>
      <w:r>
        <w:rPr>
          <w:rFonts w:hint="eastAsia"/>
          <w:lang w:eastAsia="zh-TW"/>
        </w:rPr>
        <w:t>International Financial Management</w:t>
      </w:r>
      <w:r>
        <w:t xml:space="preserve"> </w:t>
      </w:r>
    </w:p>
    <w:p w:rsidR="00AA41C6" w:rsidRDefault="00AA41C6" w:rsidP="00AA41C6">
      <w:pPr>
        <w:pStyle w:val="a4"/>
        <w:rPr>
          <w:lang w:eastAsia="zh-TW"/>
        </w:rPr>
      </w:pPr>
      <w:r>
        <w:t xml:space="preserve">Spring </w:t>
      </w:r>
      <w:r w:rsidR="0073165D">
        <w:rPr>
          <w:rFonts w:hint="eastAsia"/>
          <w:lang w:eastAsia="zh-TW"/>
        </w:rPr>
        <w:t xml:space="preserve">Semester </w:t>
      </w:r>
      <w:r w:rsidR="00531F3C">
        <w:t>20</w:t>
      </w:r>
      <w:r w:rsidR="00AE5CC7">
        <w:rPr>
          <w:rFonts w:hint="eastAsia"/>
          <w:lang w:eastAsia="zh-TW"/>
        </w:rPr>
        <w:t>21</w:t>
      </w:r>
    </w:p>
    <w:p w:rsidR="00AA41C6" w:rsidRDefault="00AA41C6" w:rsidP="00AA41C6">
      <w:pPr>
        <w:jc w:val="center"/>
        <w:rPr>
          <w:sz w:val="22"/>
        </w:rPr>
      </w:pPr>
    </w:p>
    <w:p w:rsidR="00AA41C6" w:rsidRDefault="00AA41C6" w:rsidP="00AA41C6">
      <w:pPr>
        <w:tabs>
          <w:tab w:val="left" w:pos="1800"/>
          <w:tab w:val="left" w:pos="2160"/>
        </w:tabs>
        <w:jc w:val="both"/>
        <w:rPr>
          <w:b/>
        </w:rPr>
      </w:pPr>
    </w:p>
    <w:p w:rsidR="00AA41C6" w:rsidRPr="0073165D" w:rsidRDefault="00AA41C6" w:rsidP="00AA41C6">
      <w:pPr>
        <w:tabs>
          <w:tab w:val="left" w:pos="1800"/>
          <w:tab w:val="left" w:pos="2160"/>
        </w:tabs>
        <w:jc w:val="both"/>
        <w:rPr>
          <w:b/>
        </w:rPr>
      </w:pPr>
    </w:p>
    <w:p w:rsidR="00AA41C6" w:rsidRDefault="00AA41C6" w:rsidP="00AA41C6">
      <w:pPr>
        <w:tabs>
          <w:tab w:val="left" w:pos="1800"/>
          <w:tab w:val="left" w:pos="2160"/>
        </w:tabs>
        <w:jc w:val="both"/>
        <w:rPr>
          <w:b/>
        </w:rPr>
      </w:pPr>
      <w:r>
        <w:rPr>
          <w:b/>
        </w:rPr>
        <w:t>Instructor:</w:t>
      </w:r>
      <w:r>
        <w:rPr>
          <w:b/>
        </w:rPr>
        <w:tab/>
        <w:t>Pei-Jung Tsai, Ph.D.</w:t>
      </w:r>
    </w:p>
    <w:p w:rsidR="00AA41C6" w:rsidRDefault="00AA41C6" w:rsidP="00AA41C6">
      <w:pPr>
        <w:tabs>
          <w:tab w:val="left" w:pos="1800"/>
          <w:tab w:val="left" w:pos="2160"/>
        </w:tabs>
        <w:jc w:val="both"/>
        <w:rPr>
          <w:b/>
        </w:rPr>
      </w:pPr>
      <w:proofErr w:type="gramStart"/>
      <w:r>
        <w:rPr>
          <w:b/>
        </w:rPr>
        <w:t>Office :</w:t>
      </w:r>
      <w:proofErr w:type="gramEnd"/>
      <w:r>
        <w:rPr>
          <w:b/>
        </w:rPr>
        <w:tab/>
        <w:t>Management Building Rm. 355</w:t>
      </w:r>
    </w:p>
    <w:p w:rsidR="00AA41C6" w:rsidRDefault="00AA41C6" w:rsidP="00AA41C6">
      <w:pPr>
        <w:tabs>
          <w:tab w:val="left" w:pos="1800"/>
          <w:tab w:val="left" w:pos="2160"/>
        </w:tabs>
        <w:jc w:val="both"/>
        <w:rPr>
          <w:b/>
        </w:rPr>
      </w:pPr>
      <w:r>
        <w:rPr>
          <w:b/>
        </w:rPr>
        <w:t>Phone Number:</w:t>
      </w:r>
      <w:r>
        <w:rPr>
          <w:b/>
        </w:rPr>
        <w:tab/>
        <w:t>272-0411 Ext. 34205</w:t>
      </w:r>
    </w:p>
    <w:p w:rsidR="00AA41C6" w:rsidRDefault="00AA41C6" w:rsidP="00AA41C6">
      <w:pPr>
        <w:tabs>
          <w:tab w:val="left" w:pos="1800"/>
          <w:tab w:val="left" w:pos="2160"/>
        </w:tabs>
        <w:jc w:val="both"/>
        <w:rPr>
          <w:b/>
        </w:rPr>
      </w:pPr>
      <w:r>
        <w:rPr>
          <w:b/>
        </w:rPr>
        <w:t>E-mail:  finpjt@ccu.edu.tw (best way to reach me)</w:t>
      </w:r>
    </w:p>
    <w:p w:rsidR="00AA41C6" w:rsidRDefault="00AA41C6" w:rsidP="00AA41C6">
      <w:pPr>
        <w:tabs>
          <w:tab w:val="left" w:pos="1800"/>
          <w:tab w:val="left" w:pos="2160"/>
        </w:tabs>
        <w:jc w:val="both"/>
        <w:rPr>
          <w:b/>
        </w:rPr>
      </w:pPr>
      <w:r>
        <w:rPr>
          <w:b/>
        </w:rPr>
        <w:t>Office Hours:</w:t>
      </w:r>
      <w:r>
        <w:rPr>
          <w:b/>
        </w:rPr>
        <w:tab/>
        <w:t xml:space="preserve">By appointment.  </w:t>
      </w:r>
    </w:p>
    <w:p w:rsidR="00A90B8D" w:rsidRDefault="00A90B8D" w:rsidP="00A90B8D"/>
    <w:p w:rsidR="00D67F65" w:rsidRDefault="00D67F65" w:rsidP="00D67F65">
      <w:pPr>
        <w:pStyle w:val="3"/>
        <w:rPr>
          <w:rFonts w:ascii="Times New Roman" w:hAnsi="Times New Roman"/>
          <w:sz w:val="24"/>
        </w:rPr>
      </w:pPr>
      <w:r>
        <w:rPr>
          <w:rFonts w:ascii="Times New Roman" w:hAnsi="Times New Roman"/>
          <w:sz w:val="24"/>
        </w:rPr>
        <w:t>Course Description</w:t>
      </w:r>
    </w:p>
    <w:p w:rsidR="00D67F65" w:rsidRPr="00576ED3" w:rsidRDefault="00D67F65" w:rsidP="00576ED3">
      <w:pPr>
        <w:pStyle w:val="a5"/>
        <w:rPr>
          <w:rFonts w:ascii="Times New Roman" w:hAnsi="Times New Roman"/>
          <w:sz w:val="24"/>
          <w:lang w:eastAsia="zh-TW"/>
        </w:rPr>
      </w:pPr>
      <w:r>
        <w:t xml:space="preserve">This course </w:t>
      </w:r>
      <w:r>
        <w:rPr>
          <w:rFonts w:hint="eastAsia"/>
        </w:rPr>
        <w:t xml:space="preserve">discusses issues and questions which concern financial management of international corporations.  We will analyze the </w:t>
      </w:r>
      <w:r>
        <w:t>financing</w:t>
      </w:r>
      <w:r>
        <w:rPr>
          <w:rFonts w:hint="eastAsia"/>
        </w:rPr>
        <w:t xml:space="preserve"> </w:t>
      </w:r>
      <w:r w:rsidR="005E12B3">
        <w:rPr>
          <w:rFonts w:hint="eastAsia"/>
        </w:rPr>
        <w:t>of investment abroad</w:t>
      </w:r>
      <w:r>
        <w:rPr>
          <w:rFonts w:hint="eastAsia"/>
        </w:rPr>
        <w:t xml:space="preserve">, the foreign </w:t>
      </w:r>
      <w:r>
        <w:t>investment</w:t>
      </w:r>
      <w:r>
        <w:rPr>
          <w:rFonts w:hint="eastAsia"/>
        </w:rPr>
        <w:t xml:space="preserve"> decision, cost of capital and financial structure for multinational decision making, management of foreign subsidiary working capital, and </w:t>
      </w:r>
      <w:r>
        <w:t>financial</w:t>
      </w:r>
      <w:r>
        <w:rPr>
          <w:rFonts w:hint="eastAsia"/>
        </w:rPr>
        <w:t xml:space="preserve"> control of </w:t>
      </w:r>
      <w:r>
        <w:t>multinational</w:t>
      </w:r>
      <w:r>
        <w:rPr>
          <w:rFonts w:hint="eastAsia"/>
        </w:rPr>
        <w:t xml:space="preserve"> operations.</w:t>
      </w:r>
    </w:p>
    <w:p w:rsidR="00576ED3" w:rsidRDefault="00576ED3" w:rsidP="00576ED3">
      <w:pPr>
        <w:pStyle w:val="3"/>
        <w:spacing w:line="360" w:lineRule="auto"/>
        <w:rPr>
          <w:rFonts w:ascii="Times New Roman" w:hAnsi="Times New Roman"/>
          <w:b w:val="0"/>
          <w:sz w:val="24"/>
        </w:rPr>
      </w:pPr>
    </w:p>
    <w:p w:rsidR="00576ED3" w:rsidRDefault="00576ED3" w:rsidP="00576ED3">
      <w:pPr>
        <w:pStyle w:val="3"/>
        <w:spacing w:line="360" w:lineRule="auto"/>
        <w:rPr>
          <w:rFonts w:ascii="Times New Roman" w:hAnsi="Times New Roman"/>
          <w:sz w:val="24"/>
        </w:rPr>
      </w:pPr>
      <w:r>
        <w:rPr>
          <w:rFonts w:ascii="Times New Roman" w:hAnsi="Times New Roman"/>
          <w:sz w:val="24"/>
        </w:rPr>
        <w:t>Course Prerequisites</w:t>
      </w:r>
    </w:p>
    <w:p w:rsidR="00576ED3" w:rsidRDefault="00576ED3" w:rsidP="00576ED3">
      <w:pPr>
        <w:ind w:left="360"/>
        <w:jc w:val="both"/>
      </w:pPr>
    </w:p>
    <w:p w:rsidR="00576ED3" w:rsidRDefault="00576ED3" w:rsidP="00576ED3">
      <w:pPr>
        <w:ind w:left="360"/>
        <w:jc w:val="both"/>
      </w:pPr>
      <w:proofErr w:type="gramStart"/>
      <w:r>
        <w:t>Financial Management (I) (5152100) and (II) (5152101), Investment (5152200), and Financial Markets and Institutions (5153300).</w:t>
      </w:r>
      <w:proofErr w:type="gramEnd"/>
    </w:p>
    <w:p w:rsidR="00A90B8D" w:rsidRPr="00576ED3" w:rsidRDefault="00A90B8D" w:rsidP="00A90B8D"/>
    <w:p w:rsidR="00576ED3" w:rsidRDefault="00576ED3" w:rsidP="00576ED3">
      <w:pPr>
        <w:pStyle w:val="3"/>
        <w:rPr>
          <w:rFonts w:ascii="Times New Roman" w:hAnsi="Times New Roman"/>
          <w:sz w:val="24"/>
        </w:rPr>
      </w:pPr>
      <w:r>
        <w:rPr>
          <w:rFonts w:ascii="Times New Roman" w:hAnsi="Times New Roman"/>
          <w:sz w:val="24"/>
        </w:rPr>
        <w:t>Course Materials</w:t>
      </w:r>
    </w:p>
    <w:p w:rsidR="00576ED3" w:rsidRDefault="00576ED3" w:rsidP="00576ED3"/>
    <w:p w:rsidR="00576ED3" w:rsidRDefault="00576ED3" w:rsidP="00576ED3">
      <w:pPr>
        <w:widowControl/>
        <w:numPr>
          <w:ilvl w:val="0"/>
          <w:numId w:val="1"/>
        </w:numPr>
        <w:jc w:val="both"/>
        <w:rPr>
          <w:color w:val="000000"/>
        </w:rPr>
      </w:pPr>
      <w:r>
        <w:rPr>
          <w:b/>
          <w:i/>
        </w:rPr>
        <w:t>Required Textbook:</w:t>
      </w:r>
      <w:r>
        <w:t xml:space="preserve">  </w:t>
      </w:r>
      <w:r>
        <w:rPr>
          <w:rFonts w:hint="eastAsia"/>
        </w:rPr>
        <w:t>Jeff Madura</w:t>
      </w:r>
      <w:r>
        <w:t>,</w:t>
      </w:r>
      <w:r>
        <w:rPr>
          <w:i/>
        </w:rPr>
        <w:t xml:space="preserve"> </w:t>
      </w:r>
      <w:r>
        <w:rPr>
          <w:rFonts w:hint="eastAsia"/>
          <w:i/>
        </w:rPr>
        <w:t>In</w:t>
      </w:r>
      <w:r w:rsidR="006F2A0A">
        <w:rPr>
          <w:rFonts w:hint="eastAsia"/>
          <w:i/>
        </w:rPr>
        <w:t>ternational Corporate Finance</w:t>
      </w:r>
      <w:r>
        <w:rPr>
          <w:i/>
        </w:rPr>
        <w:t xml:space="preserve">, </w:t>
      </w:r>
      <w:proofErr w:type="gramStart"/>
      <w:r w:rsidR="006F2A0A">
        <w:rPr>
          <w:rFonts w:hint="eastAsia"/>
          <w:i/>
        </w:rPr>
        <w:t>9</w:t>
      </w:r>
      <w:r w:rsidRPr="00576ED3">
        <w:rPr>
          <w:rFonts w:hint="eastAsia"/>
          <w:i/>
          <w:vertAlign w:val="superscript"/>
        </w:rPr>
        <w:t>th</w:t>
      </w:r>
      <w:proofErr w:type="gramEnd"/>
      <w:r>
        <w:rPr>
          <w:i/>
        </w:rPr>
        <w:t xml:space="preserve"> Edition</w:t>
      </w:r>
      <w:r>
        <w:t xml:space="preserve">. </w:t>
      </w:r>
    </w:p>
    <w:p w:rsidR="00576ED3" w:rsidRPr="006F2A0A" w:rsidRDefault="00576ED3" w:rsidP="00576ED3">
      <w:pPr>
        <w:jc w:val="both"/>
        <w:rPr>
          <w:color w:val="000000"/>
        </w:rPr>
      </w:pPr>
    </w:p>
    <w:p w:rsidR="00A90B8D" w:rsidRPr="00576ED3" w:rsidRDefault="001F405F" w:rsidP="001F405F">
      <w:pPr>
        <w:widowControl/>
        <w:numPr>
          <w:ilvl w:val="0"/>
          <w:numId w:val="1"/>
        </w:numPr>
        <w:jc w:val="both"/>
      </w:pPr>
      <w:r>
        <w:rPr>
          <w:rFonts w:hint="eastAsia"/>
          <w:b/>
          <w:i/>
        </w:rPr>
        <w:t>Reference</w:t>
      </w:r>
      <w:r w:rsidR="00576ED3">
        <w:rPr>
          <w:b/>
          <w:i/>
        </w:rPr>
        <w:t>:</w:t>
      </w:r>
      <w:r w:rsidR="00576ED3">
        <w:t xml:space="preserve">  </w:t>
      </w:r>
      <w:r>
        <w:rPr>
          <w:rFonts w:hint="eastAsia"/>
        </w:rPr>
        <w:t>《國際財務管理與金融》</w:t>
      </w:r>
      <w:r>
        <w:rPr>
          <w:rFonts w:hint="eastAsia"/>
        </w:rPr>
        <w:t xml:space="preserve">, </w:t>
      </w:r>
      <w:r>
        <w:rPr>
          <w:rFonts w:hint="eastAsia"/>
        </w:rPr>
        <w:t>劉亞秋與</w:t>
      </w:r>
      <w:proofErr w:type="gramStart"/>
      <w:r>
        <w:rPr>
          <w:rFonts w:hint="eastAsia"/>
        </w:rPr>
        <w:t>薛立言著</w:t>
      </w:r>
      <w:proofErr w:type="gramEnd"/>
      <w:r>
        <w:rPr>
          <w:rFonts w:hint="eastAsia"/>
        </w:rPr>
        <w:t xml:space="preserve">, 2006, </w:t>
      </w:r>
      <w:r>
        <w:rPr>
          <w:rFonts w:hint="eastAsia"/>
        </w:rPr>
        <w:t>東華書局出版</w:t>
      </w:r>
    </w:p>
    <w:p w:rsidR="00A90B8D" w:rsidRPr="001F405F" w:rsidRDefault="00A90B8D" w:rsidP="00A90B8D"/>
    <w:p w:rsidR="00D97209" w:rsidRPr="00071486" w:rsidRDefault="00D97209" w:rsidP="00071486">
      <w:pPr>
        <w:pStyle w:val="3"/>
        <w:rPr>
          <w:rFonts w:ascii="Times New Roman" w:hAnsi="Times New Roman"/>
          <w:sz w:val="24"/>
          <w:szCs w:val="24"/>
        </w:rPr>
      </w:pPr>
      <w:r w:rsidRPr="00071486">
        <w:rPr>
          <w:rFonts w:ascii="Times New Roman" w:hAnsi="Times New Roman"/>
          <w:sz w:val="24"/>
          <w:szCs w:val="24"/>
        </w:rPr>
        <w:lastRenderedPageBreak/>
        <w:t>Exams</w:t>
      </w:r>
    </w:p>
    <w:p w:rsidR="00D97209" w:rsidRDefault="00D97209" w:rsidP="00D97209">
      <w:pPr>
        <w:jc w:val="both"/>
      </w:pPr>
      <w:r>
        <w:tab/>
        <w:t>All exams will be given on the dates listed below.  Each exam will be given in class.</w:t>
      </w:r>
    </w:p>
    <w:p w:rsidR="00D97209" w:rsidRDefault="00D97209" w:rsidP="00D97209">
      <w:pPr>
        <w:jc w:val="both"/>
      </w:pPr>
      <w:r>
        <w:tab/>
      </w:r>
      <w:r>
        <w:rPr>
          <w:b/>
          <w:i/>
          <w:u w:val="single"/>
        </w:rPr>
        <w:t>Midterms</w:t>
      </w:r>
    </w:p>
    <w:p w:rsidR="00D97209" w:rsidRPr="00D97209" w:rsidRDefault="00D97209" w:rsidP="00D97209">
      <w:pPr>
        <w:pStyle w:val="2"/>
        <w:spacing w:line="240" w:lineRule="auto"/>
        <w:jc w:val="both"/>
      </w:pPr>
      <w:r>
        <w:t>There will be two midterms.  Each midterm will count for 30 percent of your final course grade.  The dates of the midterms are listed below on the course schedule.</w:t>
      </w:r>
    </w:p>
    <w:p w:rsidR="00D97209" w:rsidRDefault="00D97209" w:rsidP="00D97209">
      <w:pPr>
        <w:ind w:firstLine="518"/>
        <w:jc w:val="both"/>
        <w:rPr>
          <w:u w:val="single"/>
        </w:rPr>
      </w:pPr>
      <w:r>
        <w:rPr>
          <w:b/>
          <w:i/>
          <w:u w:val="single"/>
        </w:rPr>
        <w:t>Final Exam</w:t>
      </w:r>
    </w:p>
    <w:p w:rsidR="00D97209" w:rsidRPr="00D97209" w:rsidRDefault="0097568F" w:rsidP="00D97209">
      <w:pPr>
        <w:pStyle w:val="2"/>
        <w:spacing w:line="240" w:lineRule="auto"/>
        <w:jc w:val="both"/>
        <w:rPr>
          <w:b/>
          <w:bCs/>
        </w:rPr>
      </w:pPr>
      <w:r>
        <w:t xml:space="preserve">The final will count for </w:t>
      </w:r>
      <w:r>
        <w:rPr>
          <w:rFonts w:hint="eastAsia"/>
        </w:rPr>
        <w:t>35</w:t>
      </w:r>
      <w:r w:rsidR="00D97209">
        <w:t xml:space="preserve"> percent of your final course grade.  </w:t>
      </w:r>
    </w:p>
    <w:p w:rsidR="00D97209" w:rsidRPr="00D97209" w:rsidRDefault="00D97209" w:rsidP="00D97209">
      <w:pPr>
        <w:pStyle w:val="9"/>
        <w:spacing w:line="240" w:lineRule="auto"/>
        <w:ind w:leftChars="204" w:left="961" w:hangingChars="196" w:hanging="471"/>
        <w:rPr>
          <w:rFonts w:ascii="Times New Roman" w:hAnsi="Times New Roman"/>
          <w:b/>
          <w:i/>
          <w:sz w:val="24"/>
          <w:u w:val="single"/>
        </w:rPr>
      </w:pPr>
      <w:r w:rsidRPr="00D97209">
        <w:rPr>
          <w:rFonts w:ascii="Times New Roman" w:hAnsi="Times New Roman"/>
          <w:b/>
          <w:i/>
          <w:sz w:val="24"/>
          <w:u w:val="single"/>
        </w:rPr>
        <w:t>Makeup Exams</w:t>
      </w:r>
    </w:p>
    <w:p w:rsidR="00D97209" w:rsidRPr="00D97209" w:rsidRDefault="00D97209" w:rsidP="00D97209">
      <w:pPr>
        <w:pStyle w:val="2"/>
        <w:spacing w:line="240" w:lineRule="auto"/>
        <w:jc w:val="both"/>
        <w:rPr>
          <w:b/>
          <w:bCs/>
        </w:rPr>
      </w:pPr>
      <w:r>
        <w:rPr>
          <w:b/>
          <w:bCs/>
        </w:rPr>
        <w:t xml:space="preserve">No makeup exams will be given.  </w:t>
      </w:r>
      <w:r>
        <w:t>If a student has to miss an exam, the instructor must be notified before the exam.</w:t>
      </w:r>
      <w:r>
        <w:rPr>
          <w:b/>
          <w:bCs/>
        </w:rPr>
        <w:t xml:space="preserve"> </w:t>
      </w:r>
    </w:p>
    <w:p w:rsidR="00D97209" w:rsidRPr="00D97209" w:rsidRDefault="00D97209" w:rsidP="00D97209">
      <w:pPr>
        <w:pStyle w:val="5"/>
        <w:spacing w:line="240" w:lineRule="auto"/>
        <w:ind w:left="480" w:firstLine="38"/>
        <w:rPr>
          <w:rFonts w:ascii="Times New Roman" w:hAnsi="Times New Roman"/>
          <w:i/>
          <w:sz w:val="24"/>
          <w:u w:val="single"/>
        </w:rPr>
      </w:pPr>
      <w:r w:rsidRPr="00D97209">
        <w:rPr>
          <w:rFonts w:ascii="Times New Roman" w:hAnsi="Times New Roman"/>
          <w:i/>
          <w:sz w:val="24"/>
          <w:u w:val="single"/>
        </w:rPr>
        <w:t>Other Exam Policies</w:t>
      </w:r>
    </w:p>
    <w:p w:rsidR="00D97209" w:rsidRDefault="00D97209" w:rsidP="00D97209">
      <w:pPr>
        <w:pStyle w:val="2"/>
        <w:spacing w:line="240" w:lineRule="auto"/>
        <w:jc w:val="both"/>
      </w:pPr>
      <w:r>
        <w:t xml:space="preserve">No dictionaries are allowed on exams.  Ask the proctor or professor if you have a question about a definition. Calculators -- you will not be allowed to use a </w:t>
      </w:r>
      <w:proofErr w:type="spellStart"/>
      <w:r>
        <w:t>pda</w:t>
      </w:r>
      <w:proofErr w:type="spellEnd"/>
      <w:r>
        <w:t xml:space="preserve"> with a calculator or any calculator/computer which allows text entry on exams.  You are </w:t>
      </w:r>
      <w:r>
        <w:rPr>
          <w:b/>
          <w:bCs/>
        </w:rPr>
        <w:t>not allowed</w:t>
      </w:r>
      <w:r>
        <w:t xml:space="preserve"> to share a calculator. Students who wear </w:t>
      </w:r>
      <w:proofErr w:type="spellStart"/>
      <w:r>
        <w:t>ballcaps</w:t>
      </w:r>
      <w:proofErr w:type="spellEnd"/>
      <w:r>
        <w:t xml:space="preserve"> to exams will be asked to remove the cap or wear it with the bill facing backwards.  </w:t>
      </w:r>
      <w:r>
        <w:rPr>
          <w:b/>
          <w:bCs/>
        </w:rPr>
        <w:t>30 Minute Rule</w:t>
      </w:r>
      <w:r>
        <w:t xml:space="preserve"> – Students arriving 30 minutes late may not be permitted to take the exam.  Students are not allowed to leave the exam during the first 30 minutes.  Exams will be returned in class one day only-- generally during the class following the exam.  If you want your exam back, come to class.</w:t>
      </w:r>
    </w:p>
    <w:p w:rsidR="00D97209" w:rsidRDefault="00D97209" w:rsidP="00D97209">
      <w:pPr>
        <w:pStyle w:val="2"/>
        <w:spacing w:line="240" w:lineRule="auto"/>
        <w:ind w:leftChars="0" w:left="0"/>
      </w:pPr>
    </w:p>
    <w:p w:rsidR="00D97209" w:rsidRDefault="00D97209" w:rsidP="00D97209">
      <w:pPr>
        <w:pStyle w:val="3"/>
        <w:spacing w:line="240" w:lineRule="auto"/>
        <w:rPr>
          <w:rFonts w:ascii="Times New Roman" w:hAnsi="Times New Roman"/>
          <w:sz w:val="24"/>
        </w:rPr>
      </w:pPr>
      <w:r>
        <w:rPr>
          <w:rFonts w:ascii="Times New Roman" w:hAnsi="Times New Roman"/>
          <w:sz w:val="24"/>
        </w:rPr>
        <w:t>Overall Grading</w:t>
      </w:r>
    </w:p>
    <w:p w:rsidR="00D97209" w:rsidRDefault="00D97209" w:rsidP="00D97209"/>
    <w:p w:rsidR="00D97209" w:rsidRDefault="00D97209" w:rsidP="00D97209">
      <w:pPr>
        <w:jc w:val="both"/>
      </w:pPr>
      <w:r>
        <w:tab/>
        <w:t>As noted earlier, the makeup of your grades is as follows:</w:t>
      </w:r>
    </w:p>
    <w:p w:rsidR="00D97209" w:rsidRDefault="00D97209" w:rsidP="00D97209">
      <w:pPr>
        <w:jc w:val="both"/>
      </w:pPr>
    </w:p>
    <w:p w:rsidR="00D97209" w:rsidRDefault="00D97209" w:rsidP="00D97209">
      <w:pPr>
        <w:jc w:val="both"/>
      </w:pPr>
      <w:r>
        <w:t>Midterm #1</w:t>
      </w:r>
      <w:r w:rsidR="005105EC">
        <w:rPr>
          <w:rFonts w:hint="eastAsia"/>
        </w:rPr>
        <w:t xml:space="preserve"> (an open-</w:t>
      </w:r>
      <w:r w:rsidR="00C34325">
        <w:rPr>
          <w:rFonts w:hint="eastAsia"/>
        </w:rPr>
        <w:t>book exam)</w:t>
      </w:r>
      <w:r>
        <w:tab/>
      </w:r>
      <w:r>
        <w:tab/>
      </w:r>
      <w:r>
        <w:tab/>
      </w:r>
      <w:r>
        <w:tab/>
      </w:r>
      <w:r>
        <w:tab/>
        <w:t>30%</w:t>
      </w:r>
    </w:p>
    <w:p w:rsidR="00D97209" w:rsidRDefault="00D97209" w:rsidP="00D97209">
      <w:pPr>
        <w:jc w:val="both"/>
      </w:pPr>
      <w:r>
        <w:t>Midterm #2</w:t>
      </w:r>
      <w:r w:rsidR="005105EC">
        <w:rPr>
          <w:rFonts w:hint="eastAsia"/>
        </w:rPr>
        <w:t xml:space="preserve"> (an open-</w:t>
      </w:r>
      <w:r w:rsidR="00C34325">
        <w:rPr>
          <w:rFonts w:hint="eastAsia"/>
        </w:rPr>
        <w:t>book exam)</w:t>
      </w:r>
      <w:r>
        <w:tab/>
      </w:r>
      <w:r>
        <w:tab/>
      </w:r>
      <w:r>
        <w:tab/>
      </w:r>
      <w:r>
        <w:tab/>
      </w:r>
      <w:r>
        <w:tab/>
        <w:t>30%</w:t>
      </w:r>
    </w:p>
    <w:p w:rsidR="00D97209" w:rsidRDefault="00C34325" w:rsidP="00D97209">
      <w:pPr>
        <w:jc w:val="both"/>
      </w:pPr>
      <w:r>
        <w:t>Final Exam</w:t>
      </w:r>
      <w:r w:rsidR="005105EC">
        <w:rPr>
          <w:rFonts w:hint="eastAsia"/>
        </w:rPr>
        <w:t xml:space="preserve"> (an open-</w:t>
      </w:r>
      <w:r>
        <w:rPr>
          <w:rFonts w:hint="eastAsia"/>
        </w:rPr>
        <w:t>book exam)</w:t>
      </w:r>
      <w:r w:rsidR="001F3475">
        <w:tab/>
      </w:r>
      <w:r w:rsidR="001F3475">
        <w:tab/>
      </w:r>
      <w:r>
        <w:rPr>
          <w:rFonts w:hint="eastAsia"/>
        </w:rPr>
        <w:tab/>
      </w:r>
      <w:r w:rsidR="001F3475">
        <w:tab/>
      </w:r>
      <w:r w:rsidR="001F3475">
        <w:tab/>
      </w:r>
      <w:r w:rsidR="001F3475">
        <w:rPr>
          <w:rFonts w:hint="eastAsia"/>
        </w:rPr>
        <w:t>35</w:t>
      </w:r>
      <w:r w:rsidR="00D97209">
        <w:t>%</w:t>
      </w:r>
    </w:p>
    <w:p w:rsidR="00A90B8D" w:rsidRPr="001F3475" w:rsidRDefault="001F3475" w:rsidP="00A90B8D">
      <w:r w:rsidRPr="001F3475">
        <w:rPr>
          <w:rFonts w:hint="eastAsia"/>
        </w:rPr>
        <w:t>Attendance</w:t>
      </w:r>
      <w:r>
        <w:rPr>
          <w:rFonts w:hint="eastAsia"/>
        </w:rPr>
        <w:tab/>
      </w:r>
      <w:r>
        <w:rPr>
          <w:rFonts w:hint="eastAsia"/>
        </w:rPr>
        <w:tab/>
      </w:r>
      <w:r>
        <w:rPr>
          <w:rFonts w:hint="eastAsia"/>
        </w:rPr>
        <w:tab/>
      </w:r>
      <w:r>
        <w:rPr>
          <w:rFonts w:hint="eastAsia"/>
        </w:rPr>
        <w:tab/>
      </w:r>
      <w:r>
        <w:rPr>
          <w:rFonts w:hint="eastAsia"/>
        </w:rPr>
        <w:tab/>
      </w:r>
      <w:r w:rsidR="00B233EB">
        <w:rPr>
          <w:rFonts w:hint="eastAsia"/>
        </w:rPr>
        <w:tab/>
      </w:r>
      <w:r w:rsidR="00B233EB">
        <w:rPr>
          <w:rFonts w:hint="eastAsia"/>
        </w:rPr>
        <w:tab/>
      </w:r>
      <w:r w:rsidR="00B233EB">
        <w:rPr>
          <w:rFonts w:hint="eastAsia"/>
        </w:rPr>
        <w:tab/>
      </w:r>
      <w:r w:rsidR="00B233EB">
        <w:rPr>
          <w:rFonts w:hint="eastAsia"/>
        </w:rPr>
        <w:tab/>
      </w:r>
      <w:r>
        <w:rPr>
          <w:rFonts w:hint="eastAsia"/>
        </w:rPr>
        <w:t>5%</w:t>
      </w:r>
    </w:p>
    <w:p w:rsidR="00955D3F" w:rsidRDefault="00955D3F" w:rsidP="00A90B8D"/>
    <w:p w:rsidR="00A90B8D" w:rsidRDefault="00A90B8D" w:rsidP="00A90B8D"/>
    <w:p w:rsidR="00E97FBF" w:rsidRDefault="00E97FBF" w:rsidP="00A90B8D"/>
    <w:p w:rsidR="001F3475" w:rsidRDefault="001F3475" w:rsidP="00A90B8D"/>
    <w:p w:rsidR="008B7120" w:rsidRDefault="008B7120" w:rsidP="008B7120">
      <w:pPr>
        <w:jc w:val="both"/>
        <w:rPr>
          <w:color w:val="000000"/>
          <w:sz w:val="22"/>
        </w:rPr>
      </w:pPr>
      <w:r>
        <w:rPr>
          <w:b/>
        </w:rPr>
        <w:lastRenderedPageBreak/>
        <w:t>Course Outline</w:t>
      </w:r>
      <w:r>
        <w:rPr>
          <w:b/>
          <w:sz w:val="22"/>
        </w:rPr>
        <w:t>:</w:t>
      </w:r>
      <w:r>
        <w:rPr>
          <w:bCs/>
          <w:sz w:val="22"/>
        </w:rPr>
        <w:t xml:space="preserve">  </w:t>
      </w:r>
      <w:r>
        <w:rPr>
          <w:color w:val="000000"/>
          <w:sz w:val="22"/>
        </w:rPr>
        <w:t>The outline below is a rough outline of what we will cover.  Adjustments will be necessary during the progression of the semester.  It is the student’s responsibility to be aware of any changes announced in-class.</w:t>
      </w:r>
    </w:p>
    <w:p w:rsidR="00A90B8D" w:rsidRPr="008B7120" w:rsidRDefault="00A90B8D" w:rsidP="00A90B8D"/>
    <w:tbl>
      <w:tblPr>
        <w:tblW w:w="8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795"/>
      </w:tblGrid>
      <w:tr w:rsidR="00A90B8D">
        <w:trPr>
          <w:trHeight w:val="433"/>
        </w:trPr>
        <w:tc>
          <w:tcPr>
            <w:tcW w:w="1842" w:type="dxa"/>
            <w:vAlign w:val="center"/>
          </w:tcPr>
          <w:p w:rsidR="00A90B8D" w:rsidRDefault="00A90B8D" w:rsidP="00AA41C6">
            <w:pPr>
              <w:tabs>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sz w:val="22"/>
              </w:rPr>
            </w:pPr>
            <w:r>
              <w:rPr>
                <w:b/>
                <w:bCs/>
                <w:sz w:val="22"/>
              </w:rPr>
              <w:t>Date</w:t>
            </w:r>
          </w:p>
        </w:tc>
        <w:tc>
          <w:tcPr>
            <w:tcW w:w="6795" w:type="dxa"/>
            <w:vAlign w:val="center"/>
          </w:tcPr>
          <w:p w:rsidR="00A90B8D" w:rsidRPr="002D7195" w:rsidRDefault="00A90B8D"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bCs/>
              </w:rPr>
            </w:pPr>
            <w:r w:rsidRPr="002D7195">
              <w:rPr>
                <w:b/>
                <w:bCs/>
              </w:rPr>
              <w:t>Subject</w:t>
            </w:r>
          </w:p>
        </w:tc>
      </w:tr>
      <w:tr w:rsidR="00A90B8D">
        <w:trPr>
          <w:trHeight w:val="433"/>
        </w:trPr>
        <w:tc>
          <w:tcPr>
            <w:tcW w:w="1842" w:type="dxa"/>
            <w:vAlign w:val="center"/>
          </w:tcPr>
          <w:p w:rsidR="00A90B8D"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2/</w:t>
            </w:r>
            <w:r w:rsidR="00AE5CC7">
              <w:rPr>
                <w:rFonts w:hint="eastAsia"/>
                <w:sz w:val="22"/>
              </w:rPr>
              <w:t>24</w:t>
            </w:r>
          </w:p>
        </w:tc>
        <w:tc>
          <w:tcPr>
            <w:tcW w:w="6795" w:type="dxa"/>
            <w:vAlign w:val="center"/>
          </w:tcPr>
          <w:p w:rsidR="00A90B8D" w:rsidRPr="002D7195" w:rsidRDefault="00A90B8D"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D7195">
              <w:rPr>
                <w:sz w:val="22"/>
                <w:szCs w:val="22"/>
              </w:rPr>
              <w:t>Introduction</w:t>
            </w:r>
          </w:p>
        </w:tc>
      </w:tr>
      <w:tr w:rsidR="00A90B8D">
        <w:trPr>
          <w:trHeight w:val="433"/>
        </w:trPr>
        <w:tc>
          <w:tcPr>
            <w:tcW w:w="1842" w:type="dxa"/>
            <w:vAlign w:val="center"/>
          </w:tcPr>
          <w:p w:rsidR="00A90B8D" w:rsidRDefault="00AE5CC7"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3/3</w:t>
            </w:r>
          </w:p>
        </w:tc>
        <w:tc>
          <w:tcPr>
            <w:tcW w:w="6795" w:type="dxa"/>
            <w:vAlign w:val="center"/>
          </w:tcPr>
          <w:p w:rsidR="00A90B8D" w:rsidRPr="002D7195" w:rsidRDefault="00F95F86"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D7195">
              <w:rPr>
                <w:rFonts w:hint="eastAsia"/>
                <w:sz w:val="22"/>
                <w:szCs w:val="22"/>
              </w:rPr>
              <w:t>International Financial Markets</w:t>
            </w:r>
          </w:p>
        </w:tc>
      </w:tr>
      <w:tr w:rsidR="00A90B8D">
        <w:trPr>
          <w:trHeight w:val="433"/>
        </w:trPr>
        <w:tc>
          <w:tcPr>
            <w:tcW w:w="1842" w:type="dxa"/>
            <w:vAlign w:val="center"/>
          </w:tcPr>
          <w:p w:rsidR="00A90B8D" w:rsidRDefault="00694FA6"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3/</w:t>
            </w:r>
            <w:r w:rsidR="00AE5CC7">
              <w:rPr>
                <w:rFonts w:hint="eastAsia"/>
                <w:sz w:val="22"/>
              </w:rPr>
              <w:t>10</w:t>
            </w:r>
          </w:p>
        </w:tc>
        <w:tc>
          <w:tcPr>
            <w:tcW w:w="6795" w:type="dxa"/>
            <w:vAlign w:val="center"/>
          </w:tcPr>
          <w:p w:rsidR="00A90B8D" w:rsidRPr="002D7195" w:rsidRDefault="00F95F86" w:rsidP="00A90B8D">
            <w:pPr>
              <w:rPr>
                <w:sz w:val="22"/>
                <w:szCs w:val="22"/>
              </w:rPr>
            </w:pPr>
            <w:r w:rsidRPr="002D7195">
              <w:rPr>
                <w:rFonts w:hint="eastAsia"/>
                <w:sz w:val="22"/>
                <w:szCs w:val="22"/>
              </w:rPr>
              <w:t>Exchange Rate Determination</w:t>
            </w:r>
          </w:p>
        </w:tc>
      </w:tr>
      <w:tr w:rsidR="00A90B8D">
        <w:trPr>
          <w:trHeight w:val="433"/>
        </w:trPr>
        <w:tc>
          <w:tcPr>
            <w:tcW w:w="1842" w:type="dxa"/>
            <w:vAlign w:val="center"/>
          </w:tcPr>
          <w:p w:rsidR="00A90B8D" w:rsidRDefault="00694FA6"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3/</w:t>
            </w:r>
            <w:r w:rsidR="00E5668B">
              <w:rPr>
                <w:rFonts w:hint="eastAsia"/>
                <w:sz w:val="22"/>
              </w:rPr>
              <w:t>1</w:t>
            </w:r>
            <w:r w:rsidR="00AE5CC7">
              <w:rPr>
                <w:rFonts w:hint="eastAsia"/>
                <w:sz w:val="22"/>
              </w:rPr>
              <w:t>7</w:t>
            </w:r>
          </w:p>
        </w:tc>
        <w:tc>
          <w:tcPr>
            <w:tcW w:w="6795" w:type="dxa"/>
            <w:vAlign w:val="center"/>
          </w:tcPr>
          <w:p w:rsidR="00A90B8D" w:rsidRPr="002D7195" w:rsidRDefault="00F95F86" w:rsidP="002E5F4F">
            <w:pPr>
              <w:rPr>
                <w:sz w:val="22"/>
                <w:szCs w:val="22"/>
              </w:rPr>
            </w:pPr>
            <w:r w:rsidRPr="002D7195">
              <w:rPr>
                <w:rFonts w:hint="eastAsia"/>
                <w:sz w:val="22"/>
                <w:szCs w:val="22"/>
              </w:rPr>
              <w:t>Currency Derivatives</w:t>
            </w:r>
          </w:p>
        </w:tc>
      </w:tr>
      <w:tr w:rsidR="00E5668B">
        <w:trPr>
          <w:trHeight w:val="433"/>
        </w:trPr>
        <w:tc>
          <w:tcPr>
            <w:tcW w:w="1842" w:type="dxa"/>
            <w:vAlign w:val="center"/>
          </w:tcPr>
          <w:p w:rsidR="00E5668B" w:rsidRDefault="00E5668B" w:rsidP="005C1FFD">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3/</w:t>
            </w:r>
            <w:r w:rsidR="00AE5CC7">
              <w:rPr>
                <w:rFonts w:hint="eastAsia"/>
                <w:sz w:val="22"/>
              </w:rPr>
              <w:t>24</w:t>
            </w:r>
          </w:p>
        </w:tc>
        <w:tc>
          <w:tcPr>
            <w:tcW w:w="6795" w:type="dxa"/>
            <w:vAlign w:val="center"/>
          </w:tcPr>
          <w:p w:rsidR="00E5668B" w:rsidRPr="002D7195" w:rsidRDefault="00E5668B" w:rsidP="005C1FFD">
            <w:pPr>
              <w:rPr>
                <w:sz w:val="22"/>
                <w:szCs w:val="22"/>
              </w:rPr>
            </w:pPr>
            <w:r w:rsidRPr="00EE7810">
              <w:rPr>
                <w:rFonts w:hint="eastAsia"/>
                <w:szCs w:val="22"/>
              </w:rPr>
              <w:t>Government Influence on Exchange Rates</w:t>
            </w:r>
          </w:p>
        </w:tc>
      </w:tr>
      <w:tr w:rsidR="00E5668B">
        <w:trPr>
          <w:trHeight w:val="433"/>
        </w:trPr>
        <w:tc>
          <w:tcPr>
            <w:tcW w:w="1842" w:type="dxa"/>
            <w:vAlign w:val="center"/>
          </w:tcPr>
          <w:p w:rsidR="00E5668B" w:rsidRPr="008D7444" w:rsidRDefault="00CF48E4" w:rsidP="002B477D">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Pr>
                <w:rFonts w:hint="eastAsia"/>
                <w:b/>
                <w:sz w:val="22"/>
              </w:rPr>
              <w:t>3/</w:t>
            </w:r>
            <w:r w:rsidR="009F47DA">
              <w:rPr>
                <w:rFonts w:hint="eastAsia"/>
                <w:b/>
                <w:sz w:val="22"/>
              </w:rPr>
              <w:t>31</w:t>
            </w:r>
          </w:p>
        </w:tc>
        <w:tc>
          <w:tcPr>
            <w:tcW w:w="6795" w:type="dxa"/>
            <w:vAlign w:val="center"/>
          </w:tcPr>
          <w:p w:rsidR="00E5668B" w:rsidRPr="00EE7810" w:rsidRDefault="00AE5CC7" w:rsidP="002B477D">
            <w:pPr>
              <w:pStyle w:val="8"/>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bCs w:val="0"/>
                <w:szCs w:val="22"/>
                <w:lang w:eastAsia="zh-TW"/>
              </w:rPr>
            </w:pPr>
            <w:r>
              <w:rPr>
                <w:rFonts w:hint="eastAsia"/>
                <w:szCs w:val="22"/>
              </w:rPr>
              <w:t>Spr</w:t>
            </w:r>
            <w:r w:rsidRPr="00CF48E4">
              <w:rPr>
                <w:rFonts w:hint="eastAsia"/>
                <w:szCs w:val="22"/>
              </w:rPr>
              <w:t>ing Break -No class</w:t>
            </w:r>
          </w:p>
        </w:tc>
      </w:tr>
      <w:tr w:rsidR="00E5668B">
        <w:trPr>
          <w:trHeight w:val="433"/>
        </w:trPr>
        <w:tc>
          <w:tcPr>
            <w:tcW w:w="1842" w:type="dxa"/>
            <w:vAlign w:val="center"/>
          </w:tcPr>
          <w:p w:rsidR="00E5668B" w:rsidRPr="0093603C"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sidRPr="0093603C">
              <w:rPr>
                <w:rFonts w:hint="eastAsia"/>
                <w:b/>
                <w:sz w:val="22"/>
              </w:rPr>
              <w:t>4/</w:t>
            </w:r>
            <w:r w:rsidR="009F47DA">
              <w:rPr>
                <w:rFonts w:hint="eastAsia"/>
                <w:b/>
                <w:sz w:val="22"/>
              </w:rPr>
              <w:t>7</w:t>
            </w:r>
            <w:bookmarkStart w:id="0" w:name="_GoBack"/>
            <w:bookmarkEnd w:id="0"/>
          </w:p>
        </w:tc>
        <w:tc>
          <w:tcPr>
            <w:tcW w:w="6795" w:type="dxa"/>
            <w:vAlign w:val="center"/>
          </w:tcPr>
          <w:p w:rsidR="00E5668B" w:rsidRPr="00AE5CC7" w:rsidRDefault="00AE5CC7"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AE5CC7">
              <w:rPr>
                <w:rFonts w:hint="eastAsia"/>
                <w:b/>
                <w:sz w:val="22"/>
                <w:szCs w:val="22"/>
              </w:rPr>
              <w:t>Midterm #1</w:t>
            </w:r>
          </w:p>
        </w:tc>
      </w:tr>
      <w:tr w:rsidR="00E5668B">
        <w:trPr>
          <w:trHeight w:val="433"/>
        </w:trPr>
        <w:tc>
          <w:tcPr>
            <w:tcW w:w="1842" w:type="dxa"/>
            <w:vAlign w:val="center"/>
          </w:tcPr>
          <w:p w:rsidR="00E5668B" w:rsidRPr="00EE7810"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EE7810">
              <w:rPr>
                <w:rFonts w:hint="eastAsia"/>
                <w:sz w:val="22"/>
              </w:rPr>
              <w:t>4/</w:t>
            </w:r>
            <w:r w:rsidR="00AE5CC7">
              <w:rPr>
                <w:rFonts w:hint="eastAsia"/>
                <w:sz w:val="22"/>
              </w:rPr>
              <w:t>14</w:t>
            </w:r>
          </w:p>
        </w:tc>
        <w:tc>
          <w:tcPr>
            <w:tcW w:w="6795" w:type="dxa"/>
            <w:vAlign w:val="center"/>
          </w:tcPr>
          <w:p w:rsidR="00E5668B" w:rsidRPr="00487B23"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F35EE5">
              <w:rPr>
                <w:rFonts w:hint="eastAsia"/>
                <w:szCs w:val="22"/>
              </w:rPr>
              <w:t>International Arbitrage and Interest Rate Parity</w:t>
            </w:r>
          </w:p>
        </w:tc>
      </w:tr>
      <w:tr w:rsidR="00E5668B">
        <w:trPr>
          <w:trHeight w:val="433"/>
        </w:trPr>
        <w:tc>
          <w:tcPr>
            <w:tcW w:w="1842" w:type="dxa"/>
            <w:vAlign w:val="center"/>
          </w:tcPr>
          <w:p w:rsidR="00E5668B" w:rsidRPr="000E1076"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4/</w:t>
            </w:r>
            <w:r w:rsidR="00AE5CC7">
              <w:rPr>
                <w:rFonts w:hint="eastAsia"/>
                <w:sz w:val="22"/>
              </w:rPr>
              <w:t>21</w:t>
            </w:r>
          </w:p>
        </w:tc>
        <w:tc>
          <w:tcPr>
            <w:tcW w:w="6795" w:type="dxa"/>
            <w:vAlign w:val="center"/>
          </w:tcPr>
          <w:p w:rsidR="00E5668B" w:rsidRPr="00F35EE5"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F35EE5">
              <w:rPr>
                <w:rFonts w:hint="eastAsia"/>
                <w:szCs w:val="22"/>
              </w:rPr>
              <w:t>International Arbitrage and Interest Rate Parity</w:t>
            </w:r>
          </w:p>
        </w:tc>
      </w:tr>
      <w:tr w:rsidR="00E5668B">
        <w:trPr>
          <w:trHeight w:val="433"/>
        </w:trPr>
        <w:tc>
          <w:tcPr>
            <w:tcW w:w="1842" w:type="dxa"/>
            <w:vAlign w:val="center"/>
          </w:tcPr>
          <w:p w:rsidR="00E5668B" w:rsidRPr="000E1076" w:rsidRDefault="00CF48E4"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4/2</w:t>
            </w:r>
            <w:r w:rsidR="00AE5CC7">
              <w:rPr>
                <w:rFonts w:hint="eastAsia"/>
                <w:sz w:val="22"/>
              </w:rPr>
              <w:t>8</w:t>
            </w:r>
          </w:p>
        </w:tc>
        <w:tc>
          <w:tcPr>
            <w:tcW w:w="6795" w:type="dxa"/>
            <w:vAlign w:val="center"/>
          </w:tcPr>
          <w:p w:rsidR="00E5668B" w:rsidRPr="002D7195"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szCs w:val="22"/>
              </w:rPr>
            </w:pPr>
            <w:r w:rsidRPr="002D7195">
              <w:rPr>
                <w:rFonts w:hint="eastAsia"/>
                <w:sz w:val="22"/>
                <w:szCs w:val="22"/>
              </w:rPr>
              <w:t>Relationships among Inflation, Interest Rates and Exchange Rates</w:t>
            </w:r>
          </w:p>
        </w:tc>
      </w:tr>
      <w:tr w:rsidR="00E5668B">
        <w:trPr>
          <w:trHeight w:val="433"/>
        </w:trPr>
        <w:tc>
          <w:tcPr>
            <w:tcW w:w="1842" w:type="dxa"/>
            <w:vAlign w:val="center"/>
          </w:tcPr>
          <w:p w:rsidR="00E5668B" w:rsidRDefault="00AE5CC7"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5/5</w:t>
            </w:r>
          </w:p>
        </w:tc>
        <w:tc>
          <w:tcPr>
            <w:tcW w:w="6795" w:type="dxa"/>
            <w:vAlign w:val="center"/>
          </w:tcPr>
          <w:p w:rsidR="00E5668B" w:rsidRPr="002D7195" w:rsidRDefault="00E5668B" w:rsidP="00A90B8D">
            <w:pPr>
              <w:rPr>
                <w:sz w:val="22"/>
                <w:szCs w:val="22"/>
              </w:rPr>
            </w:pPr>
            <w:r w:rsidRPr="002D7195">
              <w:rPr>
                <w:rFonts w:hint="eastAsia"/>
                <w:sz w:val="22"/>
                <w:szCs w:val="22"/>
              </w:rPr>
              <w:t>Forecasting Exchange Rates</w:t>
            </w:r>
          </w:p>
        </w:tc>
      </w:tr>
      <w:tr w:rsidR="00E5668B">
        <w:trPr>
          <w:trHeight w:val="433"/>
        </w:trPr>
        <w:tc>
          <w:tcPr>
            <w:tcW w:w="1842" w:type="dxa"/>
            <w:vAlign w:val="center"/>
          </w:tcPr>
          <w:p w:rsidR="00E5668B" w:rsidRPr="00EE7810"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sidRPr="00EE7810">
              <w:rPr>
                <w:rFonts w:hint="eastAsia"/>
                <w:b/>
                <w:sz w:val="22"/>
              </w:rPr>
              <w:t>5/</w:t>
            </w:r>
            <w:r w:rsidR="00AE5CC7">
              <w:rPr>
                <w:rFonts w:hint="eastAsia"/>
                <w:b/>
                <w:sz w:val="22"/>
              </w:rPr>
              <w:t>12</w:t>
            </w:r>
          </w:p>
        </w:tc>
        <w:tc>
          <w:tcPr>
            <w:tcW w:w="6795" w:type="dxa"/>
            <w:vAlign w:val="center"/>
          </w:tcPr>
          <w:p w:rsidR="00E5668B" w:rsidRPr="002D7195" w:rsidRDefault="00E5668B" w:rsidP="00C34325">
            <w:pPr>
              <w:rPr>
                <w:sz w:val="22"/>
                <w:szCs w:val="22"/>
              </w:rPr>
            </w:pPr>
            <w:r w:rsidRPr="002D7195">
              <w:rPr>
                <w:b/>
                <w:sz w:val="22"/>
                <w:szCs w:val="22"/>
              </w:rPr>
              <w:t>Midterm #</w:t>
            </w:r>
            <w:r>
              <w:rPr>
                <w:rFonts w:hint="eastAsia"/>
                <w:b/>
                <w:sz w:val="22"/>
                <w:szCs w:val="22"/>
              </w:rPr>
              <w:t xml:space="preserve">2 </w:t>
            </w:r>
          </w:p>
        </w:tc>
      </w:tr>
      <w:tr w:rsidR="00E5668B">
        <w:trPr>
          <w:trHeight w:val="433"/>
        </w:trPr>
        <w:tc>
          <w:tcPr>
            <w:tcW w:w="1842" w:type="dxa"/>
            <w:vAlign w:val="center"/>
          </w:tcPr>
          <w:p w:rsidR="00E5668B" w:rsidRPr="006311A7"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6311A7">
              <w:rPr>
                <w:rFonts w:hint="eastAsia"/>
                <w:sz w:val="22"/>
              </w:rPr>
              <w:t>5/</w:t>
            </w:r>
            <w:r w:rsidR="00CF48E4">
              <w:rPr>
                <w:rFonts w:hint="eastAsia"/>
                <w:sz w:val="22"/>
              </w:rPr>
              <w:t>1</w:t>
            </w:r>
            <w:r w:rsidR="00AE5CC7">
              <w:rPr>
                <w:rFonts w:hint="eastAsia"/>
                <w:sz w:val="22"/>
              </w:rPr>
              <w:t>9</w:t>
            </w:r>
          </w:p>
        </w:tc>
        <w:tc>
          <w:tcPr>
            <w:tcW w:w="6795" w:type="dxa"/>
            <w:vAlign w:val="center"/>
          </w:tcPr>
          <w:p w:rsidR="00E5668B" w:rsidRPr="002D7195" w:rsidRDefault="00E5668B" w:rsidP="00A90B8D">
            <w:pPr>
              <w:rPr>
                <w:sz w:val="22"/>
                <w:szCs w:val="22"/>
              </w:rPr>
            </w:pPr>
            <w:r w:rsidRPr="002D7195">
              <w:rPr>
                <w:rFonts w:hint="eastAsia"/>
                <w:sz w:val="22"/>
                <w:szCs w:val="22"/>
              </w:rPr>
              <w:t>Measuring Exposure to Exchange Rate Fluctuations</w:t>
            </w:r>
          </w:p>
        </w:tc>
      </w:tr>
      <w:tr w:rsidR="00E5668B">
        <w:trPr>
          <w:trHeight w:val="433"/>
        </w:trPr>
        <w:tc>
          <w:tcPr>
            <w:tcW w:w="1842" w:type="dxa"/>
            <w:vAlign w:val="center"/>
          </w:tcPr>
          <w:p w:rsidR="00E5668B" w:rsidRPr="00F35EE5"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sidRPr="00F35EE5">
              <w:rPr>
                <w:sz w:val="22"/>
              </w:rPr>
              <w:t>5/</w:t>
            </w:r>
            <w:r w:rsidR="00CF48E4">
              <w:rPr>
                <w:rFonts w:hint="eastAsia"/>
                <w:sz w:val="22"/>
              </w:rPr>
              <w:t>2</w:t>
            </w:r>
            <w:r w:rsidR="00AE5CC7">
              <w:rPr>
                <w:rFonts w:hint="eastAsia"/>
                <w:sz w:val="22"/>
              </w:rPr>
              <w:t>6</w:t>
            </w:r>
          </w:p>
        </w:tc>
        <w:tc>
          <w:tcPr>
            <w:tcW w:w="6795" w:type="dxa"/>
            <w:vAlign w:val="center"/>
          </w:tcPr>
          <w:p w:rsidR="00E5668B" w:rsidRPr="002D7195" w:rsidRDefault="00E5668B" w:rsidP="00F35EE5">
            <w:pPr>
              <w:rPr>
                <w:sz w:val="22"/>
                <w:szCs w:val="22"/>
              </w:rPr>
            </w:pPr>
            <w:r w:rsidRPr="002D7195">
              <w:rPr>
                <w:rFonts w:hint="eastAsia"/>
                <w:sz w:val="22"/>
                <w:szCs w:val="22"/>
              </w:rPr>
              <w:t>Managing Transaction Exposure</w:t>
            </w:r>
          </w:p>
        </w:tc>
      </w:tr>
      <w:tr w:rsidR="00E5668B">
        <w:trPr>
          <w:trHeight w:val="433"/>
        </w:trPr>
        <w:tc>
          <w:tcPr>
            <w:tcW w:w="1842" w:type="dxa"/>
            <w:vAlign w:val="center"/>
          </w:tcPr>
          <w:p w:rsidR="00E5668B" w:rsidRDefault="00AE5CC7"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6/2</w:t>
            </w:r>
          </w:p>
        </w:tc>
        <w:tc>
          <w:tcPr>
            <w:tcW w:w="6795" w:type="dxa"/>
            <w:vAlign w:val="center"/>
          </w:tcPr>
          <w:p w:rsidR="00E5668B" w:rsidRPr="006311A7" w:rsidRDefault="00E5668B" w:rsidP="00A90B8D">
            <w:pPr>
              <w:pStyle w:val="8"/>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val="0"/>
                <w:bCs w:val="0"/>
                <w:szCs w:val="22"/>
                <w:lang w:eastAsia="zh-TW"/>
              </w:rPr>
            </w:pPr>
            <w:r w:rsidRPr="006311A7">
              <w:rPr>
                <w:rFonts w:hint="eastAsia"/>
                <w:b w:val="0"/>
                <w:szCs w:val="22"/>
              </w:rPr>
              <w:t>Managing Transaction Exposure</w:t>
            </w:r>
          </w:p>
        </w:tc>
      </w:tr>
      <w:tr w:rsidR="00E5668B">
        <w:trPr>
          <w:trHeight w:val="433"/>
        </w:trPr>
        <w:tc>
          <w:tcPr>
            <w:tcW w:w="1842" w:type="dxa"/>
            <w:vAlign w:val="center"/>
          </w:tcPr>
          <w:p w:rsidR="00E5668B"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rFonts w:hint="eastAsia"/>
                <w:sz w:val="22"/>
              </w:rPr>
              <w:t>6/</w:t>
            </w:r>
            <w:r w:rsidR="00AE5CC7">
              <w:rPr>
                <w:rFonts w:hint="eastAsia"/>
                <w:sz w:val="22"/>
              </w:rPr>
              <w:t>9</w:t>
            </w:r>
          </w:p>
        </w:tc>
        <w:tc>
          <w:tcPr>
            <w:tcW w:w="6795" w:type="dxa"/>
            <w:vAlign w:val="center"/>
          </w:tcPr>
          <w:p w:rsidR="00E5668B" w:rsidRPr="002D7195" w:rsidRDefault="00E5668B" w:rsidP="00A90B8D">
            <w:pPr>
              <w:pStyle w:val="8"/>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val="0"/>
                <w:bCs w:val="0"/>
                <w:szCs w:val="22"/>
                <w:lang w:eastAsia="zh-TW"/>
              </w:rPr>
            </w:pPr>
            <w:r w:rsidRPr="00462A63">
              <w:rPr>
                <w:rFonts w:hint="eastAsia"/>
                <w:b w:val="0"/>
                <w:szCs w:val="22"/>
              </w:rPr>
              <w:t>Managing Economic Exposure and Translation Exposure</w:t>
            </w:r>
          </w:p>
        </w:tc>
      </w:tr>
      <w:tr w:rsidR="00E5668B">
        <w:trPr>
          <w:trHeight w:val="433"/>
        </w:trPr>
        <w:tc>
          <w:tcPr>
            <w:tcW w:w="1842" w:type="dxa"/>
            <w:vAlign w:val="center"/>
          </w:tcPr>
          <w:p w:rsidR="00E5668B" w:rsidRPr="0073256C"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2"/>
              </w:rPr>
            </w:pPr>
            <w:r w:rsidRPr="0073256C">
              <w:rPr>
                <w:rFonts w:hint="eastAsia"/>
                <w:b/>
                <w:sz w:val="22"/>
              </w:rPr>
              <w:t>6/</w:t>
            </w:r>
            <w:r w:rsidR="00CF48E4">
              <w:rPr>
                <w:rFonts w:hint="eastAsia"/>
                <w:b/>
                <w:sz w:val="22"/>
              </w:rPr>
              <w:t>1</w:t>
            </w:r>
            <w:r w:rsidR="00AE5CC7">
              <w:rPr>
                <w:rFonts w:hint="eastAsia"/>
                <w:b/>
                <w:sz w:val="22"/>
              </w:rPr>
              <w:t>6</w:t>
            </w:r>
          </w:p>
        </w:tc>
        <w:tc>
          <w:tcPr>
            <w:tcW w:w="6795" w:type="dxa"/>
            <w:vAlign w:val="center"/>
          </w:tcPr>
          <w:p w:rsidR="00E5668B" w:rsidRPr="006311A7" w:rsidRDefault="00E5668B" w:rsidP="00AA41C6">
            <w:pPr>
              <w:tabs>
                <w:tab w:val="left" w:pos="-1440"/>
                <w:tab w:val="left" w:pos="-720"/>
                <w:tab w:val="left" w:pos="-90"/>
                <w:tab w:val="left" w:pos="900"/>
                <w:tab w:val="left" w:pos="1440"/>
                <w:tab w:val="left" w:pos="2160"/>
                <w:tab w:val="left" w:pos="5850"/>
                <w:tab w:val="left" w:pos="6120"/>
                <w:tab w:val="left" w:pos="6480"/>
                <w:tab w:val="left" w:pos="6570"/>
                <w:tab w:val="left" w:pos="70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2D7195">
              <w:rPr>
                <w:b/>
                <w:sz w:val="22"/>
                <w:szCs w:val="22"/>
              </w:rPr>
              <w:t>Final Exam</w:t>
            </w:r>
          </w:p>
        </w:tc>
      </w:tr>
    </w:tbl>
    <w:p w:rsidR="00A90B8D" w:rsidRDefault="00A90B8D" w:rsidP="00A90B8D"/>
    <w:sectPr w:rsidR="00A90B8D" w:rsidSect="00D92BD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D9C" w:rsidRDefault="00F34D9C" w:rsidP="007E6CB0">
      <w:r>
        <w:separator/>
      </w:r>
    </w:p>
  </w:endnote>
  <w:endnote w:type="continuationSeparator" w:id="0">
    <w:p w:rsidR="00F34D9C" w:rsidRDefault="00F34D9C" w:rsidP="007E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D9C" w:rsidRDefault="00F34D9C" w:rsidP="007E6CB0">
      <w:r>
        <w:separator/>
      </w:r>
    </w:p>
  </w:footnote>
  <w:footnote w:type="continuationSeparator" w:id="0">
    <w:p w:rsidR="00F34D9C" w:rsidRDefault="00F34D9C" w:rsidP="007E6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C1916"/>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0B8D"/>
    <w:rsid w:val="000466E6"/>
    <w:rsid w:val="00071486"/>
    <w:rsid w:val="000E1076"/>
    <w:rsid w:val="001154C9"/>
    <w:rsid w:val="001733CC"/>
    <w:rsid w:val="00177D9C"/>
    <w:rsid w:val="001F3475"/>
    <w:rsid w:val="001F405F"/>
    <w:rsid w:val="00244B7C"/>
    <w:rsid w:val="00285390"/>
    <w:rsid w:val="002B477D"/>
    <w:rsid w:val="002D7195"/>
    <w:rsid w:val="002E5F4F"/>
    <w:rsid w:val="00331434"/>
    <w:rsid w:val="00462A63"/>
    <w:rsid w:val="00473731"/>
    <w:rsid w:val="00480956"/>
    <w:rsid w:val="00487B23"/>
    <w:rsid w:val="005105EC"/>
    <w:rsid w:val="00531F3C"/>
    <w:rsid w:val="00576ED3"/>
    <w:rsid w:val="005E12B3"/>
    <w:rsid w:val="006311A7"/>
    <w:rsid w:val="0063441C"/>
    <w:rsid w:val="00640065"/>
    <w:rsid w:val="006750E8"/>
    <w:rsid w:val="00683AE1"/>
    <w:rsid w:val="00694FA6"/>
    <w:rsid w:val="006F2A0A"/>
    <w:rsid w:val="0073165D"/>
    <w:rsid w:val="0073256C"/>
    <w:rsid w:val="00733921"/>
    <w:rsid w:val="00734639"/>
    <w:rsid w:val="007E6CB0"/>
    <w:rsid w:val="008158DD"/>
    <w:rsid w:val="00817ED3"/>
    <w:rsid w:val="0086653A"/>
    <w:rsid w:val="008B7120"/>
    <w:rsid w:val="008D73DC"/>
    <w:rsid w:val="008D7444"/>
    <w:rsid w:val="008E6726"/>
    <w:rsid w:val="008F2CA4"/>
    <w:rsid w:val="008F5646"/>
    <w:rsid w:val="00923EB0"/>
    <w:rsid w:val="0093603C"/>
    <w:rsid w:val="00955D3F"/>
    <w:rsid w:val="00974990"/>
    <w:rsid w:val="0097568F"/>
    <w:rsid w:val="00975EF5"/>
    <w:rsid w:val="009867D0"/>
    <w:rsid w:val="009A7245"/>
    <w:rsid w:val="009F47DA"/>
    <w:rsid w:val="00A27D2F"/>
    <w:rsid w:val="00A554B4"/>
    <w:rsid w:val="00A90B8D"/>
    <w:rsid w:val="00AA41C6"/>
    <w:rsid w:val="00AC3CA5"/>
    <w:rsid w:val="00AE5CC7"/>
    <w:rsid w:val="00B233EB"/>
    <w:rsid w:val="00B27D73"/>
    <w:rsid w:val="00B46FC2"/>
    <w:rsid w:val="00B5246E"/>
    <w:rsid w:val="00B53696"/>
    <w:rsid w:val="00BD0572"/>
    <w:rsid w:val="00BD6960"/>
    <w:rsid w:val="00C34325"/>
    <w:rsid w:val="00C965B2"/>
    <w:rsid w:val="00CF48E4"/>
    <w:rsid w:val="00D34095"/>
    <w:rsid w:val="00D675AB"/>
    <w:rsid w:val="00D67F65"/>
    <w:rsid w:val="00D855F7"/>
    <w:rsid w:val="00D92BDC"/>
    <w:rsid w:val="00D97209"/>
    <w:rsid w:val="00DA4031"/>
    <w:rsid w:val="00DE324D"/>
    <w:rsid w:val="00DF754E"/>
    <w:rsid w:val="00E5668B"/>
    <w:rsid w:val="00E641B9"/>
    <w:rsid w:val="00E97FBF"/>
    <w:rsid w:val="00EE7810"/>
    <w:rsid w:val="00F34D9C"/>
    <w:rsid w:val="00F35435"/>
    <w:rsid w:val="00F35EE5"/>
    <w:rsid w:val="00F56DE6"/>
    <w:rsid w:val="00F61687"/>
    <w:rsid w:val="00F82DD0"/>
    <w:rsid w:val="00F95F86"/>
    <w:rsid w:val="00FE0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BDC"/>
    <w:pPr>
      <w:widowControl w:val="0"/>
    </w:pPr>
    <w:rPr>
      <w:kern w:val="2"/>
      <w:sz w:val="24"/>
      <w:szCs w:val="24"/>
    </w:rPr>
  </w:style>
  <w:style w:type="paragraph" w:styleId="3">
    <w:name w:val="heading 3"/>
    <w:basedOn w:val="a"/>
    <w:next w:val="a"/>
    <w:qFormat/>
    <w:rsid w:val="00D67F65"/>
    <w:pPr>
      <w:keepNext/>
      <w:spacing w:line="720" w:lineRule="auto"/>
      <w:outlineLvl w:val="2"/>
    </w:pPr>
    <w:rPr>
      <w:rFonts w:ascii="Arial" w:hAnsi="Arial"/>
      <w:b/>
      <w:bCs/>
      <w:sz w:val="36"/>
      <w:szCs w:val="36"/>
    </w:rPr>
  </w:style>
  <w:style w:type="paragraph" w:styleId="5">
    <w:name w:val="heading 5"/>
    <w:basedOn w:val="a"/>
    <w:next w:val="a"/>
    <w:qFormat/>
    <w:rsid w:val="00D97209"/>
    <w:pPr>
      <w:keepNext/>
      <w:spacing w:line="720" w:lineRule="auto"/>
      <w:ind w:leftChars="200" w:left="200"/>
      <w:outlineLvl w:val="4"/>
    </w:pPr>
    <w:rPr>
      <w:rFonts w:ascii="Arial" w:hAnsi="Arial"/>
      <w:b/>
      <w:bCs/>
      <w:sz w:val="36"/>
      <w:szCs w:val="36"/>
    </w:rPr>
  </w:style>
  <w:style w:type="paragraph" w:styleId="8">
    <w:name w:val="heading 8"/>
    <w:basedOn w:val="a"/>
    <w:next w:val="a"/>
    <w:qFormat/>
    <w:rsid w:val="00A90B8D"/>
    <w:pPr>
      <w:keepNext/>
      <w:widowControl/>
      <w:outlineLvl w:val="7"/>
    </w:pPr>
    <w:rPr>
      <w:b/>
      <w:bCs/>
      <w:kern w:val="0"/>
      <w:sz w:val="22"/>
      <w:szCs w:val="20"/>
      <w:lang w:eastAsia="en-US"/>
    </w:rPr>
  </w:style>
  <w:style w:type="paragraph" w:styleId="9">
    <w:name w:val="heading 9"/>
    <w:basedOn w:val="a"/>
    <w:next w:val="a"/>
    <w:qFormat/>
    <w:rsid w:val="00D97209"/>
    <w:pPr>
      <w:keepNext/>
      <w:spacing w:line="720" w:lineRule="auto"/>
      <w:ind w:leftChars="400"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A41C6"/>
    <w:pPr>
      <w:widowControl/>
      <w:jc w:val="center"/>
    </w:pPr>
    <w:rPr>
      <w:b/>
      <w:kern w:val="0"/>
      <w:sz w:val="28"/>
      <w:szCs w:val="20"/>
      <w:lang w:eastAsia="en-US"/>
    </w:rPr>
  </w:style>
  <w:style w:type="paragraph" w:styleId="a4">
    <w:name w:val="Subtitle"/>
    <w:basedOn w:val="a"/>
    <w:qFormat/>
    <w:rsid w:val="00AA41C6"/>
    <w:pPr>
      <w:widowControl/>
      <w:jc w:val="center"/>
    </w:pPr>
    <w:rPr>
      <w:b/>
      <w:kern w:val="0"/>
      <w:szCs w:val="20"/>
      <w:lang w:eastAsia="en-US"/>
    </w:rPr>
  </w:style>
  <w:style w:type="paragraph" w:styleId="a5">
    <w:name w:val="Body Text Indent"/>
    <w:basedOn w:val="a"/>
    <w:rsid w:val="00D67F65"/>
    <w:pPr>
      <w:widowControl/>
      <w:ind w:left="360"/>
      <w:jc w:val="both"/>
    </w:pPr>
    <w:rPr>
      <w:rFonts w:ascii="CG Times" w:hAnsi="CG Times"/>
      <w:kern w:val="0"/>
      <w:sz w:val="22"/>
      <w:szCs w:val="20"/>
      <w:lang w:eastAsia="en-US"/>
    </w:rPr>
  </w:style>
  <w:style w:type="paragraph" w:styleId="2">
    <w:name w:val="Body Text Indent 2"/>
    <w:basedOn w:val="a"/>
    <w:rsid w:val="00D97209"/>
    <w:pPr>
      <w:spacing w:after="120" w:line="480" w:lineRule="auto"/>
      <w:ind w:leftChars="200" w:left="480"/>
    </w:pPr>
  </w:style>
  <w:style w:type="paragraph" w:styleId="a6">
    <w:name w:val="header"/>
    <w:basedOn w:val="a"/>
    <w:link w:val="a7"/>
    <w:rsid w:val="007E6CB0"/>
    <w:pPr>
      <w:tabs>
        <w:tab w:val="center" w:pos="4153"/>
        <w:tab w:val="right" w:pos="8306"/>
      </w:tabs>
      <w:snapToGrid w:val="0"/>
    </w:pPr>
    <w:rPr>
      <w:sz w:val="20"/>
      <w:szCs w:val="20"/>
    </w:rPr>
  </w:style>
  <w:style w:type="character" w:customStyle="1" w:styleId="a7">
    <w:name w:val="頁首 字元"/>
    <w:basedOn w:val="a0"/>
    <w:link w:val="a6"/>
    <w:rsid w:val="007E6CB0"/>
    <w:rPr>
      <w:kern w:val="2"/>
    </w:rPr>
  </w:style>
  <w:style w:type="paragraph" w:styleId="a8">
    <w:name w:val="footer"/>
    <w:basedOn w:val="a"/>
    <w:link w:val="a9"/>
    <w:rsid w:val="007E6CB0"/>
    <w:pPr>
      <w:tabs>
        <w:tab w:val="center" w:pos="4153"/>
        <w:tab w:val="right" w:pos="8306"/>
      </w:tabs>
      <w:snapToGrid w:val="0"/>
    </w:pPr>
    <w:rPr>
      <w:sz w:val="20"/>
      <w:szCs w:val="20"/>
    </w:rPr>
  </w:style>
  <w:style w:type="character" w:customStyle="1" w:styleId="a9">
    <w:name w:val="頁尾 字元"/>
    <w:basedOn w:val="a0"/>
    <w:link w:val="a8"/>
    <w:rsid w:val="007E6CB0"/>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483</Words>
  <Characters>2754</Characters>
  <Application>Microsoft Office Word</Application>
  <DocSecurity>0</DocSecurity>
  <Lines>22</Lines>
  <Paragraphs>6</Paragraphs>
  <ScaleCrop>false</ScaleCrop>
  <Company>CCU</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Financial Management</dc:title>
  <dc:creator>CCU</dc:creator>
  <cp:lastModifiedBy>Admin</cp:lastModifiedBy>
  <cp:revision>3</cp:revision>
  <dcterms:created xsi:type="dcterms:W3CDTF">2020-12-17T13:23:00Z</dcterms:created>
  <dcterms:modified xsi:type="dcterms:W3CDTF">2021-02-24T06:07:00Z</dcterms:modified>
</cp:coreProperties>
</file>