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Ind w:w="-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8"/>
        <w:gridCol w:w="362"/>
        <w:gridCol w:w="1382"/>
        <w:gridCol w:w="1134"/>
        <w:gridCol w:w="142"/>
        <w:gridCol w:w="992"/>
        <w:gridCol w:w="595"/>
        <w:gridCol w:w="397"/>
        <w:gridCol w:w="993"/>
        <w:gridCol w:w="993"/>
        <w:gridCol w:w="1276"/>
      </w:tblGrid>
      <w:tr w:rsidR="00F05529" w:rsidTr="00A27C14">
        <w:trPr>
          <w:cantSplit/>
          <w:trHeight w:val="527"/>
        </w:trPr>
        <w:tc>
          <w:tcPr>
            <w:tcW w:w="5725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課程名稱：(中文)</w:t>
            </w:r>
            <w:r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生物醫學特論</w:t>
            </w:r>
          </w:p>
        </w:tc>
        <w:tc>
          <w:tcPr>
            <w:tcW w:w="1390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開課單位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化學工程學系</w:t>
            </w:r>
          </w:p>
        </w:tc>
      </w:tr>
      <w:tr w:rsidR="00F05529" w:rsidTr="00A27C14">
        <w:trPr>
          <w:cantSplit/>
          <w:trHeight w:val="527"/>
        </w:trPr>
        <w:tc>
          <w:tcPr>
            <w:tcW w:w="5725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ind w:firstLineChars="500" w:firstLine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(英文)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Topics in Biomedical Science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課程代碼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4255745</w:t>
            </w:r>
          </w:p>
        </w:tc>
      </w:tr>
      <w:tr w:rsidR="00F05529" w:rsidTr="00A27C14">
        <w:trPr>
          <w:cantSplit/>
          <w:trHeight w:hRule="exact" w:val="511"/>
        </w:trPr>
        <w:tc>
          <w:tcPr>
            <w:tcW w:w="9384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5529" w:rsidRDefault="00F05529" w:rsidP="00A27C14">
            <w:pPr>
              <w:spacing w:afterLines="100" w:after="360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授課教師：</w:t>
            </w:r>
            <w:r>
              <w:rPr>
                <w:rFonts w:ascii="標楷體" w:eastAsia="標楷體" w:hAnsi="標楷體" w:hint="eastAsia"/>
              </w:rPr>
              <w:t>黃光策</w:t>
            </w:r>
          </w:p>
        </w:tc>
      </w:tr>
      <w:tr w:rsidR="00F05529" w:rsidTr="00A27C14">
        <w:trPr>
          <w:cantSplit/>
          <w:trHeight w:hRule="exact" w:val="511"/>
        </w:trPr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5529" w:rsidRDefault="00F05529" w:rsidP="00A27C14">
            <w:pPr>
              <w:spacing w:afterLines="100" w:after="360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9" w:rsidRDefault="00F05529" w:rsidP="00A27C14">
            <w:pPr>
              <w:spacing w:afterLines="100" w:after="360"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9" w:rsidRDefault="00F05529" w:rsidP="00A27C14">
            <w:pPr>
              <w:spacing w:afterLines="100" w:after="360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必/選修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529" w:rsidRDefault="00F05529" w:rsidP="00A27C14">
            <w:pPr>
              <w:spacing w:afterLines="100" w:after="360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選修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529" w:rsidRDefault="00F05529" w:rsidP="00A27C14">
            <w:pPr>
              <w:spacing w:afterLines="100" w:after="360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開課年級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F05529" w:rsidRDefault="00F05529" w:rsidP="00A27C14">
            <w:pPr>
              <w:spacing w:afterLines="100" w:after="360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大四研究所</w:t>
            </w:r>
          </w:p>
        </w:tc>
      </w:tr>
      <w:tr w:rsidR="00F05529" w:rsidTr="00A27C14">
        <w:trPr>
          <w:cantSplit/>
          <w:trHeight w:hRule="exact" w:val="511"/>
        </w:trPr>
        <w:tc>
          <w:tcPr>
            <w:tcW w:w="9384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5529" w:rsidRDefault="00F05529" w:rsidP="00A27C14">
            <w:pPr>
              <w:spacing w:afterLines="100" w:after="360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先修科目或先備能力：</w:t>
            </w:r>
            <w:r>
              <w:rPr>
                <w:rFonts w:ascii="標楷體" w:eastAsia="標楷體" w:hAnsi="標楷體" w:hint="eastAsia"/>
              </w:rPr>
              <w:t>基礎生物化學概念</w:t>
            </w:r>
          </w:p>
        </w:tc>
      </w:tr>
      <w:tr w:rsidR="00F05529" w:rsidTr="00A27C14">
        <w:trPr>
          <w:cantSplit/>
          <w:trHeight w:hRule="exact" w:val="712"/>
        </w:trPr>
        <w:tc>
          <w:tcPr>
            <w:tcW w:w="9384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5529" w:rsidRDefault="00F05529" w:rsidP="00A27C1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課程概述與目標：</w:t>
            </w:r>
            <w:r>
              <w:rPr>
                <w:rFonts w:ascii="標楷體" w:eastAsia="標楷體" w:hAnsi="標楷體" w:hint="eastAsia"/>
              </w:rPr>
              <w:t>探討細胞之機能及運作並其與疾病之關係，</w:t>
            </w:r>
          </w:p>
          <w:p w:rsidR="00F05529" w:rsidRDefault="00F05529" w:rsidP="00A27C14">
            <w:pPr>
              <w:spacing w:line="360" w:lineRule="exact"/>
              <w:ind w:leftChars="827" w:left="19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培養學生生物醫學相關之基礎。</w:t>
            </w:r>
          </w:p>
        </w:tc>
      </w:tr>
      <w:tr w:rsidR="00F05529" w:rsidTr="00A27C14">
        <w:trPr>
          <w:cantSplit/>
          <w:trHeight w:hRule="exact" w:val="872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5529" w:rsidRDefault="00F05529" w:rsidP="00A27C14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教科書</w:t>
            </w:r>
          </w:p>
        </w:tc>
        <w:tc>
          <w:tcPr>
            <w:tcW w:w="7904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5529" w:rsidRDefault="00F05529" w:rsidP="00F0552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i/>
                <w:iCs/>
                <w:szCs w:val="28"/>
              </w:rPr>
              <w:t>Molecular Biology of the Cell</w:t>
            </w:r>
            <w:r>
              <w:rPr>
                <w:szCs w:val="28"/>
              </w:rPr>
              <w:t xml:space="preserve">, </w:t>
            </w:r>
            <w:r>
              <w:rPr>
                <w:rFonts w:hint="eastAsia"/>
                <w:szCs w:val="28"/>
              </w:rPr>
              <w:t>6</w:t>
            </w:r>
            <w:r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Ed</w:t>
            </w:r>
            <w:r>
              <w:rPr>
                <w:rFonts w:hint="eastAsia"/>
                <w:szCs w:val="28"/>
              </w:rPr>
              <w:t>.</w:t>
            </w:r>
            <w:r>
              <w:rPr>
                <w:szCs w:val="28"/>
              </w:rPr>
              <w:t xml:space="preserve">, Bruce Alberts, </w:t>
            </w:r>
            <w:r>
              <w:rPr>
                <w:rFonts w:hint="eastAsia"/>
                <w:szCs w:val="28"/>
              </w:rPr>
              <w:t>A</w:t>
            </w:r>
            <w:r>
              <w:rPr>
                <w:szCs w:val="28"/>
              </w:rPr>
              <w:t>lexander D. Johnson, Julian Lewis, Martin Raff, Keith Roberts, Taylor &amp; Francis Group, 20</w:t>
            </w:r>
            <w:r>
              <w:rPr>
                <w:rFonts w:hint="eastAsia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</w:tc>
      </w:tr>
      <w:tr w:rsidR="00F05529" w:rsidTr="00A27C14">
        <w:trPr>
          <w:cantSplit/>
          <w:trHeight w:hRule="exact" w:val="455"/>
        </w:trPr>
        <w:tc>
          <w:tcPr>
            <w:tcW w:w="413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課程大綱</w:t>
            </w:r>
          </w:p>
        </w:tc>
        <w:tc>
          <w:tcPr>
            <w:tcW w:w="397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分配時數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F05529" w:rsidTr="00A27C14">
        <w:trPr>
          <w:cantSplit/>
          <w:trHeight w:hRule="exact" w:val="612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單元主題</w:t>
            </w:r>
          </w:p>
        </w:tc>
        <w:tc>
          <w:tcPr>
            <w:tcW w:w="2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內容綱要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講授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示範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習作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05529" w:rsidRDefault="00F05529" w:rsidP="00A27C14">
            <w:pPr>
              <w:spacing w:afterLines="100" w:after="360" w:line="480" w:lineRule="exact"/>
              <w:jc w:val="center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其</w:t>
            </w:r>
            <w:r>
              <w:rPr>
                <w:rFonts w:ascii="標楷體" w:eastAsia="標楷體" w:hAnsi="標楷體" w:hint="eastAsia"/>
                <w:spacing w:val="-12"/>
              </w:rPr>
              <w:t>他</w:t>
            </w:r>
            <w:r>
              <w:rPr>
                <w:rFonts w:ascii="標楷體" w:eastAsia="標楷體" w:hAnsi="標楷體"/>
                <w:spacing w:val="-12"/>
                <w:vertAlign w:val="superscript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F05529" w:rsidTr="00A27C14">
        <w:trPr>
          <w:cantSplit/>
          <w:trHeight w:val="767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How cells are studied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Isolating cells</w:t>
            </w:r>
          </w:p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 xml:space="preserve"> Fractionation of cells</w:t>
            </w:r>
          </w:p>
          <w:p w:rsidR="00F05529" w:rsidRDefault="00F05529" w:rsidP="00A27C14">
            <w:pPr>
              <w:spacing w:line="0" w:lineRule="atLeast"/>
              <w:ind w:left="324" w:hangingChars="135" w:hanging="324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 xml:space="preserve"> Manipulating proteins, DNA, land RNA</w:t>
            </w:r>
          </w:p>
          <w:p w:rsidR="00F05529" w:rsidRDefault="00F05529" w:rsidP="00A27C14">
            <w:pPr>
              <w:spacing w:line="0" w:lineRule="atLeast"/>
              <w:ind w:left="324" w:hangingChars="135" w:hanging="324"/>
              <w:rPr>
                <w:rFonts w:eastAsia="標楷體"/>
              </w:rPr>
            </w:pPr>
            <w:r>
              <w:rPr>
                <w:rFonts w:eastAsia="標楷體" w:hint="eastAsia"/>
              </w:rPr>
              <w:t>4.Visualizing cells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0.5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529" w:rsidRDefault="00F05529" w:rsidP="00A27C14">
            <w:pPr>
              <w:pStyle w:val="1"/>
            </w:pPr>
            <w:r>
              <w:rPr>
                <w:rFonts w:hint="eastAsia"/>
              </w:rPr>
              <w:t>Ch.8 &amp; 9</w:t>
            </w:r>
          </w:p>
        </w:tc>
      </w:tr>
      <w:tr w:rsidR="00F05529" w:rsidTr="00A27C14">
        <w:trPr>
          <w:cantSplit/>
          <w:trHeight w:val="767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Protein functions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ind w:left="324" w:hangingChars="135" w:hanging="324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The shape and </w:t>
            </w:r>
            <w:r>
              <w:rPr>
                <w:rFonts w:eastAsia="標楷體"/>
              </w:rPr>
              <w:t>structure</w:t>
            </w:r>
            <w:r>
              <w:rPr>
                <w:rFonts w:eastAsia="標楷體" w:hint="eastAsia"/>
              </w:rPr>
              <w:t xml:space="preserve"> of protein</w:t>
            </w:r>
          </w:p>
          <w:p w:rsidR="00F05529" w:rsidRDefault="00F05529" w:rsidP="00A27C1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 xml:space="preserve"> Protein function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529" w:rsidRDefault="00F05529" w:rsidP="00A27C14">
            <w:pPr>
              <w:pStyle w:val="1"/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hint="eastAsia"/>
                  </w:rPr>
                  <w:t>Ch.</w:t>
                </w:r>
              </w:smartTag>
            </w:smartTag>
            <w:r>
              <w:rPr>
                <w:rFonts w:hint="eastAsia"/>
              </w:rPr>
              <w:t xml:space="preserve"> 3 </w:t>
            </w:r>
          </w:p>
        </w:tc>
      </w:tr>
      <w:tr w:rsidR="00F05529" w:rsidTr="00A27C14">
        <w:trPr>
          <w:cantSplit/>
          <w:trHeight w:val="767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Control of gene expression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ind w:left="324" w:hangingChars="135" w:hanging="324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DNA-binding motifs</w:t>
            </w:r>
          </w:p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 xml:space="preserve"> Genetic switch</w:t>
            </w:r>
          </w:p>
          <w:p w:rsidR="00F05529" w:rsidRDefault="00F05529" w:rsidP="00A27C14">
            <w:pPr>
              <w:spacing w:line="0" w:lineRule="atLeast"/>
              <w:ind w:leftChars="-14" w:left="144" w:hangingChars="74" w:hanging="178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3 Posttranscriptional controls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529" w:rsidRDefault="00F05529" w:rsidP="00A27C14">
            <w:pPr>
              <w:pStyle w:val="1"/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hint="eastAsia"/>
                  </w:rPr>
                  <w:t>Ch.</w:t>
                </w:r>
              </w:smartTag>
            </w:smartTag>
            <w:r>
              <w:rPr>
                <w:rFonts w:hint="eastAsia"/>
              </w:rPr>
              <w:t xml:space="preserve"> 7 </w:t>
            </w:r>
          </w:p>
        </w:tc>
      </w:tr>
      <w:tr w:rsidR="00F05529" w:rsidTr="00A27C14">
        <w:trPr>
          <w:cantSplit/>
          <w:trHeight w:val="767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Cell signaling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ind w:left="324" w:hangingChars="135" w:hanging="324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G-protein linked receptors</w:t>
            </w:r>
          </w:p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 xml:space="preserve"> Enzyme-linked receptor</w:t>
            </w:r>
          </w:p>
          <w:p w:rsidR="00F05529" w:rsidRDefault="00F05529" w:rsidP="00A27C14">
            <w:pPr>
              <w:spacing w:line="0" w:lineRule="atLeast"/>
              <w:ind w:left="324" w:hangingChars="135" w:hanging="324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 xml:space="preserve"> Signaling via regulated proteolysis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  <w:u w:val="single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eastAsia="標楷體" w:hint="eastAsia"/>
                    <w:u w:val="single"/>
                  </w:rPr>
                  <w:t>Ch.</w:t>
                </w:r>
              </w:smartTag>
            </w:smartTag>
            <w:r>
              <w:rPr>
                <w:rFonts w:eastAsia="標楷體" w:hint="eastAsia"/>
                <w:u w:val="single"/>
              </w:rPr>
              <w:t xml:space="preserve"> 15</w:t>
            </w:r>
          </w:p>
        </w:tc>
      </w:tr>
      <w:tr w:rsidR="00F05529" w:rsidTr="00A27C14">
        <w:trPr>
          <w:cantSplit/>
          <w:trHeight w:val="767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The cytoskeleton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ind w:leftChars="-14" w:left="144" w:hangingChars="74" w:hanging="178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Regulation of cytoskeletal filaments</w:t>
            </w:r>
          </w:p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 xml:space="preserve"> Molecular motors</w:t>
            </w:r>
          </w:p>
          <w:p w:rsidR="00F05529" w:rsidRDefault="00F05529" w:rsidP="00A27C14">
            <w:pPr>
              <w:spacing w:line="0" w:lineRule="atLeast"/>
              <w:ind w:leftChars="-14" w:left="324" w:hangingChars="149" w:hanging="358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 xml:space="preserve"> Cytoskeleton and cell behavior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  <w:u w:val="single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eastAsia="標楷體" w:hint="eastAsia"/>
                    <w:u w:val="single"/>
                  </w:rPr>
                  <w:t>Ch.</w:t>
                </w:r>
              </w:smartTag>
            </w:smartTag>
            <w:r>
              <w:rPr>
                <w:rFonts w:eastAsia="標楷體" w:hint="eastAsia"/>
                <w:u w:val="single"/>
              </w:rPr>
              <w:t xml:space="preserve"> 16</w:t>
            </w:r>
          </w:p>
        </w:tc>
      </w:tr>
      <w:tr w:rsidR="00F05529" w:rsidTr="00A27C14">
        <w:trPr>
          <w:cantSplit/>
          <w:trHeight w:val="767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Cell cycle and apoptosis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ind w:left="324" w:hangingChars="135" w:hanging="324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Cell-cycle control system</w:t>
            </w:r>
          </w:p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 xml:space="preserve"> Apoptosis</w:t>
            </w:r>
          </w:p>
          <w:p w:rsidR="00F05529" w:rsidRDefault="00F05529" w:rsidP="00A27C14">
            <w:pPr>
              <w:spacing w:line="0" w:lineRule="atLeast"/>
              <w:ind w:left="144" w:hangingChars="60" w:hanging="144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 xml:space="preserve"> Extracellular control of cellular fate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  <w:u w:val="single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eastAsia="標楷體" w:hint="eastAsia"/>
                    <w:u w:val="single"/>
                  </w:rPr>
                  <w:t>Ch.</w:t>
                </w:r>
              </w:smartTag>
            </w:smartTag>
            <w:r>
              <w:rPr>
                <w:rFonts w:eastAsia="標楷體" w:hint="eastAsia"/>
                <w:u w:val="single"/>
              </w:rPr>
              <w:t xml:space="preserve"> 17 &amp; 18</w:t>
            </w:r>
          </w:p>
        </w:tc>
      </w:tr>
      <w:tr w:rsidR="00F05529" w:rsidTr="00A27C14">
        <w:trPr>
          <w:cantSplit/>
          <w:trHeight w:val="511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Cell adhesion and the extracellular matrix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Cell junction</w:t>
            </w:r>
          </w:p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 xml:space="preserve"> Cell-cell adhesion</w:t>
            </w:r>
          </w:p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 xml:space="preserve"> Extracellular matrix</w:t>
            </w:r>
          </w:p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4. Integrins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eastAsia="標楷體" w:hint="eastAsia"/>
                  </w:rPr>
                  <w:t>Ch.</w:t>
                </w:r>
              </w:smartTag>
            </w:smartTag>
            <w:r>
              <w:rPr>
                <w:rFonts w:eastAsia="標楷體" w:hint="eastAsia"/>
              </w:rPr>
              <w:t xml:space="preserve"> 19</w:t>
            </w:r>
          </w:p>
        </w:tc>
      </w:tr>
      <w:tr w:rsidR="00F05529" w:rsidTr="00A27C14">
        <w:trPr>
          <w:cantSplit/>
          <w:trHeight w:val="511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Cancer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Cancer critical genes</w:t>
            </w:r>
          </w:p>
          <w:p w:rsidR="00F05529" w:rsidRDefault="00F05529" w:rsidP="00A27C14">
            <w:pPr>
              <w:spacing w:line="0" w:lineRule="atLeast"/>
              <w:ind w:leftChars="-14" w:left="326" w:hangingChars="150" w:hanging="36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 xml:space="preserve"> Molecular basis of cancer-cell behavior</w:t>
            </w:r>
          </w:p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 xml:space="preserve"> Cancer treatments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eastAsia="標楷體" w:hint="eastAsia"/>
                  </w:rPr>
                  <w:t>Ch.</w:t>
                </w:r>
              </w:smartTag>
            </w:smartTag>
            <w:r>
              <w:rPr>
                <w:rFonts w:eastAsia="標楷體" w:hint="eastAsia"/>
              </w:rPr>
              <w:t xml:space="preserve"> 23</w:t>
            </w:r>
          </w:p>
        </w:tc>
      </w:tr>
      <w:tr w:rsidR="00F05529" w:rsidTr="00A27C14">
        <w:trPr>
          <w:cantSplit/>
          <w:trHeight w:val="511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Immune systems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ind w:leftChars="-14" w:left="144" w:hangingChars="74" w:hanging="178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Adaptive immune system</w:t>
            </w:r>
          </w:p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 xml:space="preserve"> Innate immune system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5529" w:rsidRDefault="00F05529" w:rsidP="00A27C14">
            <w:pPr>
              <w:spacing w:line="0" w:lineRule="atLeast"/>
              <w:rPr>
                <w:rFonts w:eastAsia="標楷體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eastAsia="標楷體" w:hint="eastAsia"/>
                  </w:rPr>
                  <w:t>Ch.</w:t>
                </w:r>
              </w:smartTag>
            </w:smartTag>
            <w:r>
              <w:rPr>
                <w:rFonts w:eastAsia="標楷體" w:hint="eastAsia"/>
              </w:rPr>
              <w:t xml:space="preserve"> 24 &amp; 25</w:t>
            </w:r>
          </w:p>
        </w:tc>
      </w:tr>
      <w:tr w:rsidR="00F05529" w:rsidTr="00DF055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205"/>
        </w:trPr>
        <w:tc>
          <w:tcPr>
            <w:tcW w:w="9384" w:type="dxa"/>
            <w:gridSpan w:val="11"/>
          </w:tcPr>
          <w:p w:rsidR="00DF0557" w:rsidRDefault="00F05529" w:rsidP="00A27C14">
            <w:pPr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評量方法</w:t>
            </w:r>
            <w:r w:rsidR="00DF0557">
              <w:rPr>
                <w:rFonts w:eastAsia="標楷體" w:hAnsi="標楷體" w:hint="eastAsia"/>
              </w:rPr>
              <w:t xml:space="preserve"> (Grading)</w:t>
            </w:r>
            <w:r>
              <w:rPr>
                <w:rFonts w:eastAsia="標楷體" w:hAnsi="標楷體" w:hint="eastAsia"/>
              </w:rPr>
              <w:t xml:space="preserve">: </w:t>
            </w:r>
          </w:p>
          <w:p w:rsidR="000056B5" w:rsidRDefault="00DF0557" w:rsidP="00A27C1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Ansi="標楷體"/>
              </w:rPr>
              <w:t>idterm Exam (40%)</w:t>
            </w:r>
            <w:r w:rsidR="000056B5">
              <w:rPr>
                <w:rFonts w:eastAsia="標楷體" w:hAnsi="標楷體"/>
              </w:rPr>
              <w:t xml:space="preserve"> </w:t>
            </w:r>
            <w:r w:rsidR="000056B5" w:rsidRPr="000056B5">
              <w:rPr>
                <w:rFonts w:eastAsia="標楷體" w:hAnsi="標楷體"/>
                <w:b/>
              </w:rPr>
              <w:t>4/</w:t>
            </w:r>
            <w:r w:rsidR="0031686F">
              <w:rPr>
                <w:rFonts w:eastAsia="標楷體" w:hAnsi="標楷體" w:hint="eastAsia"/>
                <w:b/>
              </w:rPr>
              <w:t>22</w:t>
            </w:r>
            <w:r w:rsidR="000056B5" w:rsidRPr="000056B5">
              <w:rPr>
                <w:rFonts w:eastAsia="標楷體" w:hAnsi="標楷體"/>
                <w:b/>
              </w:rPr>
              <w:t>/2</w:t>
            </w:r>
            <w:r w:rsidR="0031686F">
              <w:rPr>
                <w:rFonts w:eastAsia="標楷體" w:hAnsi="標楷體" w:hint="eastAsia"/>
                <w:b/>
              </w:rPr>
              <w:t>1</w:t>
            </w:r>
            <w:r w:rsidR="00F05529">
              <w:rPr>
                <w:rFonts w:eastAsia="標楷體" w:hAnsi="標楷體" w:hint="eastAsia"/>
              </w:rPr>
              <w:t>;</w:t>
            </w:r>
            <w:r>
              <w:rPr>
                <w:rFonts w:eastAsia="標楷體" w:hAnsi="標楷體"/>
              </w:rPr>
              <w:t xml:space="preserve"> Final Exam (40%)</w:t>
            </w:r>
            <w:r w:rsidR="000056B5">
              <w:rPr>
                <w:rFonts w:eastAsia="標楷體" w:hAnsi="標楷體"/>
              </w:rPr>
              <w:t xml:space="preserve"> </w:t>
            </w:r>
            <w:r w:rsidR="000056B5" w:rsidRPr="000056B5">
              <w:rPr>
                <w:rFonts w:eastAsia="標楷體" w:hAnsi="標楷體"/>
                <w:b/>
              </w:rPr>
              <w:t>6/</w:t>
            </w:r>
            <w:r w:rsidR="00C90D10">
              <w:rPr>
                <w:rFonts w:eastAsia="標楷體" w:hAnsi="標楷體" w:hint="eastAsia"/>
                <w:b/>
              </w:rPr>
              <w:t>24</w:t>
            </w:r>
            <w:r w:rsidR="000056B5" w:rsidRPr="000056B5">
              <w:rPr>
                <w:rFonts w:eastAsia="標楷體" w:hAnsi="標楷體"/>
                <w:b/>
              </w:rPr>
              <w:t>/2</w:t>
            </w:r>
            <w:r w:rsidR="00C90D10">
              <w:rPr>
                <w:rFonts w:eastAsia="標楷體" w:hAnsi="標楷體" w:hint="eastAsia"/>
                <w:b/>
              </w:rPr>
              <w:t>1</w:t>
            </w:r>
            <w:r>
              <w:rPr>
                <w:rFonts w:eastAsia="標楷體" w:hAnsi="標楷體"/>
              </w:rPr>
              <w:t xml:space="preserve">, </w:t>
            </w:r>
          </w:p>
          <w:p w:rsidR="00F05529" w:rsidRDefault="00DF0557" w:rsidP="000056B5">
            <w:pPr>
              <w:rPr>
                <w:rFonts w:eastAsia="標楷體" w:hAnsi="標楷體"/>
                <w:b/>
              </w:rPr>
            </w:pPr>
            <w:r>
              <w:rPr>
                <w:rFonts w:eastAsia="標楷體" w:hAnsi="標楷體"/>
              </w:rPr>
              <w:t>Final report and presentation (20%)</w:t>
            </w:r>
            <w:r w:rsidR="00F05529">
              <w:rPr>
                <w:rFonts w:eastAsia="標楷體" w:hAnsi="標楷體" w:hint="eastAsia"/>
              </w:rPr>
              <w:t xml:space="preserve"> </w:t>
            </w:r>
            <w:r w:rsidR="000056B5">
              <w:rPr>
                <w:rFonts w:eastAsia="標楷體" w:hAnsi="標楷體"/>
                <w:b/>
              </w:rPr>
              <w:t>6/1</w:t>
            </w:r>
            <w:r w:rsidR="00C90D10">
              <w:rPr>
                <w:rFonts w:eastAsia="標楷體" w:hAnsi="標楷體" w:hint="eastAsia"/>
                <w:b/>
              </w:rPr>
              <w:t>7</w:t>
            </w:r>
            <w:r w:rsidR="000056B5" w:rsidRPr="000056B5">
              <w:rPr>
                <w:rFonts w:eastAsia="標楷體" w:hAnsi="標楷體"/>
                <w:b/>
              </w:rPr>
              <w:t>/2</w:t>
            </w:r>
            <w:r w:rsidR="00C90D10">
              <w:rPr>
                <w:rFonts w:eastAsia="標楷體" w:hAnsi="標楷體" w:hint="eastAsia"/>
                <w:b/>
              </w:rPr>
              <w:t>1</w:t>
            </w:r>
            <w:bookmarkStart w:id="0" w:name="_GoBack"/>
            <w:bookmarkEnd w:id="0"/>
          </w:p>
          <w:p w:rsidR="00D62654" w:rsidRPr="0031686F" w:rsidRDefault="00D62654" w:rsidP="000056B5">
            <w:pPr>
              <w:rPr>
                <w:rFonts w:eastAsia="標楷體" w:hAnsi="標楷體"/>
                <w:color w:val="FF0000"/>
              </w:rPr>
            </w:pPr>
            <w:r w:rsidRPr="0031686F">
              <w:rPr>
                <w:rFonts w:eastAsia="標楷體" w:hAnsi="標楷體"/>
                <w:b/>
                <w:color w:val="FF0000"/>
              </w:rPr>
              <w:t>There are no makeup exams.</w:t>
            </w:r>
          </w:p>
          <w:p w:rsidR="00F05529" w:rsidRDefault="00F05529" w:rsidP="00DF0557">
            <w:pPr>
              <w:rPr>
                <w:rFonts w:ascii="標楷體" w:eastAsia="標楷體" w:hAnsi="標楷體"/>
              </w:rPr>
            </w:pPr>
            <w:r>
              <w:rPr>
                <w:rFonts w:eastAsia="標楷體" w:hAnsi="標楷體"/>
              </w:rPr>
              <w:t>教學資源</w:t>
            </w:r>
            <w:r w:rsidR="00DF0557">
              <w:rPr>
                <w:rFonts w:eastAsia="標楷體" w:hAnsi="標楷體" w:hint="eastAsia"/>
              </w:rPr>
              <w:t xml:space="preserve"> (</w:t>
            </w:r>
            <w:r w:rsidR="00DF0557">
              <w:rPr>
                <w:rFonts w:eastAsia="標楷體" w:hAnsi="標楷體"/>
              </w:rPr>
              <w:t>Class resources)</w:t>
            </w:r>
            <w:r>
              <w:rPr>
                <w:rFonts w:eastAsia="標楷體" w:hAnsi="標楷體" w:hint="eastAsia"/>
              </w:rPr>
              <w:t xml:space="preserve">: </w:t>
            </w:r>
            <w:r w:rsidR="00DF0557">
              <w:rPr>
                <w:rFonts w:eastAsia="標楷體" w:hAnsi="標楷體" w:hint="eastAsia"/>
              </w:rPr>
              <w:t>e</w:t>
            </w:r>
            <w:r w:rsidR="00DF0557">
              <w:rPr>
                <w:rFonts w:eastAsia="標楷體" w:hAnsi="標楷體"/>
              </w:rPr>
              <w:t>-course2</w:t>
            </w:r>
            <w:r>
              <w:rPr>
                <w:rFonts w:eastAsia="標楷體" w:hint="eastAsia"/>
              </w:rPr>
              <w:t>。</w:t>
            </w:r>
          </w:p>
        </w:tc>
      </w:tr>
    </w:tbl>
    <w:p w:rsidR="00EB0BEB" w:rsidRPr="00F05529" w:rsidRDefault="00EB0BEB"/>
    <w:sectPr w:rsidR="00EB0BEB" w:rsidRPr="00F055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BB1" w:rsidRDefault="00613BB1" w:rsidP="00DF0557">
      <w:r>
        <w:separator/>
      </w:r>
    </w:p>
  </w:endnote>
  <w:endnote w:type="continuationSeparator" w:id="0">
    <w:p w:rsidR="00613BB1" w:rsidRDefault="00613BB1" w:rsidP="00DF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BB1" w:rsidRDefault="00613BB1" w:rsidP="00DF0557">
      <w:r>
        <w:separator/>
      </w:r>
    </w:p>
  </w:footnote>
  <w:footnote w:type="continuationSeparator" w:id="0">
    <w:p w:rsidR="00613BB1" w:rsidRDefault="00613BB1" w:rsidP="00DF0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29"/>
    <w:rsid w:val="000056B5"/>
    <w:rsid w:val="0031686F"/>
    <w:rsid w:val="005A329D"/>
    <w:rsid w:val="00613BB1"/>
    <w:rsid w:val="00834C45"/>
    <w:rsid w:val="009C3A8A"/>
    <w:rsid w:val="00C90D10"/>
    <w:rsid w:val="00D62654"/>
    <w:rsid w:val="00D6456D"/>
    <w:rsid w:val="00DF0557"/>
    <w:rsid w:val="00EB0BEB"/>
    <w:rsid w:val="00F0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215E54-EB3B-4361-BEE2-E7A6FAAE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52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05529"/>
    <w:pPr>
      <w:keepNext/>
      <w:spacing w:line="0" w:lineRule="atLeast"/>
      <w:outlineLvl w:val="0"/>
    </w:pPr>
    <w:rPr>
      <w:rFonts w:eastAsia="標楷體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05529"/>
    <w:rPr>
      <w:rFonts w:ascii="Times New Roman" w:eastAsia="標楷體" w:hAnsi="Times New Roman" w:cs="Times New Roman"/>
      <w:szCs w:val="24"/>
      <w:u w:val="single"/>
    </w:rPr>
  </w:style>
  <w:style w:type="paragraph" w:styleId="a3">
    <w:name w:val="header"/>
    <w:basedOn w:val="a"/>
    <w:link w:val="a4"/>
    <w:uiPriority w:val="99"/>
    <w:unhideWhenUsed/>
    <w:rsid w:val="00DF0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05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0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055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2019-12-25T03:34:00Z</dcterms:created>
  <dcterms:modified xsi:type="dcterms:W3CDTF">2021-02-19T09:36:00Z</dcterms:modified>
</cp:coreProperties>
</file>