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29" w:rsidRDefault="006074A6" w:rsidP="009B34A4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>
        <w:rPr>
          <w:rFonts w:eastAsia="標楷體" w:hint="eastAsia"/>
          <w:b/>
          <w:szCs w:val="24"/>
          <w:lang w:eastAsia="zh-TW"/>
        </w:rPr>
        <w:t>國立中正大學機械工程學系</w:t>
      </w:r>
      <w:r w:rsidR="00CE4012">
        <w:rPr>
          <w:rFonts w:eastAsia="標楷體" w:hint="eastAsia"/>
          <w:b/>
          <w:szCs w:val="24"/>
          <w:lang w:eastAsia="zh-TW"/>
        </w:rPr>
        <w:t>10</w:t>
      </w:r>
      <w:r w:rsidR="004B3B1A">
        <w:rPr>
          <w:rFonts w:eastAsia="標楷體" w:hint="eastAsia"/>
          <w:b/>
          <w:szCs w:val="24"/>
          <w:lang w:eastAsia="zh-TW"/>
        </w:rPr>
        <w:t>9</w:t>
      </w:r>
      <w:r w:rsidR="00517786">
        <w:rPr>
          <w:rFonts w:eastAsia="標楷體" w:hint="eastAsia"/>
          <w:b/>
          <w:szCs w:val="24"/>
          <w:lang w:eastAsia="zh-TW"/>
        </w:rPr>
        <w:t>學年度第</w:t>
      </w:r>
      <w:r w:rsidR="007247C8">
        <w:rPr>
          <w:rFonts w:eastAsia="標楷體" w:hint="eastAsia"/>
          <w:b/>
          <w:szCs w:val="24"/>
          <w:lang w:eastAsia="zh-TW"/>
        </w:rPr>
        <w:t>二</w:t>
      </w:r>
      <w:r w:rsidR="00964D7E">
        <w:rPr>
          <w:rFonts w:eastAsia="標楷體" w:hint="eastAsia"/>
          <w:b/>
          <w:szCs w:val="24"/>
          <w:lang w:eastAsia="zh-TW"/>
        </w:rPr>
        <w:t>學期</w:t>
      </w:r>
      <w:r w:rsidR="00137329">
        <w:rPr>
          <w:rFonts w:eastAsia="標楷體"/>
          <w:b/>
          <w:szCs w:val="24"/>
          <w:lang w:eastAsia="zh-TW"/>
        </w:rPr>
        <w:t>教學大綱表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25"/>
        <w:gridCol w:w="17"/>
        <w:gridCol w:w="1445"/>
        <w:gridCol w:w="1462"/>
        <w:gridCol w:w="1462"/>
        <w:gridCol w:w="276"/>
        <w:gridCol w:w="850"/>
        <w:gridCol w:w="336"/>
        <w:gridCol w:w="373"/>
        <w:gridCol w:w="709"/>
        <w:gridCol w:w="380"/>
        <w:gridCol w:w="328"/>
        <w:gridCol w:w="1134"/>
      </w:tblGrid>
      <w:tr w:rsidR="007E398A" w:rsidTr="00144B7F">
        <w:trPr>
          <w:cantSplit/>
          <w:trHeight w:val="510"/>
        </w:trPr>
        <w:tc>
          <w:tcPr>
            <w:tcW w:w="731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Pr="00CE4012" w:rsidRDefault="007E398A" w:rsidP="007E398A">
            <w:pPr>
              <w:snapToGrid w:val="0"/>
              <w:spacing w:after="0" w:line="0" w:lineRule="atLeast"/>
              <w:ind w:left="2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課程名稱：</w:t>
            </w:r>
            <w:r w:rsidRPr="00CE4012">
              <w:rPr>
                <w:rFonts w:eastAsia="標楷體"/>
                <w:sz w:val="22"/>
                <w:szCs w:val="22"/>
                <w:lang w:eastAsia="zh-TW"/>
              </w:rPr>
              <w:t>(</w:t>
            </w:r>
            <w:r w:rsidRPr="00CE4012">
              <w:rPr>
                <w:rFonts w:eastAsia="標楷體"/>
                <w:sz w:val="22"/>
                <w:szCs w:val="22"/>
                <w:lang w:eastAsia="zh-TW"/>
              </w:rPr>
              <w:t>中文</w:t>
            </w:r>
            <w:r w:rsidRPr="00CE4012">
              <w:rPr>
                <w:rFonts w:eastAsia="標楷體"/>
                <w:sz w:val="22"/>
                <w:szCs w:val="22"/>
                <w:lang w:eastAsia="zh-TW"/>
              </w:rPr>
              <w:t>)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</w:t>
            </w:r>
            <w:r w:rsidR="00E21B57" w:rsidRPr="00CE4012">
              <w:rPr>
                <w:rFonts w:ascii="標楷體" w:eastAsia="標楷體" w:hAnsi="標楷體"/>
                <w:sz w:val="22"/>
                <w:szCs w:val="22"/>
                <w:lang w:eastAsia="zh-TW"/>
              </w:rPr>
              <w:t>自動控制（二）</w:t>
            </w:r>
          </w:p>
          <w:p w:rsidR="007E398A" w:rsidRPr="00CE4012" w:rsidRDefault="007E398A" w:rsidP="00CE4012">
            <w:pPr>
              <w:snapToGrid w:val="0"/>
              <w:spacing w:line="0" w:lineRule="atLeast"/>
              <w:ind w:firstLineChars="500" w:firstLine="1100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(</w:t>
            </w:r>
            <w:r w:rsidRPr="00CE4012">
              <w:rPr>
                <w:rFonts w:eastAsia="標楷體"/>
                <w:sz w:val="22"/>
                <w:szCs w:val="22"/>
                <w:lang w:eastAsia="zh-TW"/>
              </w:rPr>
              <w:t>英文</w:t>
            </w:r>
            <w:r w:rsidRPr="00CE4012">
              <w:rPr>
                <w:rFonts w:eastAsia="標楷體"/>
                <w:sz w:val="22"/>
                <w:szCs w:val="22"/>
                <w:lang w:eastAsia="zh-TW"/>
              </w:rPr>
              <w:t>)</w:t>
            </w:r>
            <w:r w:rsidRPr="00CE401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21B57" w:rsidRPr="00CE4012">
              <w:rPr>
                <w:rFonts w:eastAsia="標楷體" w:hint="eastAsia"/>
                <w:sz w:val="22"/>
                <w:szCs w:val="22"/>
                <w:lang w:eastAsia="zh-TW"/>
              </w:rPr>
              <w:t>Automatic Control II</w:t>
            </w:r>
          </w:p>
        </w:tc>
        <w:tc>
          <w:tcPr>
            <w:tcW w:w="146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Pr="00CE4012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開課單位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398A" w:rsidRPr="00CE4012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機械系</w:t>
            </w:r>
          </w:p>
        </w:tc>
      </w:tr>
      <w:tr w:rsidR="007E398A" w:rsidTr="00144B7F">
        <w:trPr>
          <w:cantSplit/>
          <w:trHeight w:val="510"/>
        </w:trPr>
        <w:tc>
          <w:tcPr>
            <w:tcW w:w="7310" w:type="dxa"/>
            <w:gridSpan w:val="9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Pr="00CE4012" w:rsidRDefault="007E398A" w:rsidP="00CE4012">
            <w:pPr>
              <w:snapToGrid w:val="0"/>
              <w:spacing w:after="0" w:line="0" w:lineRule="atLeast"/>
              <w:ind w:firstLineChars="500" w:firstLine="1100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Pr="00CE4012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課程代碼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398A" w:rsidRPr="00CE4012" w:rsidRDefault="002C1833" w:rsidP="00517786">
            <w:pPr>
              <w:snapToGrid w:val="0"/>
              <w:spacing w:after="0"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sz w:val="22"/>
                <w:szCs w:val="22"/>
              </w:rPr>
              <w:t>4203752</w:t>
            </w:r>
          </w:p>
        </w:tc>
      </w:tr>
      <w:tr w:rsidR="00E21B57" w:rsidTr="00144B7F">
        <w:trPr>
          <w:cantSplit/>
          <w:trHeight w:hRule="exact" w:val="511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B57" w:rsidRPr="00CE4012" w:rsidRDefault="00E21B57" w:rsidP="00F049FD">
            <w:pPr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授課教</w:t>
            </w:r>
            <w:r w:rsidRPr="00CE4012">
              <w:rPr>
                <w:rFonts w:ascii="標楷體" w:eastAsia="標楷體" w:hAnsi="標楷體"/>
                <w:sz w:val="22"/>
                <w:szCs w:val="22"/>
                <w:lang w:eastAsia="zh-TW"/>
              </w:rPr>
              <w:t>師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B57" w:rsidRPr="00CE4012" w:rsidRDefault="004B3B1A" w:rsidP="00F049FD">
            <w:pPr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>
              <w:rPr>
                <w:rFonts w:eastAsia="標楷體" w:hint="eastAsia"/>
                <w:sz w:val="22"/>
                <w:szCs w:val="22"/>
                <w:lang w:eastAsia="zh-TW"/>
              </w:rPr>
              <w:t>姚賀騰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B57" w:rsidRPr="00CE4012" w:rsidRDefault="00E21B57" w:rsidP="00F049FD">
            <w:pPr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學分數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B57" w:rsidRPr="00CE4012" w:rsidRDefault="00E21B57" w:rsidP="00F049FD">
            <w:pPr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B57" w:rsidRPr="00CE4012" w:rsidRDefault="00E21B57" w:rsidP="00F049FD">
            <w:pPr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選修</w:t>
            </w: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B57" w:rsidRPr="00CE4012" w:rsidRDefault="00E21B57" w:rsidP="007E398A">
            <w:pPr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開課年級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B57" w:rsidRPr="00CE4012" w:rsidRDefault="002950A6" w:rsidP="007E398A">
            <w:pPr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大三</w:t>
            </w:r>
          </w:p>
        </w:tc>
      </w:tr>
      <w:tr w:rsidR="00137329" w:rsidTr="00144B7F">
        <w:trPr>
          <w:cantSplit/>
          <w:trHeight w:hRule="exact" w:val="511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329" w:rsidRPr="00CE4012" w:rsidRDefault="00137329" w:rsidP="007E398A">
            <w:pPr>
              <w:snapToGrid w:val="0"/>
              <w:spacing w:after="0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先修科目或先備能力：</w:t>
            </w:r>
            <w:r w:rsidR="00E21B57" w:rsidRPr="00CE4012">
              <w:rPr>
                <w:rFonts w:ascii="標楷體" w:eastAsia="標楷體" w:hAnsi="標楷體"/>
                <w:sz w:val="22"/>
                <w:szCs w:val="22"/>
                <w:lang w:eastAsia="zh-TW"/>
              </w:rPr>
              <w:t>自動控制（</w:t>
            </w:r>
            <w:r w:rsidR="00E21B57" w:rsidRPr="00CE401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一</w:t>
            </w:r>
            <w:r w:rsidR="00E21B57" w:rsidRPr="00CE4012">
              <w:rPr>
                <w:rFonts w:ascii="標楷體" w:eastAsia="標楷體" w:hAnsi="標楷體"/>
                <w:sz w:val="22"/>
                <w:szCs w:val="22"/>
                <w:lang w:eastAsia="zh-TW"/>
              </w:rPr>
              <w:t>）</w:t>
            </w:r>
          </w:p>
        </w:tc>
      </w:tr>
      <w:tr w:rsidR="00137329" w:rsidTr="00144B7F">
        <w:trPr>
          <w:cantSplit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21F2" w:rsidRDefault="00137329" w:rsidP="00C97C53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課程概述：</w:t>
            </w:r>
          </w:p>
          <w:p w:rsidR="008C26DA" w:rsidRPr="00CE4012" w:rsidRDefault="008C26DA" w:rsidP="009B34A4">
            <w:pPr>
              <w:numPr>
                <w:ilvl w:val="0"/>
                <w:numId w:val="19"/>
              </w:numPr>
              <w:tabs>
                <w:tab w:val="num" w:pos="720"/>
              </w:tabs>
              <w:snapToGrid w:val="0"/>
              <w:spacing w:beforeLines="25" w:before="90" w:after="0"/>
              <w:ind w:left="482" w:hanging="482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Part 0. Introduction</w:t>
            </w:r>
          </w:p>
          <w:p w:rsidR="008C26DA" w:rsidRPr="00CE4012" w:rsidRDefault="008C26DA" w:rsidP="008C26DA">
            <w:pPr>
              <w:numPr>
                <w:ilvl w:val="1"/>
                <w:numId w:val="14"/>
              </w:numPr>
              <w:snapToGrid w:val="0"/>
              <w:spacing w:after="0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cs="新細明體" w:hint="eastAsia"/>
                <w:sz w:val="22"/>
                <w:szCs w:val="22"/>
                <w:lang w:eastAsia="zh-TW"/>
              </w:rPr>
              <w:t xml:space="preserve">The class </w:t>
            </w:r>
            <w:r w:rsidRPr="00CE4012">
              <w:rPr>
                <w:rFonts w:eastAsia="標楷體" w:cs="新細明體"/>
                <w:sz w:val="22"/>
                <w:szCs w:val="22"/>
                <w:lang w:eastAsia="zh-TW"/>
              </w:rPr>
              <w:t xml:space="preserve">is </w:t>
            </w:r>
            <w:r w:rsidRPr="00CE4012">
              <w:rPr>
                <w:rFonts w:eastAsia="標楷體" w:cs="新細明體" w:hint="eastAsia"/>
                <w:sz w:val="22"/>
                <w:szCs w:val="22"/>
                <w:lang w:eastAsia="zh-TW"/>
              </w:rPr>
              <w:t>designed for</w:t>
            </w:r>
            <w:r w:rsidRPr="00CE4012">
              <w:rPr>
                <w:rFonts w:eastAsia="標楷體" w:cs="新細明體"/>
                <w:sz w:val="22"/>
                <w:szCs w:val="22"/>
                <w:lang w:eastAsia="zh-TW"/>
              </w:rPr>
              <w:t xml:space="preserve"> mechanical engineering students</w:t>
            </w:r>
            <w:r w:rsidRPr="00CE4012">
              <w:rPr>
                <w:rFonts w:eastAsia="標楷體" w:cs="新細明體" w:hint="eastAsia"/>
                <w:sz w:val="22"/>
                <w:szCs w:val="22"/>
                <w:lang w:eastAsia="zh-TW"/>
              </w:rPr>
              <w:t xml:space="preserve"> who after taking Automatic Control I would like to build up his/her expertise as a control engineer.</w:t>
            </w:r>
          </w:p>
          <w:p w:rsidR="008C26DA" w:rsidRPr="00CE4012" w:rsidRDefault="008C26DA" w:rsidP="008C26DA">
            <w:pPr>
              <w:numPr>
                <w:ilvl w:val="1"/>
                <w:numId w:val="14"/>
              </w:numPr>
              <w:snapToGrid w:val="0"/>
              <w:spacing w:after="0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The subjects covered are broadly divid</w:t>
            </w:r>
            <w:r w:rsidR="008E3F61" w:rsidRPr="00CE4012">
              <w:rPr>
                <w:rFonts w:eastAsia="標楷體" w:hint="eastAsia"/>
                <w:sz w:val="22"/>
                <w:szCs w:val="22"/>
                <w:lang w:eastAsia="zh-TW"/>
              </w:rPr>
              <w:t>e</w:t>
            </w:r>
            <w:r w:rsidR="00047D54" w:rsidRPr="00CE4012">
              <w:rPr>
                <w:rFonts w:eastAsia="標楷體" w:hint="eastAsia"/>
                <w:sz w:val="22"/>
                <w:szCs w:val="22"/>
                <w:lang w:eastAsia="zh-TW"/>
              </w:rPr>
              <w:t>d into two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parts:</w:t>
            </w:r>
            <w:r w:rsidR="00047D54"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root-locus analysis and design and Nyquist analysis and design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.</w:t>
            </w:r>
          </w:p>
          <w:p w:rsidR="00344539" w:rsidRPr="00CE4012" w:rsidRDefault="008C26DA" w:rsidP="009B34A4">
            <w:pPr>
              <w:numPr>
                <w:ilvl w:val="0"/>
                <w:numId w:val="19"/>
              </w:numPr>
              <w:tabs>
                <w:tab w:val="num" w:pos="720"/>
              </w:tabs>
              <w:snapToGrid w:val="0"/>
              <w:spacing w:beforeLines="25" w:before="90" w:after="0"/>
              <w:ind w:left="482" w:hanging="482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Part I</w:t>
            </w:r>
            <w:r w:rsidR="00047D54" w:rsidRPr="00CE4012">
              <w:rPr>
                <w:rFonts w:eastAsia="標楷體" w:hint="eastAsia"/>
                <w:sz w:val="22"/>
                <w:szCs w:val="22"/>
                <w:lang w:eastAsia="zh-TW"/>
              </w:rPr>
              <w:t>.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</w:t>
            </w:r>
            <w:r w:rsidR="00047D54" w:rsidRPr="00CE4012">
              <w:rPr>
                <w:rFonts w:eastAsia="標楷體" w:hint="eastAsia"/>
                <w:sz w:val="22"/>
                <w:szCs w:val="22"/>
                <w:lang w:eastAsia="zh-TW"/>
              </w:rPr>
              <w:t>Root-locus analysis and design</w:t>
            </w:r>
          </w:p>
          <w:p w:rsidR="00344539" w:rsidRPr="00CE4012" w:rsidRDefault="00FD3478" w:rsidP="00FD3478">
            <w:pPr>
              <w:numPr>
                <w:ilvl w:val="1"/>
                <w:numId w:val="14"/>
              </w:numPr>
              <w:snapToGrid w:val="0"/>
              <w:spacing w:after="0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In this section</w:t>
            </w:r>
            <w:r w:rsidR="00344539" w:rsidRPr="00CE4012">
              <w:rPr>
                <w:rFonts w:eastAsia="標楷體" w:hint="eastAsia"/>
                <w:sz w:val="22"/>
                <w:szCs w:val="22"/>
                <w:lang w:eastAsia="zh-TW"/>
              </w:rPr>
              <w:t>, we will learn a graphical method</w:t>
            </w:r>
            <w:r w:rsidR="00047D54" w:rsidRPr="00CE4012">
              <w:rPr>
                <w:rFonts w:eastAsia="標楷體" w:hint="eastAsia"/>
                <w:sz w:val="22"/>
                <w:szCs w:val="22"/>
                <w:lang w:eastAsia="zh-TW"/>
              </w:rPr>
              <w:t>, named the root-locus method,</w:t>
            </w:r>
            <w:r w:rsidR="00344539"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for 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determining pole locations</w:t>
            </w:r>
            <w:r w:rsidR="00344539"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of LTI systems with one 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unknown </w:t>
            </w:r>
            <w:r w:rsidR="00344539" w:rsidRPr="00CE4012">
              <w:rPr>
                <w:rFonts w:eastAsia="標楷體" w:hint="eastAsia"/>
                <w:sz w:val="22"/>
                <w:szCs w:val="22"/>
                <w:lang w:eastAsia="zh-TW"/>
              </w:rPr>
              <w:t>parameter.</w:t>
            </w:r>
          </w:p>
          <w:p w:rsidR="00344539" w:rsidRPr="00CE4012" w:rsidRDefault="00047D54" w:rsidP="00047D54">
            <w:pPr>
              <w:numPr>
                <w:ilvl w:val="1"/>
                <w:numId w:val="14"/>
              </w:numPr>
              <w:snapToGrid w:val="0"/>
              <w:spacing w:after="0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We will then apply this method to design feedback control satisfying the stability and tracking requirements.</w:t>
            </w:r>
          </w:p>
          <w:p w:rsidR="00FD3478" w:rsidRPr="00CE4012" w:rsidRDefault="00FD3478" w:rsidP="009B34A4">
            <w:pPr>
              <w:numPr>
                <w:ilvl w:val="0"/>
                <w:numId w:val="16"/>
              </w:numPr>
              <w:snapToGrid w:val="0"/>
              <w:spacing w:beforeLines="25" w:before="90" w:after="0"/>
              <w:ind w:left="482" w:hanging="482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Part </w:t>
            </w:r>
            <w:r w:rsidR="00047D54" w:rsidRPr="00CE4012">
              <w:rPr>
                <w:rFonts w:eastAsia="標楷體" w:hint="eastAsia"/>
                <w:sz w:val="22"/>
                <w:szCs w:val="22"/>
                <w:lang w:eastAsia="zh-TW"/>
              </w:rPr>
              <w:t>II.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</w:t>
            </w:r>
            <w:r w:rsidR="00047D54" w:rsidRPr="00CE4012">
              <w:rPr>
                <w:rFonts w:eastAsia="標楷體" w:hint="eastAsia"/>
                <w:sz w:val="22"/>
                <w:szCs w:val="22"/>
                <w:lang w:eastAsia="zh-TW"/>
              </w:rPr>
              <w:t>Nyquist analysis and design</w:t>
            </w:r>
          </w:p>
          <w:p w:rsidR="00047D54" w:rsidRPr="00CE4012" w:rsidRDefault="00047D54" w:rsidP="00047D54">
            <w:pPr>
              <w:numPr>
                <w:ilvl w:val="1"/>
                <w:numId w:val="16"/>
              </w:numPr>
              <w:snapToGrid w:val="0"/>
              <w:spacing w:after="0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In this section, we will learn a frequency-domain based tool, called the Nyquist method, for performance analysis and control design for LTI systems.</w:t>
            </w:r>
          </w:p>
          <w:p w:rsidR="0049538E" w:rsidRPr="00790E77" w:rsidRDefault="00137329" w:rsidP="009B34A4">
            <w:pPr>
              <w:snapToGrid w:val="0"/>
              <w:spacing w:beforeLines="25" w:before="90" w:after="0"/>
              <w:ind w:left="482" w:hanging="482"/>
              <w:rPr>
                <w:rFonts w:ascii="標楷體" w:eastAsia="標楷體"/>
                <w:lang w:eastAsia="zh-TW"/>
              </w:rPr>
            </w:pPr>
            <w:r w:rsidRPr="00CE4012">
              <w:rPr>
                <w:rFonts w:ascii="標楷體" w:eastAsia="標楷體" w:hint="eastAsia"/>
                <w:sz w:val="22"/>
                <w:szCs w:val="22"/>
                <w:lang w:eastAsia="zh-TW"/>
              </w:rPr>
              <w:t>目標：</w:t>
            </w:r>
            <w:r w:rsidR="0008640A" w:rsidRPr="00CE4012">
              <w:rPr>
                <w:rFonts w:ascii="標楷體" w:eastAsia="標楷體" w:hint="eastAsia"/>
                <w:sz w:val="22"/>
                <w:szCs w:val="22"/>
                <w:lang w:eastAsia="zh-TW"/>
              </w:rPr>
              <w:t>使學生具備以古典控制理論設計控制器之能力</w:t>
            </w:r>
          </w:p>
        </w:tc>
      </w:tr>
      <w:tr w:rsidR="00137329" w:rsidTr="00144B7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29" w:rsidRPr="00CE4012" w:rsidRDefault="00137329" w:rsidP="00C97C53">
            <w:pPr>
              <w:spacing w:line="480" w:lineRule="exac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教科書</w:t>
            </w:r>
          </w:p>
        </w:tc>
        <w:tc>
          <w:tcPr>
            <w:tcW w:w="87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1D41" w:rsidRPr="00CE4012" w:rsidRDefault="00261D41" w:rsidP="00261D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82" w:hanging="482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自編講義</w:t>
            </w:r>
          </w:p>
          <w:p w:rsidR="007821F2" w:rsidRPr="00CE4012" w:rsidRDefault="00261D41" w:rsidP="00261D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82" w:hanging="482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Norman S. Nise</w:t>
            </w:r>
            <w:r w:rsidR="0049538E" w:rsidRPr="00CE4012">
              <w:rPr>
                <w:rFonts w:eastAsia="標楷體"/>
                <w:sz w:val="22"/>
                <w:szCs w:val="22"/>
                <w:lang w:eastAsia="zh-TW"/>
              </w:rPr>
              <w:t xml:space="preserve">, Control Systems Engineering, </w:t>
            </w:r>
            <w:r w:rsidR="00144B7F">
              <w:rPr>
                <w:rFonts w:eastAsia="標楷體" w:hint="eastAsia"/>
                <w:sz w:val="22"/>
                <w:szCs w:val="22"/>
                <w:lang w:eastAsia="zh-TW"/>
              </w:rPr>
              <w:t>6</w:t>
            </w:r>
            <w:r w:rsidR="009B58CC" w:rsidRPr="00CE4012">
              <w:rPr>
                <w:rFonts w:eastAsia="標楷體" w:hint="eastAsia"/>
                <w:sz w:val="22"/>
                <w:szCs w:val="22"/>
                <w:vertAlign w:val="superscript"/>
                <w:lang w:eastAsia="zh-TW"/>
              </w:rPr>
              <w:t>th</w:t>
            </w:r>
            <w:r w:rsidR="009B58CC"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</w:t>
            </w:r>
            <w:r w:rsidRPr="00CE4012">
              <w:rPr>
                <w:rFonts w:eastAsia="標楷體"/>
                <w:sz w:val="22"/>
                <w:szCs w:val="22"/>
                <w:lang w:eastAsia="zh-TW"/>
              </w:rPr>
              <w:t>e</w:t>
            </w:r>
            <w:r w:rsidR="00144B7F">
              <w:rPr>
                <w:rFonts w:eastAsia="標楷體"/>
                <w:sz w:val="22"/>
                <w:szCs w:val="22"/>
                <w:lang w:eastAsia="zh-TW"/>
              </w:rPr>
              <w:t>d., John Wiley &amp; Sons, 20</w:t>
            </w:r>
            <w:r w:rsidR="00144B7F">
              <w:rPr>
                <w:rFonts w:eastAsia="標楷體" w:hint="eastAsia"/>
                <w:sz w:val="22"/>
                <w:szCs w:val="22"/>
                <w:lang w:eastAsia="zh-TW"/>
              </w:rPr>
              <w:t>11</w:t>
            </w:r>
          </w:p>
          <w:p w:rsidR="009B58CC" w:rsidRPr="00CE4012" w:rsidRDefault="009B58CC" w:rsidP="00261D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482" w:hanging="482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Ogata, K., Modern Control Engineering, 4</w:t>
            </w:r>
            <w:r w:rsidRPr="00CE4012">
              <w:rPr>
                <w:rFonts w:eastAsia="標楷體" w:hint="eastAsia"/>
                <w:sz w:val="22"/>
                <w:szCs w:val="22"/>
                <w:vertAlign w:val="superscript"/>
                <w:lang w:eastAsia="zh-TW"/>
              </w:rPr>
              <w:t>th</w:t>
            </w: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 xml:space="preserve"> ed., Prentice Hall, 2002</w:t>
            </w:r>
          </w:p>
        </w:tc>
      </w:tr>
      <w:tr w:rsidR="00CE4012" w:rsidTr="00144B7F">
        <w:trPr>
          <w:cantSplit/>
          <w:trHeight w:hRule="exact" w:val="455"/>
        </w:trPr>
        <w:tc>
          <w:tcPr>
            <w:tcW w:w="6124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6417B5">
            <w:pPr>
              <w:spacing w:after="0"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課程大綱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6417B5">
            <w:pPr>
              <w:spacing w:after="0"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分配時數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012" w:rsidRPr="00CE4012" w:rsidRDefault="00CE4012" w:rsidP="00177BDD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可達成核心能力</w:t>
            </w:r>
          </w:p>
        </w:tc>
      </w:tr>
      <w:tr w:rsidR="00CE4012" w:rsidTr="00144B7F">
        <w:trPr>
          <w:cantSplit/>
          <w:trHeight w:hRule="exact" w:val="612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177BDD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單元主題</w:t>
            </w: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177BDD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內容綱要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177BDD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講授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177BDD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z w:val="22"/>
                <w:szCs w:val="22"/>
                <w:lang w:eastAsia="zh-TW"/>
              </w:rPr>
              <w:t>示範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177BDD">
            <w:pPr>
              <w:spacing w:line="0" w:lineRule="atLeast"/>
              <w:jc w:val="center"/>
              <w:rPr>
                <w:rFonts w:eastAsia="標楷體"/>
                <w:spacing w:val="-12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pacing w:val="-12"/>
                <w:sz w:val="22"/>
                <w:szCs w:val="22"/>
                <w:lang w:eastAsia="zh-TW"/>
              </w:rPr>
              <w:t>習作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pacing w:afterLines="100" w:after="360" w:line="480" w:lineRule="exact"/>
              <w:jc w:val="center"/>
              <w:rPr>
                <w:rFonts w:eastAsia="標楷體"/>
                <w:spacing w:val="-12"/>
                <w:sz w:val="22"/>
                <w:szCs w:val="22"/>
                <w:lang w:eastAsia="zh-TW"/>
              </w:rPr>
            </w:pPr>
            <w:r w:rsidRPr="00CE4012">
              <w:rPr>
                <w:rFonts w:eastAsia="標楷體"/>
                <w:spacing w:val="-12"/>
                <w:sz w:val="22"/>
                <w:szCs w:val="22"/>
                <w:lang w:eastAsia="zh-TW"/>
              </w:rPr>
              <w:t>其</w:t>
            </w:r>
            <w:r w:rsidRPr="00CE4012">
              <w:rPr>
                <w:rFonts w:eastAsia="標楷體" w:hint="eastAsia"/>
                <w:spacing w:val="-12"/>
                <w:sz w:val="22"/>
                <w:szCs w:val="22"/>
                <w:lang w:eastAsia="zh-TW"/>
              </w:rPr>
              <w:t>他</w:t>
            </w:r>
            <w:r w:rsidRPr="00CE4012">
              <w:rPr>
                <w:rFonts w:eastAsia="標楷體"/>
                <w:spacing w:val="-12"/>
                <w:sz w:val="22"/>
                <w:szCs w:val="22"/>
                <w:vertAlign w:val="superscript"/>
                <w:lang w:eastAsia="zh-TW"/>
              </w:rPr>
              <w:t>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012" w:rsidRPr="00CE4012" w:rsidRDefault="00CE4012" w:rsidP="00177BDD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</w:tr>
      <w:tr w:rsidR="00CE4012" w:rsidRPr="008A1E4F" w:rsidTr="00144B7F">
        <w:trPr>
          <w:cantSplit/>
          <w:trHeight w:val="549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Root-locus analysis</w:t>
            </w: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numPr>
                <w:ilvl w:val="0"/>
                <w:numId w:val="10"/>
              </w:numPr>
              <w:tabs>
                <w:tab w:val="clear" w:pos="480"/>
              </w:tabs>
              <w:snapToGrid w:val="0"/>
              <w:spacing w:beforeLines="20" w:before="72" w:afterLines="20" w:after="72"/>
              <w:ind w:left="284" w:hanging="284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Introduction to root-locus analysis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012" w:rsidRPr="00CE4012" w:rsidRDefault="00CE4012" w:rsidP="00CE4012">
            <w:pPr>
              <w:snapToGrid w:val="0"/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B1, B3</w:t>
            </w:r>
          </w:p>
        </w:tc>
      </w:tr>
      <w:tr w:rsidR="00CE4012" w:rsidRPr="008A1E4F" w:rsidTr="00144B7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Root-locus based control design</w:t>
            </w: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numPr>
                <w:ilvl w:val="0"/>
                <w:numId w:val="10"/>
              </w:numPr>
              <w:tabs>
                <w:tab w:val="clear" w:pos="480"/>
              </w:tabs>
              <w:snapToGrid w:val="0"/>
              <w:spacing w:beforeLines="20" w:before="72" w:afterLines="20" w:after="72"/>
              <w:ind w:left="284" w:hanging="284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Lead-lag control design</w:t>
            </w:r>
          </w:p>
          <w:p w:rsidR="00CE4012" w:rsidRPr="00CE4012" w:rsidRDefault="00CE4012" w:rsidP="009B34A4">
            <w:pPr>
              <w:numPr>
                <w:ilvl w:val="0"/>
                <w:numId w:val="10"/>
              </w:numPr>
              <w:tabs>
                <w:tab w:val="clear" w:pos="480"/>
              </w:tabs>
              <w:snapToGrid w:val="0"/>
              <w:spacing w:beforeLines="20" w:before="72" w:afterLines="20" w:after="72"/>
              <w:ind w:left="284" w:hanging="284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PID control design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012" w:rsidRPr="00CE4012" w:rsidRDefault="00CE4012" w:rsidP="00CE4012">
            <w:pPr>
              <w:snapToGrid w:val="0"/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B1, B3</w:t>
            </w:r>
          </w:p>
        </w:tc>
      </w:tr>
      <w:tr w:rsidR="00CE4012" w:rsidRPr="008A1E4F" w:rsidTr="00144B7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Nyquist analysis</w:t>
            </w: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numPr>
                <w:ilvl w:val="0"/>
                <w:numId w:val="10"/>
              </w:numPr>
              <w:tabs>
                <w:tab w:val="clear" w:pos="480"/>
              </w:tabs>
              <w:snapToGrid w:val="0"/>
              <w:spacing w:beforeLines="20" w:before="72" w:afterLines="20" w:after="72"/>
              <w:ind w:left="284" w:hanging="284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Introduction to Nyquist analysis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012" w:rsidRPr="00CE4012" w:rsidRDefault="00CE4012" w:rsidP="00CE4012">
            <w:pPr>
              <w:snapToGrid w:val="0"/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B1, B3</w:t>
            </w:r>
          </w:p>
        </w:tc>
      </w:tr>
      <w:tr w:rsidR="00CE4012" w:rsidRPr="008A1E4F" w:rsidTr="00144B7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Sinusoidal tools based control design</w:t>
            </w:r>
          </w:p>
        </w:tc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numPr>
                <w:ilvl w:val="0"/>
                <w:numId w:val="10"/>
              </w:numPr>
              <w:tabs>
                <w:tab w:val="clear" w:pos="480"/>
              </w:tabs>
              <w:snapToGrid w:val="0"/>
              <w:spacing w:beforeLines="20" w:before="72" w:afterLines="20" w:after="72"/>
              <w:ind w:left="284" w:hanging="284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Performance specifications in terms of frequency response</w:t>
            </w:r>
          </w:p>
          <w:p w:rsidR="00CE4012" w:rsidRPr="00CE4012" w:rsidRDefault="00CE4012" w:rsidP="009B34A4">
            <w:pPr>
              <w:numPr>
                <w:ilvl w:val="0"/>
                <w:numId w:val="10"/>
              </w:numPr>
              <w:tabs>
                <w:tab w:val="clear" w:pos="480"/>
              </w:tabs>
              <w:snapToGrid w:val="0"/>
              <w:spacing w:beforeLines="20" w:before="72" w:afterLines="20" w:after="72"/>
              <w:ind w:left="284" w:hanging="284"/>
              <w:jc w:val="left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Lead-lag control design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Pr="00CE4012" w:rsidRDefault="00CE4012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012" w:rsidRPr="00CE4012" w:rsidRDefault="00CE4012" w:rsidP="00CE4012">
            <w:pPr>
              <w:snapToGrid w:val="0"/>
              <w:spacing w:after="0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CE4012">
              <w:rPr>
                <w:rFonts w:eastAsia="標楷體" w:hint="eastAsia"/>
                <w:sz w:val="22"/>
                <w:szCs w:val="22"/>
                <w:lang w:eastAsia="zh-TW"/>
              </w:rPr>
              <w:t>B1, B3, B4</w:t>
            </w:r>
          </w:p>
        </w:tc>
      </w:tr>
      <w:tr w:rsidR="00CE4012" w:rsidRPr="003552D7" w:rsidTr="00144B7F">
        <w:trPr>
          <w:cantSplit/>
        </w:trPr>
        <w:tc>
          <w:tcPr>
            <w:tcW w:w="6124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12" w:rsidRDefault="00CE4012" w:rsidP="009B0BF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4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4012" w:rsidRPr="003552D7" w:rsidRDefault="00CE4012" w:rsidP="009B0BF9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144B7F" w:rsidRPr="003552D7" w:rsidTr="00144B7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B7F" w:rsidRPr="001744D8" w:rsidRDefault="00144B7F" w:rsidP="009B0BF9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B1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B7F" w:rsidRPr="001744D8" w:rsidRDefault="00144B7F" w:rsidP="009B0BF9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1744D8">
              <w:rPr>
                <w:rFonts w:ascii="標楷體" w:eastAsia="標楷體" w:hAnsi="標楷體" w:hint="eastAsia"/>
                <w:color w:val="000000"/>
                <w:lang w:eastAsia="zh-TW"/>
              </w:rPr>
              <w:t>具備基本工程數學、固體力學、熱流力學、自動控制及材料科學分析的能力</w:t>
            </w:r>
          </w:p>
        </w:tc>
        <w:tc>
          <w:tcPr>
            <w:tcW w:w="4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B7F" w:rsidRPr="003552D7" w:rsidRDefault="00144B7F" w:rsidP="009B0BF9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具備控制系統分析</w:t>
            </w:r>
            <w:r w:rsidRPr="00722B40">
              <w:rPr>
                <w:rFonts w:ascii="標楷體" w:eastAsia="標楷體" w:hAnsi="標楷體" w:hint="eastAsia"/>
                <w:color w:val="000000"/>
                <w:lang w:eastAsia="zh-TW"/>
              </w:rPr>
              <w:t>的能力</w:t>
            </w:r>
          </w:p>
        </w:tc>
      </w:tr>
      <w:tr w:rsidR="00144B7F" w:rsidRPr="003552D7" w:rsidTr="00144B7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B7F" w:rsidRPr="001744D8" w:rsidRDefault="00144B7F" w:rsidP="00CE4012">
            <w:pPr>
              <w:snapToGrid w:val="0"/>
              <w:spacing w:after="0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B3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B7F" w:rsidRPr="001744D8" w:rsidRDefault="00144B7F" w:rsidP="00CE4012">
            <w:pPr>
              <w:snapToGrid w:val="0"/>
              <w:spacing w:after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CE4012">
              <w:rPr>
                <w:rFonts w:ascii="標楷體" w:eastAsia="標楷體" w:hAnsi="標楷體"/>
                <w:color w:val="000000"/>
                <w:lang w:eastAsia="zh-TW"/>
              </w:rPr>
              <w:t>執行固力實驗、熱流實驗、自動控制實驗、電子學實驗和分析數據的能力</w:t>
            </w:r>
          </w:p>
        </w:tc>
        <w:tc>
          <w:tcPr>
            <w:tcW w:w="4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B7F" w:rsidRPr="003552D7" w:rsidRDefault="00144B7F" w:rsidP="00144B7F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了解如何設計控制器</w:t>
            </w:r>
            <w:r w:rsidRPr="00722B40">
              <w:rPr>
                <w:rFonts w:ascii="標楷體" w:eastAsia="標楷體" w:hAnsi="標楷體" w:hint="eastAsia"/>
                <w:color w:val="000000"/>
                <w:lang w:eastAsia="zh-TW"/>
              </w:rPr>
              <w:t>的能力</w:t>
            </w:r>
          </w:p>
        </w:tc>
      </w:tr>
      <w:tr w:rsidR="00144B7F" w:rsidRPr="003552D7" w:rsidTr="00144B7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B7F" w:rsidRPr="001744D8" w:rsidRDefault="00144B7F" w:rsidP="009B0BF9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B4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B7F" w:rsidRPr="001744D8" w:rsidRDefault="00144B7F" w:rsidP="009B0BF9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1744D8">
              <w:rPr>
                <w:rFonts w:ascii="標楷體" w:eastAsia="標楷體" w:hAnsi="標楷體" w:hint="eastAsia"/>
                <w:color w:val="000000"/>
                <w:lang w:eastAsia="zh-TW"/>
              </w:rPr>
              <w:t>撰寫程式語言與電腦輔助設計的能力</w:t>
            </w:r>
          </w:p>
        </w:tc>
        <w:tc>
          <w:tcPr>
            <w:tcW w:w="4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4B7F" w:rsidRPr="003552D7" w:rsidRDefault="00144B7F" w:rsidP="00144B7F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撰寫MATLAB程式語言</w:t>
            </w:r>
            <w:r w:rsidRPr="00722B40">
              <w:rPr>
                <w:rFonts w:ascii="標楷體" w:eastAsia="標楷體" w:hAnsi="標楷體" w:hint="eastAsia"/>
                <w:color w:val="000000"/>
                <w:lang w:eastAsia="zh-TW"/>
              </w:rPr>
              <w:t>的能力</w:t>
            </w:r>
          </w:p>
        </w:tc>
      </w:tr>
    </w:tbl>
    <w:p w:rsidR="00C65BDD" w:rsidRPr="00CE4012" w:rsidRDefault="00C65BDD">
      <w:pPr>
        <w:rPr>
          <w:lang w:eastAsia="zh-TW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134"/>
        <w:gridCol w:w="2835"/>
        <w:gridCol w:w="2976"/>
        <w:gridCol w:w="2294"/>
      </w:tblGrid>
      <w:tr w:rsidR="006417B5" w:rsidTr="008A1E4F">
        <w:trPr>
          <w:trHeight w:val="511"/>
          <w:jc w:val="center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7B5" w:rsidRPr="006417B5" w:rsidRDefault="006417B5" w:rsidP="006417B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  <w:lang w:eastAsia="zh-TW"/>
              </w:rPr>
              <w:lastRenderedPageBreak/>
              <w:br w:type="page"/>
            </w:r>
            <w:r w:rsidRPr="006417B5">
              <w:rPr>
                <w:rFonts w:ascii="標楷體" w:eastAsia="標楷體" w:hAnsi="標楷體" w:hint="eastAsia"/>
                <w:szCs w:val="24"/>
                <w:lang w:eastAsia="zh-TW"/>
              </w:rPr>
              <w:t>教學要點概述:</w:t>
            </w:r>
            <w:r w:rsidR="00C844D9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</w:tc>
      </w:tr>
      <w:tr w:rsidR="002937B6" w:rsidTr="002937B6">
        <w:trPr>
          <w:trHeight w:val="511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6417B5" w:rsidRDefault="002937B6" w:rsidP="006417B5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6417B5">
              <w:rPr>
                <w:rFonts w:ascii="標楷體" w:eastAsia="標楷體" w:hAnsi="標楷體" w:hint="eastAsia"/>
                <w:szCs w:val="24"/>
              </w:rPr>
              <w:t>上課時間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F049FD" w:rsidRDefault="002937B6" w:rsidP="002937B6">
            <w:pPr>
              <w:snapToGrid w:val="0"/>
              <w:spacing w:after="0"/>
              <w:rPr>
                <w:rFonts w:eastAsia="標楷體"/>
                <w:szCs w:val="24"/>
                <w:lang w:val="de-DE" w:eastAsia="zh-TW"/>
              </w:rPr>
            </w:pPr>
            <w:r w:rsidRPr="006417B5">
              <w:rPr>
                <w:rFonts w:ascii="標楷體" w:eastAsia="標楷體" w:hAnsi="標楷體" w:hint="eastAsia"/>
                <w:szCs w:val="24"/>
              </w:rPr>
              <w:t>上課地點</w:t>
            </w:r>
            <w:r>
              <w:rPr>
                <w:rFonts w:eastAsia="標楷體" w:hint="eastAsia"/>
                <w:szCs w:val="24"/>
                <w:lang w:val="de-DE" w:eastAsia="zh-TW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6417B5" w:rsidRDefault="002937B6" w:rsidP="009B0BF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評量方式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6417B5" w:rsidRDefault="002937B6" w:rsidP="009B0BF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Office hour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7B6" w:rsidRPr="007A7127" w:rsidRDefault="002937B6" w:rsidP="009B0BF9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2937B6" w:rsidRPr="008A1E4F" w:rsidTr="002937B6">
        <w:trPr>
          <w:trHeight w:val="525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8A1E4F" w:rsidRDefault="00074CD5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 w:val="26"/>
                <w:lang w:eastAsia="zh-TW"/>
              </w:rPr>
            </w:pPr>
            <w:r w:rsidRPr="00074CD5">
              <w:rPr>
                <w:rFonts w:ascii="標楷體" w:eastAsia="標楷體" w:hAnsi="標楷體" w:hint="eastAsia"/>
                <w:szCs w:val="24"/>
                <w:lang w:eastAsia="zh-TW"/>
              </w:rPr>
              <w:t>一C三C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2937B6" w:rsidRDefault="002937B6" w:rsidP="00CC7838">
            <w:pPr>
              <w:snapToGrid w:val="0"/>
              <w:spacing w:after="0"/>
              <w:ind w:right="204"/>
              <w:jc w:val="left"/>
              <w:rPr>
                <w:rFonts w:eastAsia="標楷體"/>
                <w:sz w:val="26"/>
                <w:lang w:eastAsia="zh-TW"/>
              </w:rPr>
            </w:pPr>
            <w:r w:rsidRPr="002937B6">
              <w:rPr>
                <w:rFonts w:eastAsia="標楷體" w:hint="eastAsia"/>
                <w:szCs w:val="24"/>
                <w:lang w:eastAsia="zh-TW"/>
              </w:rPr>
              <w:t>工二館</w:t>
            </w:r>
            <w:r w:rsidRPr="002937B6">
              <w:rPr>
                <w:rFonts w:eastAsia="標楷體" w:hint="eastAsia"/>
                <w:szCs w:val="24"/>
                <w:lang w:eastAsia="zh-TW"/>
              </w:rPr>
              <w:t xml:space="preserve"> 21</w:t>
            </w:r>
            <w:r w:rsidR="004B3B1A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3A462D" w:rsidRDefault="002937B6" w:rsidP="002937B6">
            <w:pPr>
              <w:numPr>
                <w:ilvl w:val="0"/>
                <w:numId w:val="2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  <w:r>
              <w:rPr>
                <w:rFonts w:eastAsia="標楷體"/>
                <w:szCs w:val="24"/>
                <w:lang w:eastAsia="zh-TW"/>
              </w:rPr>
              <w:t xml:space="preserve"> exams </w:t>
            </w:r>
            <w:r>
              <w:rPr>
                <w:rFonts w:eastAsia="標楷體" w:hint="eastAsia"/>
                <w:szCs w:val="24"/>
                <w:lang w:eastAsia="zh-TW"/>
              </w:rPr>
              <w:t>(2</w:t>
            </w:r>
            <w:r w:rsidRPr="003A462D">
              <w:rPr>
                <w:rFonts w:eastAsia="標楷體"/>
                <w:szCs w:val="24"/>
                <w:lang w:eastAsia="zh-TW"/>
              </w:rPr>
              <w:t xml:space="preserve"> midterms + 1 final</w:t>
            </w:r>
            <w:r>
              <w:rPr>
                <w:rFonts w:eastAsia="標楷體" w:hint="eastAsia"/>
                <w:szCs w:val="24"/>
                <w:lang w:eastAsia="zh-TW"/>
              </w:rPr>
              <w:t>)</w:t>
            </w:r>
          </w:p>
          <w:p w:rsidR="002937B6" w:rsidRDefault="002937B6" w:rsidP="002937B6">
            <w:pPr>
              <w:numPr>
                <w:ilvl w:val="0"/>
                <w:numId w:val="2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Homework (including Quiz) 15%</w:t>
            </w:r>
          </w:p>
          <w:p w:rsidR="002937B6" w:rsidRPr="008A1E4F" w:rsidRDefault="002937B6" w:rsidP="002937B6">
            <w:pPr>
              <w:numPr>
                <w:ilvl w:val="0"/>
                <w:numId w:val="2"/>
              </w:numPr>
              <w:tabs>
                <w:tab w:val="clear" w:pos="593"/>
              </w:tabs>
              <w:snapToGrid w:val="0"/>
              <w:spacing w:after="0"/>
              <w:ind w:left="227" w:right="204" w:hanging="227"/>
              <w:jc w:val="left"/>
              <w:rPr>
                <w:rFonts w:eastAsia="標楷體"/>
                <w:sz w:val="26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M</w:t>
            </w:r>
            <w:r>
              <w:rPr>
                <w:rFonts w:eastAsia="標楷體" w:hint="eastAsia"/>
                <w:szCs w:val="24"/>
                <w:lang w:eastAsia="zh-TW"/>
              </w:rPr>
              <w:t>idterms: 25%, 25%, Final: 35%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Default="002937B6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星期一</w:t>
            </w:r>
            <w:r w:rsidRPr="00C65BDD">
              <w:rPr>
                <w:rFonts w:eastAsia="標楷體" w:hint="eastAsia"/>
                <w:szCs w:val="24"/>
                <w:lang w:eastAsia="zh-TW"/>
              </w:rPr>
              <w:t>：</w:t>
            </w:r>
            <w:r w:rsidR="004B3B1A">
              <w:rPr>
                <w:rFonts w:eastAsia="標楷體" w:hint="eastAsia"/>
                <w:szCs w:val="24"/>
                <w:lang w:eastAsia="zh-TW"/>
              </w:rPr>
              <w:t>14</w:t>
            </w:r>
            <w:r>
              <w:rPr>
                <w:rFonts w:eastAsia="標楷體" w:hint="eastAsia"/>
                <w:szCs w:val="24"/>
                <w:lang w:eastAsia="zh-TW"/>
              </w:rPr>
              <w:t>:00</w:t>
            </w:r>
            <w:r w:rsidRPr="00C65BDD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C65BDD">
              <w:rPr>
                <w:rFonts w:eastAsia="標楷體"/>
                <w:szCs w:val="24"/>
                <w:lang w:eastAsia="zh-TW"/>
              </w:rPr>
              <w:t>–</w:t>
            </w:r>
            <w:r w:rsidR="004B3B1A">
              <w:rPr>
                <w:rFonts w:eastAsia="標楷體" w:hint="eastAsia"/>
                <w:szCs w:val="24"/>
                <w:lang w:eastAsia="zh-TW"/>
              </w:rPr>
              <w:t>17</w:t>
            </w:r>
            <w:r w:rsidRPr="00C65BDD">
              <w:rPr>
                <w:rFonts w:eastAsia="標楷體" w:hint="eastAsia"/>
                <w:szCs w:val="24"/>
                <w:lang w:eastAsia="zh-TW"/>
              </w:rPr>
              <w:t>:00</w:t>
            </w:r>
          </w:p>
          <w:p w:rsidR="002937B6" w:rsidRDefault="004B3B1A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Room: 528</w:t>
            </w:r>
          </w:p>
          <w:p w:rsidR="002937B6" w:rsidRDefault="004B3B1A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Tel: (05)272-0411ext.33323</w:t>
            </w:r>
          </w:p>
          <w:p w:rsidR="002937B6" w:rsidRPr="00C65BDD" w:rsidRDefault="002937B6" w:rsidP="004B3B1A">
            <w:pPr>
              <w:snapToGrid w:val="0"/>
              <w:spacing w:beforeLines="20" w:before="72" w:afterLines="20" w:after="72"/>
              <w:jc w:val="center"/>
              <w:rPr>
                <w:rFonts w:eastAsia="標楷體" w:hint="eastAsia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Email:</w:t>
            </w:r>
            <w:r w:rsidR="004B3B1A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hyperlink r:id="rId7" w:history="1">
              <w:r w:rsidR="004B3B1A">
                <w:rPr>
                  <w:rStyle w:val="a8"/>
                  <w:rFonts w:ascii="Arial" w:hAnsi="Arial" w:cs="Arial"/>
                  <w:color w:val="444444"/>
                  <w:sz w:val="23"/>
                  <w:szCs w:val="23"/>
                  <w:shd w:val="clear" w:color="auto" w:fill="FFFFFF"/>
                </w:rPr>
                <w:t>htyau@ccu.edu.tw</w:t>
              </w:r>
            </w:hyperlink>
            <w:bookmarkStart w:id="0" w:name="_GoBack"/>
            <w:bookmarkEnd w:id="0"/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37B6" w:rsidRPr="00C65BDD" w:rsidRDefault="002937B6" w:rsidP="004B3B1A">
            <w:pPr>
              <w:snapToGrid w:val="0"/>
              <w:spacing w:beforeLines="20" w:before="72" w:afterLines="20" w:after="72"/>
              <w:jc w:val="center"/>
              <w:rPr>
                <w:rFonts w:eastAsia="標楷體" w:hint="eastAsia"/>
                <w:szCs w:val="24"/>
                <w:lang w:eastAsia="zh-TW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2937B6" w:rsidTr="009B0BF9">
        <w:trPr>
          <w:trHeight w:val="603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937B6" w:rsidRPr="006417B5" w:rsidRDefault="002937B6" w:rsidP="006417B5">
            <w:pPr>
              <w:snapToGrid w:val="0"/>
              <w:spacing w:after="0"/>
              <w:ind w:firstLineChars="100" w:firstLine="240"/>
              <w:rPr>
                <w:rFonts w:eastAsia="標楷體"/>
                <w:szCs w:val="24"/>
              </w:rPr>
            </w:pPr>
            <w:r w:rsidRPr="006417B5">
              <w:rPr>
                <w:rFonts w:ascii="標楷體" w:eastAsia="標楷體" w:hint="eastAsia"/>
                <w:szCs w:val="24"/>
              </w:rPr>
              <w:t>週次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7B6" w:rsidRPr="006417B5" w:rsidRDefault="002937B6" w:rsidP="00C844D9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ascii="標楷體" w:eastAsia="標楷體" w:hint="eastAsia"/>
                <w:szCs w:val="24"/>
              </w:rPr>
              <w:t>教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學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與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作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業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進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度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937B6" w:rsidRPr="006417B5" w:rsidRDefault="002937B6" w:rsidP="00C844D9">
            <w:pPr>
              <w:snapToGrid w:val="0"/>
              <w:spacing w:after="0"/>
              <w:ind w:left="122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ascii="標楷體" w:eastAsia="標楷體" w:hint="eastAsia"/>
                <w:szCs w:val="24"/>
              </w:rPr>
              <w:t>備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註</w:t>
            </w:r>
          </w:p>
        </w:tc>
      </w:tr>
      <w:tr w:rsidR="002937B6" w:rsidRPr="003A44C8" w:rsidTr="009B0BF9">
        <w:trPr>
          <w:trHeight w:val="372"/>
          <w:jc w:val="center"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937B6" w:rsidRPr="006417B5" w:rsidRDefault="002937B6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7D225D" w:rsidRDefault="002937B6" w:rsidP="009B34A4">
            <w:pPr>
              <w:numPr>
                <w:ilvl w:val="0"/>
                <w:numId w:val="8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I</w:t>
            </w:r>
            <w:r>
              <w:rPr>
                <w:rFonts w:eastAsia="標楷體" w:hint="eastAsia"/>
                <w:szCs w:val="24"/>
                <w:lang w:eastAsia="zh-TW"/>
              </w:rPr>
              <w:t>ntroduction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7B6" w:rsidRPr="003A44C8" w:rsidRDefault="002937B6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2937B6" w:rsidRPr="003A44C8" w:rsidTr="009B0BF9">
        <w:trPr>
          <w:trHeight w:val="372"/>
          <w:jc w:val="center"/>
        </w:trPr>
        <w:tc>
          <w:tcPr>
            <w:tcW w:w="102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Pr="006417B5" w:rsidRDefault="002937B6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7B6" w:rsidRDefault="002937B6" w:rsidP="009B34A4">
            <w:pPr>
              <w:numPr>
                <w:ilvl w:val="0"/>
                <w:numId w:val="8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Review of specifications for control design</w:t>
            </w:r>
          </w:p>
        </w:tc>
        <w:tc>
          <w:tcPr>
            <w:tcW w:w="229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7B6" w:rsidRPr="003A44C8" w:rsidRDefault="002937B6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What is root-locus? Plotting root-locus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9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Plotting root-locus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4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6"/>
              </w:numPr>
              <w:snapToGrid w:val="0"/>
              <w:spacing w:beforeLines="20" w:before="72" w:afterLines="20" w:after="72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Plotting root-locus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int="eastAsia"/>
                <w:sz w:val="20"/>
                <w:lang w:eastAsia="zh-TW"/>
              </w:rPr>
              <w:t>HW#1</w:t>
            </w: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5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6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Root-locus design of PI control for improvement of steady-state error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snapToGrid w:val="0"/>
              <w:spacing w:beforeLines="20" w:before="72" w:afterLines="20" w:after="7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Root-locus design for lead-lag control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int="eastAsia"/>
                <w:sz w:val="20"/>
                <w:lang w:eastAsia="zh-TW"/>
              </w:rPr>
              <w:t>Midterm #1</w:t>
            </w: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snapToGrid w:val="0"/>
              <w:spacing w:beforeLines="20" w:before="72" w:afterLines="20" w:after="7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Root-locus design for lead-lag control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8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snapToGrid w:val="0"/>
              <w:spacing w:beforeLines="20" w:before="72" w:afterLines="20" w:after="7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Root-locus design for PID control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int="eastAsia"/>
                <w:sz w:val="20"/>
                <w:lang w:eastAsia="zh-TW"/>
              </w:rPr>
              <w:t>HW#2</w:t>
            </w: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9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6"/>
              </w:numPr>
              <w:snapToGrid w:val="0"/>
              <w:spacing w:beforeLines="20" w:before="72" w:afterLines="20" w:after="7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Principle of argument of complex functions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10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6"/>
              </w:numPr>
              <w:snapToGrid w:val="0"/>
              <w:spacing w:beforeLines="20" w:before="72" w:afterLines="20" w:after="7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Nyquist stability analysis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11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6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Sketching a Nyquist plot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int="eastAsia"/>
                <w:sz w:val="20"/>
                <w:lang w:eastAsia="zh-TW"/>
              </w:rPr>
              <w:t>HW#3</w:t>
            </w: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12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6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Sketching a Nyquist plot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int="eastAsia"/>
                <w:sz w:val="20"/>
                <w:lang w:eastAsia="zh-TW"/>
              </w:rPr>
              <w:t>M</w:t>
            </w:r>
            <w:r>
              <w:rPr>
                <w:rFonts w:eastAsia="標楷體"/>
                <w:sz w:val="20"/>
                <w:lang w:eastAsia="zh-TW"/>
              </w:rPr>
              <w:t>i</w:t>
            </w:r>
            <w:r>
              <w:rPr>
                <w:rFonts w:eastAsia="標楷體" w:hint="eastAsia"/>
                <w:sz w:val="20"/>
                <w:lang w:eastAsia="zh-TW"/>
              </w:rPr>
              <w:t>dterm #2</w:t>
            </w: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13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snapToGrid w:val="0"/>
              <w:spacing w:beforeLines="20" w:before="72" w:afterLines="20" w:after="72"/>
              <w:jc w:val="left"/>
              <w:rPr>
                <w:rFonts w:eastAsia="標楷體"/>
                <w:szCs w:val="24"/>
                <w:lang w:eastAsia="zh-TW"/>
              </w:rPr>
            </w:pPr>
            <w:r w:rsidRPr="008A1E4F">
              <w:rPr>
                <w:rFonts w:eastAsia="標楷體" w:hint="eastAsia"/>
                <w:szCs w:val="24"/>
                <w:lang w:eastAsia="zh-TW"/>
              </w:rPr>
              <w:t>Performance specifications in terms of frequency response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14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 w:rsidRPr="008A1E4F">
              <w:rPr>
                <w:rFonts w:eastAsia="標楷體" w:hint="eastAsia"/>
                <w:szCs w:val="24"/>
                <w:lang w:eastAsia="zh-TW"/>
              </w:rPr>
              <w:t>Performance specifications in terms of frequency response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15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Sinusoidal tools design for lead-lag control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int="eastAsia"/>
                <w:sz w:val="20"/>
                <w:lang w:eastAsia="zh-TW"/>
              </w:rPr>
              <w:t>HW#4</w:t>
            </w: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16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Sinusoidal tools for lead-lag control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</w:p>
        </w:tc>
      </w:tr>
      <w:tr w:rsidR="0009773C" w:rsidRPr="00066E78" w:rsidTr="009B0BF9">
        <w:trPr>
          <w:trHeight w:val="510"/>
          <w:jc w:val="center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6417B5" w:rsidRDefault="0009773C" w:rsidP="009B34A4">
            <w:pPr>
              <w:snapToGrid w:val="0"/>
              <w:spacing w:beforeLines="20" w:before="72" w:afterLines="20" w:after="72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17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73C" w:rsidRPr="007D225D" w:rsidRDefault="0009773C" w:rsidP="009B34A4">
            <w:pPr>
              <w:numPr>
                <w:ilvl w:val="0"/>
                <w:numId w:val="7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beforeLines="20" w:before="72" w:afterLines="20" w:after="72"/>
              <w:textAlignment w:val="bottom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Sinusoidal tools for lead-lag control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773C" w:rsidRPr="00066E78" w:rsidRDefault="0009773C" w:rsidP="009B34A4">
            <w:pPr>
              <w:snapToGrid w:val="0"/>
              <w:spacing w:beforeLines="20" w:before="72" w:afterLines="20" w:after="72"/>
              <w:rPr>
                <w:rFonts w:eastAsia="標楷體"/>
                <w:sz w:val="20"/>
                <w:lang w:eastAsia="zh-TW"/>
              </w:rPr>
            </w:pPr>
            <w:r>
              <w:rPr>
                <w:rFonts w:eastAsia="標楷體" w:hint="eastAsia"/>
                <w:sz w:val="20"/>
                <w:lang w:eastAsia="zh-TW"/>
              </w:rPr>
              <w:t>Final exam</w:t>
            </w:r>
          </w:p>
        </w:tc>
      </w:tr>
      <w:tr w:rsidR="002937B6" w:rsidTr="008A1E4F">
        <w:trPr>
          <w:trHeight w:val="540"/>
          <w:jc w:val="center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B6" w:rsidRPr="006417B5" w:rsidRDefault="002937B6" w:rsidP="009B34A4">
            <w:pPr>
              <w:snapToGrid w:val="0"/>
              <w:spacing w:after="0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其他</w:t>
            </w:r>
            <w:r w:rsidRPr="006417B5">
              <w:rPr>
                <w:rFonts w:eastAsia="標楷體" w:hint="eastAsia"/>
                <w:szCs w:val="24"/>
              </w:rPr>
              <w:t xml:space="preserve">: </w:t>
            </w:r>
            <w:r w:rsidR="009B34A4">
              <w:rPr>
                <w:rFonts w:eastAsia="標楷體" w:hint="eastAsia"/>
                <w:szCs w:val="24"/>
                <w:lang w:eastAsia="zh-TW"/>
              </w:rPr>
              <w:t>attendance will be considered as extra credit.</w:t>
            </w:r>
          </w:p>
        </w:tc>
      </w:tr>
    </w:tbl>
    <w:p w:rsidR="00137329" w:rsidRDefault="00137329"/>
    <w:sectPr w:rsidR="00137329" w:rsidSect="00C97C53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4F" w:rsidRDefault="0096374F" w:rsidP="00CE4012">
      <w:pPr>
        <w:spacing w:after="0"/>
      </w:pPr>
      <w:r>
        <w:separator/>
      </w:r>
    </w:p>
  </w:endnote>
  <w:endnote w:type="continuationSeparator" w:id="0">
    <w:p w:rsidR="0096374F" w:rsidRDefault="0096374F" w:rsidP="00CE4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4F" w:rsidRDefault="0096374F" w:rsidP="00CE4012">
      <w:pPr>
        <w:spacing w:after="0"/>
      </w:pPr>
      <w:r>
        <w:separator/>
      </w:r>
    </w:p>
  </w:footnote>
  <w:footnote w:type="continuationSeparator" w:id="0">
    <w:p w:rsidR="0096374F" w:rsidRDefault="0096374F" w:rsidP="00CE40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54D"/>
    <w:multiLevelType w:val="multilevel"/>
    <w:tmpl w:val="A276032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220567"/>
    <w:multiLevelType w:val="hybridMultilevel"/>
    <w:tmpl w:val="FC9EF99A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016DA1"/>
    <w:multiLevelType w:val="multilevel"/>
    <w:tmpl w:val="831A2020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080920"/>
    <w:multiLevelType w:val="multilevel"/>
    <w:tmpl w:val="20B04F6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16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EC3435"/>
    <w:multiLevelType w:val="hybridMultilevel"/>
    <w:tmpl w:val="2990E1FC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4433F4"/>
    <w:multiLevelType w:val="hybridMultilevel"/>
    <w:tmpl w:val="5B08C0CE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361B49"/>
    <w:multiLevelType w:val="hybridMultilevel"/>
    <w:tmpl w:val="EE0623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9B100B"/>
    <w:multiLevelType w:val="hybridMultilevel"/>
    <w:tmpl w:val="42029F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8C4B26"/>
    <w:multiLevelType w:val="hybridMultilevel"/>
    <w:tmpl w:val="64464DD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87A71C5"/>
    <w:multiLevelType w:val="multilevel"/>
    <w:tmpl w:val="64464DD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24199D"/>
    <w:multiLevelType w:val="hybridMultilevel"/>
    <w:tmpl w:val="99A01254"/>
    <w:lvl w:ilvl="0" w:tplc="A636EDEE">
      <w:start w:val="1"/>
      <w:numFmt w:val="bullet"/>
      <w:lvlText w:val=""/>
      <w:lvlJc w:val="left"/>
      <w:pPr>
        <w:tabs>
          <w:tab w:val="num" w:pos="593"/>
        </w:tabs>
        <w:ind w:left="593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1" w15:restartNumberingAfterBreak="0">
    <w:nsid w:val="427959F0"/>
    <w:multiLevelType w:val="hybridMultilevel"/>
    <w:tmpl w:val="23AE51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7570E06"/>
    <w:multiLevelType w:val="hybridMultilevel"/>
    <w:tmpl w:val="45706C7C"/>
    <w:lvl w:ilvl="0" w:tplc="13C83F08">
      <w:numFmt w:val="bullet"/>
      <w:lvlText w:val=""/>
      <w:lvlJc w:val="left"/>
      <w:pPr>
        <w:tabs>
          <w:tab w:val="num" w:pos="480"/>
        </w:tabs>
        <w:ind w:left="480" w:hanging="360"/>
      </w:pPr>
      <w:rPr>
        <w:rFonts w:ascii="Wingdings" w:eastAsia="標楷體" w:hAnsi="Wingdings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ED87925"/>
    <w:multiLevelType w:val="hybridMultilevel"/>
    <w:tmpl w:val="C6AAEE60"/>
    <w:lvl w:ilvl="0" w:tplc="5D60C1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E6658">
      <w:start w:val="17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1806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C83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22D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861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674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0B2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2FC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63053"/>
    <w:multiLevelType w:val="multilevel"/>
    <w:tmpl w:val="2990E1FC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A497A80"/>
    <w:multiLevelType w:val="hybridMultilevel"/>
    <w:tmpl w:val="86F60D86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9620BF"/>
    <w:multiLevelType w:val="hybridMultilevel"/>
    <w:tmpl w:val="3244DE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824155"/>
    <w:multiLevelType w:val="hybridMultilevel"/>
    <w:tmpl w:val="2986644A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CC7C5BD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  <w:szCs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375361"/>
    <w:multiLevelType w:val="hybridMultilevel"/>
    <w:tmpl w:val="D4E4E408"/>
    <w:lvl w:ilvl="0" w:tplc="A636EDE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5175D4"/>
    <w:multiLevelType w:val="hybridMultilevel"/>
    <w:tmpl w:val="27C6249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D4071DF"/>
    <w:multiLevelType w:val="hybridMultilevel"/>
    <w:tmpl w:val="60040510"/>
    <w:lvl w:ilvl="0" w:tplc="03DC6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DEC33B0"/>
    <w:multiLevelType w:val="hybridMultilevel"/>
    <w:tmpl w:val="64184C0E"/>
    <w:lvl w:ilvl="0" w:tplc="8B6637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6FE73DF7"/>
    <w:multiLevelType w:val="hybridMultilevel"/>
    <w:tmpl w:val="E20ED22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6"/>
  </w:num>
  <w:num w:numId="5">
    <w:abstractNumId w:val="19"/>
  </w:num>
  <w:num w:numId="6">
    <w:abstractNumId w:val="11"/>
  </w:num>
  <w:num w:numId="7">
    <w:abstractNumId w:val="7"/>
  </w:num>
  <w:num w:numId="8">
    <w:abstractNumId w:val="8"/>
  </w:num>
  <w:num w:numId="9">
    <w:abstractNumId w:val="16"/>
  </w:num>
  <w:num w:numId="10">
    <w:abstractNumId w:val="18"/>
  </w:num>
  <w:num w:numId="11">
    <w:abstractNumId w:val="15"/>
  </w:num>
  <w:num w:numId="12">
    <w:abstractNumId w:val="4"/>
  </w:num>
  <w:num w:numId="13">
    <w:abstractNumId w:val="22"/>
  </w:num>
  <w:num w:numId="14">
    <w:abstractNumId w:val="17"/>
  </w:num>
  <w:num w:numId="15">
    <w:abstractNumId w:val="14"/>
  </w:num>
  <w:num w:numId="16">
    <w:abstractNumId w:val="3"/>
  </w:num>
  <w:num w:numId="17">
    <w:abstractNumId w:val="9"/>
  </w:num>
  <w:num w:numId="18">
    <w:abstractNumId w:val="21"/>
  </w:num>
  <w:num w:numId="19">
    <w:abstractNumId w:val="1"/>
  </w:num>
  <w:num w:numId="20">
    <w:abstractNumId w:val="2"/>
  </w:num>
  <w:num w:numId="21">
    <w:abstractNumId w:val="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29"/>
    <w:rsid w:val="00047D54"/>
    <w:rsid w:val="00066E78"/>
    <w:rsid w:val="00074CD5"/>
    <w:rsid w:val="00084FE0"/>
    <w:rsid w:val="0008640A"/>
    <w:rsid w:val="0009773C"/>
    <w:rsid w:val="000A756F"/>
    <w:rsid w:val="000B455F"/>
    <w:rsid w:val="000C0B8D"/>
    <w:rsid w:val="000E3B21"/>
    <w:rsid w:val="001073E2"/>
    <w:rsid w:val="00120E52"/>
    <w:rsid w:val="00137329"/>
    <w:rsid w:val="00144B7F"/>
    <w:rsid w:val="00156E96"/>
    <w:rsid w:val="00177BDD"/>
    <w:rsid w:val="0019203A"/>
    <w:rsid w:val="001D60F4"/>
    <w:rsid w:val="00243777"/>
    <w:rsid w:val="00247DA3"/>
    <w:rsid w:val="00261D41"/>
    <w:rsid w:val="00277475"/>
    <w:rsid w:val="002937B6"/>
    <w:rsid w:val="002950A6"/>
    <w:rsid w:val="002A0359"/>
    <w:rsid w:val="002C1833"/>
    <w:rsid w:val="002E51EC"/>
    <w:rsid w:val="00313491"/>
    <w:rsid w:val="00344539"/>
    <w:rsid w:val="00353498"/>
    <w:rsid w:val="003A44C8"/>
    <w:rsid w:val="003C092E"/>
    <w:rsid w:val="00404212"/>
    <w:rsid w:val="0049538E"/>
    <w:rsid w:val="004B3B1A"/>
    <w:rsid w:val="00506127"/>
    <w:rsid w:val="00517786"/>
    <w:rsid w:val="005378FA"/>
    <w:rsid w:val="0059041C"/>
    <w:rsid w:val="006074A6"/>
    <w:rsid w:val="00632A7D"/>
    <w:rsid w:val="006355A0"/>
    <w:rsid w:val="00636758"/>
    <w:rsid w:val="006417B5"/>
    <w:rsid w:val="0065102D"/>
    <w:rsid w:val="0065392E"/>
    <w:rsid w:val="00665A5F"/>
    <w:rsid w:val="00681F4A"/>
    <w:rsid w:val="007247C8"/>
    <w:rsid w:val="007373C6"/>
    <w:rsid w:val="007821F2"/>
    <w:rsid w:val="00790E77"/>
    <w:rsid w:val="007B3BAE"/>
    <w:rsid w:val="007D225D"/>
    <w:rsid w:val="007D74E7"/>
    <w:rsid w:val="007E398A"/>
    <w:rsid w:val="00811FA6"/>
    <w:rsid w:val="00841989"/>
    <w:rsid w:val="00841ED0"/>
    <w:rsid w:val="0085436D"/>
    <w:rsid w:val="0087357F"/>
    <w:rsid w:val="008A1E4F"/>
    <w:rsid w:val="008C26DA"/>
    <w:rsid w:val="008E3F61"/>
    <w:rsid w:val="0096374F"/>
    <w:rsid w:val="00964D7E"/>
    <w:rsid w:val="00974788"/>
    <w:rsid w:val="009B0BF9"/>
    <w:rsid w:val="009B34A4"/>
    <w:rsid w:val="009B58CC"/>
    <w:rsid w:val="00A51A94"/>
    <w:rsid w:val="00A55153"/>
    <w:rsid w:val="00A95A43"/>
    <w:rsid w:val="00B1313E"/>
    <w:rsid w:val="00BA274F"/>
    <w:rsid w:val="00BD08BB"/>
    <w:rsid w:val="00BE1E33"/>
    <w:rsid w:val="00BF3D44"/>
    <w:rsid w:val="00C65BDD"/>
    <w:rsid w:val="00C7448E"/>
    <w:rsid w:val="00C844D9"/>
    <w:rsid w:val="00C97C53"/>
    <w:rsid w:val="00CC7838"/>
    <w:rsid w:val="00CD6C8C"/>
    <w:rsid w:val="00CE3CAF"/>
    <w:rsid w:val="00CE4012"/>
    <w:rsid w:val="00D0313E"/>
    <w:rsid w:val="00D12A12"/>
    <w:rsid w:val="00D135F8"/>
    <w:rsid w:val="00DD372E"/>
    <w:rsid w:val="00DF1090"/>
    <w:rsid w:val="00E21B57"/>
    <w:rsid w:val="00E7629D"/>
    <w:rsid w:val="00EB7F68"/>
    <w:rsid w:val="00F006E5"/>
    <w:rsid w:val="00F049FD"/>
    <w:rsid w:val="00FC5D00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BF473"/>
  <w15:docId w15:val="{F06FD535-C852-49D9-933F-C1D7E31C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2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6C8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E40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E4012"/>
    <w:rPr>
      <w:lang w:eastAsia="en-US"/>
    </w:rPr>
  </w:style>
  <w:style w:type="paragraph" w:styleId="a6">
    <w:name w:val="footer"/>
    <w:basedOn w:val="a"/>
    <w:link w:val="a7"/>
    <w:rsid w:val="00CE40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E4012"/>
    <w:rPr>
      <w:lang w:eastAsia="en-US"/>
    </w:rPr>
  </w:style>
  <w:style w:type="character" w:styleId="a8">
    <w:name w:val="Hyperlink"/>
    <w:basedOn w:val="a0"/>
    <w:rsid w:val="00293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yau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Links>
    <vt:vector size="6" baseType="variant">
      <vt:variant>
        <vt:i4>3539028</vt:i4>
      </vt:variant>
      <vt:variant>
        <vt:i4>0</vt:i4>
      </vt:variant>
      <vt:variant>
        <vt:i4>0</vt:i4>
      </vt:variant>
      <vt:variant>
        <vt:i4>5</vt:i4>
      </vt:variant>
      <vt:variant>
        <vt:lpwstr>mailto:imeghf@ccu.edu.tw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creator>Admin</dc:creator>
  <cp:lastModifiedBy>user</cp:lastModifiedBy>
  <cp:revision>2</cp:revision>
  <cp:lastPrinted>2006-10-17T01:49:00Z</cp:lastPrinted>
  <dcterms:created xsi:type="dcterms:W3CDTF">2020-12-23T07:57:00Z</dcterms:created>
  <dcterms:modified xsi:type="dcterms:W3CDTF">2020-12-23T07:57:00Z</dcterms:modified>
</cp:coreProperties>
</file>