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國立中正大學傳播學系碩士班課程教學大綱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28.0" w:type="pc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980"/>
        <w:gridCol w:w="980"/>
        <w:gridCol w:w="980"/>
        <w:gridCol w:w="980"/>
        <w:gridCol w:w="980"/>
        <w:gridCol w:w="40"/>
        <w:gridCol w:w="940"/>
        <w:gridCol w:w="140"/>
        <w:gridCol w:w="840"/>
        <w:gridCol w:w="980"/>
        <w:gridCol w:w="980"/>
        <w:gridCol w:w="980"/>
        <w:tblGridChange w:id="0">
          <w:tblGrid>
            <w:gridCol w:w="1980"/>
            <w:gridCol w:w="980"/>
            <w:gridCol w:w="980"/>
            <w:gridCol w:w="980"/>
            <w:gridCol w:w="980"/>
            <w:gridCol w:w="40"/>
            <w:gridCol w:w="940"/>
            <w:gridCol w:w="140"/>
            <w:gridCol w:w="840"/>
            <w:gridCol w:w="980"/>
            <w:gridCol w:w="980"/>
            <w:gridCol w:w="980"/>
          </w:tblGrid>
        </w:tblGridChange>
      </w:tblGrid>
      <w:tr>
        <w:trPr>
          <w:trHeight w:val="509" w:hRule="atLeast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開設學年度/學期</w:t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109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學年度第 2 學期</w:t>
            </w:r>
          </w:p>
        </w:tc>
      </w:tr>
      <w:tr>
        <w:trPr>
          <w:trHeight w:val="52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課程名稱(中文)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 區塊鍊經濟與內容實作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1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課程名稱(英文)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Blockchain Economy and Content Production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1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必/選修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□專業必修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學分數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  學分</w:t>
            </w:r>
          </w:p>
        </w:tc>
      </w:tr>
      <w:tr>
        <w:trPr>
          <w:trHeight w:val="521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  課  方  式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課堂上課   □網路教學    □其他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</w:t>
            </w:r>
          </w:p>
        </w:tc>
      </w:tr>
      <w:tr>
        <w:trPr>
          <w:trHeight w:val="2200" w:hRule="atLeast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教學目標及範圍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本課程將會從區塊鏈的基本概念開始介紹，接著分析比特幣、以太坊與Hyperledger Fabrics等不同運作方式的區塊鏈，並且藉由Docker容器對以太坊的測試區塊鏈進行實際操作。進一步，將會介紹去中心財經服務（Decentralized Finance, DeFi）與合成代幣（Universal Market Access, UMA; Synthetix），以及去中心的交易所（如Uniswap），分析是如何形成新的去中心化的區塊鏈經濟。在區塊鏈經濟的持續發展下，內容的傳播（contend distribtion）與製作（content production），前者如影片分享平台Flixxo，後者如華文文章創作平台Matters，都在持續發展與探索新的傳播形式與內容。本課程也會讓同學學習如何在區塊鏈上進行內容實作與傳播，最後創造出區塊鏈原生內容。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9" w:hRule="atLeast"/>
        </w:trPr>
        <w:tc>
          <w:tcPr>
            <w:gridSpan w:val="12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專業核心能力檢核表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9" w:hRule="atLeast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本課程欲培養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之專業核心能力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課堂活動與評量方式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紙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筆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考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試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或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測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課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堂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討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論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(含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個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案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討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論）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個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書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面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報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告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作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作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品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實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群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組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書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面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報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告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作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作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品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實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驗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生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頭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作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課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程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規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畫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之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校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外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訪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及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實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與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課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程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規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畫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之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校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內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外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活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動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與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競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課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外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閱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其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他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20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1.吸收跨領域知識與整合的能力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20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2.瞭解各種電訊傳播媒體之特性與整合應用的能力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20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3.獨立研究思辨的能力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20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4.具備人文素養與分析批判之能力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20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5.團隊合作以及表達溝通的能力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741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*授  課  大  綱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(須含週次表及每週課程進度說明)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*教科書及參考書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*評  量  方  式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both"/>
              <w:rPr>
                <w:color w:val="333333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*其他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6"/>
                <w:szCs w:val="26"/>
                <w:rtl w:val="0"/>
              </w:rPr>
              <w:t xml:space="preserve">教科書及參考書</w:t>
            </w:r>
            <w:r w:rsidDel="00000000" w:rsidR="00000000" w:rsidRPr="00000000">
              <w:rPr>
                <w:rFonts w:ascii="Gungsuh" w:cs="Gungsuh" w:eastAsia="Gungsuh" w:hAnsi="Gungsuh"/>
                <w:sz w:val="26"/>
                <w:szCs w:val="26"/>
                <w:rtl w:val="0"/>
              </w:rPr>
              <w:t xml:space="preserve">：自編教材與網路資源，每週上課會提供下週閱讀教材的網路連結。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6"/>
                <w:szCs w:val="26"/>
                <w:rtl w:val="0"/>
              </w:rPr>
              <w:t xml:space="preserve">評量方式</w:t>
            </w:r>
            <w:r w:rsidDel="00000000" w:rsidR="00000000" w:rsidRPr="00000000">
              <w:rPr>
                <w:rFonts w:ascii="Gungsuh" w:cs="Gungsuh" w:eastAsia="Gungsuh" w:hAnsi="Gungsuh"/>
                <w:sz w:val="26"/>
                <w:szCs w:val="26"/>
                <w:rtl w:val="0"/>
              </w:rPr>
              <w:t xml:space="preserve">：30%課堂作業、30%期中報告、40%期末報告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rFonts w:ascii="Gungsuh" w:cs="Gungsuh" w:eastAsia="Gungsuh" w:hAnsi="Gungsuh"/>
                <w:sz w:val="30"/>
                <w:szCs w:val="30"/>
                <w:rtl w:val="0"/>
              </w:rPr>
              <w:t xml:space="preserve">課程大綱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6"/>
                <w:szCs w:val="26"/>
                <w:rtl w:val="0"/>
              </w:rPr>
              <w:t xml:space="preserve">第一週 課程介紹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‘IMF World Bank Comment’ Gensler, The Banker (September 2018).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The blockchain catalyst for change</w:t>
            </w:r>
            <w:r w:rsidDel="00000000" w:rsidR="00000000" w:rsidRPr="00000000">
              <w:rPr>
                <w:color w:val="333333"/>
                <w:rtl w:val="0"/>
              </w:rPr>
              <w:t xml:space="preserve">’ Vox (July 16, 2018) 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第二週 金錢、帳本與比特幣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‘Conflict reigns over the history and origins of money’ Science News (July 29, 2018)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'A Brief History of Money' IEEE Spectrum (May 30, 2012) 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'What is Money? An Artist's Make and Take' Wall Street Journal video (November 11, 2014)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'A Brief History of Ledgers' LLFOURN, Medium (February 15, 2018) 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‘Bitcoin and Cryptocurrency Technologies, Preface — The Long Road to Bitcoin’ Clark (pages 3 – 21) (February 9, 2016)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‘Bitcoin P2P e-cash paper’ e-mail Nakamoto (October 31, 2008)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第三週 區塊鏈基礎與虛擬貨幣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‘Bitcoin: A Peer-to-Peer Electronic Cash System’ Nakamoto (October 31, 2008)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‘Blockchain Technology Overview’ (PDF) National Institute of Standards and Technology (January 2018)  (pages 9 – 23, sections 1 &amp; 2)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'Blockchain 101 — A Visual Demo' Brownworth, MIT (November 5, 2016)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‘21st Geneva Report on the World Economy - The Impact of Blockchain Technology on Finance: Catalyst for Change’ Chapter 1 (pages 1 – 7); Casey, Crane, Gensler, Johnson, and Narula  (July 2018)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‘Blockchain Technology Overview’ (PDF) National Institute of Standards and Technology (January 2018)  (pages 9 – 23, sections 1 &amp; 2)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‘The Byzantine Generals Problem’ Lamport, Shostak, &amp; Pease; ACM Transactions on Programming Languages and Systems (TOPLAS), 4(3), (July 1982) (required 382-387)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‘A (Short) Guide to Blockchain Consensus Protocols’ CoinDesk (March 4, 2017)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'The Best Step-by-Step Bitcoin Script Guide' by Blockgeeks.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第四週 區塊鏈基礎、交易、UTXO、腳本程式碼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‘Bitcoin's Academic Pedigree’ Narayanan and Clark (August 29, 2017)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'Making Sense of Cryptoeconomics' CoinDesk (August 19, 2017)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第五週 智慧合約與DApp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</w:rPr>
              <w:drawing>
                <wp:inline distB="114300" distT="114300" distL="114300" distR="114300">
                  <wp:extent cx="9525" cy="9525"/>
                  <wp:effectExtent b="0" l="0" r="0" t="0"/>
                  <wp:docPr descr="This resource may not render correctly in a screen reader." id="1" name="image1.gif"/>
                  <a:graphic>
                    <a:graphicData uri="http://schemas.openxmlformats.org/drawingml/2006/picture">
                      <pic:pic>
                        <pic:nvPicPr>
                          <pic:cNvPr descr="This resource may not render correctly in a screen reader." id="0" name="image1.gif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333333"/>
                <w:rtl w:val="0"/>
              </w:rPr>
              <w:t xml:space="preserve">Smart Contracts: 12 Use Cases for Business &amp; Beyond’Chamber of Digital Commerce' </w:t>
            </w:r>
            <w:r w:rsidDel="00000000" w:rsidR="00000000" w:rsidRPr="00000000">
              <w:rPr>
                <w:color w:val="333333"/>
                <w:rtl w:val="0"/>
              </w:rPr>
              <w:t xml:space="preserve">(December 2016)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State of the DApps: 5 Observations from Usage Data</w:t>
            </w:r>
            <w:r w:rsidDel="00000000" w:rsidR="00000000" w:rsidRPr="00000000">
              <w:rPr>
                <w:color w:val="333333"/>
                <w:rtl w:val="0"/>
              </w:rPr>
              <w:t xml:space="preserve">’ McCann, Medium (April 2018)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Ethereum Competitors: Guide to the Alternative Smart Contract Platforms</w:t>
            </w:r>
            <w:r w:rsidDel="00000000" w:rsidR="00000000" w:rsidRPr="00000000">
              <w:rPr>
                <w:color w:val="333333"/>
                <w:rtl w:val="0"/>
              </w:rPr>
              <w:t xml:space="preserve">’ Blockonomi (February 28, 2018)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Smart Contracts: Building Blocks for Digital Markets</w:t>
            </w:r>
            <w:r w:rsidDel="00000000" w:rsidR="00000000" w:rsidRPr="00000000">
              <w:rPr>
                <w:color w:val="333333"/>
                <w:rtl w:val="0"/>
              </w:rPr>
              <w:t xml:space="preserve">' Szabo (1996)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A Next-Generation Smart Contract and Decentralized Application Platform</w:t>
            </w:r>
            <w:r w:rsidDel="00000000" w:rsidR="00000000" w:rsidRPr="00000000">
              <w:rPr>
                <w:color w:val="333333"/>
                <w:rtl w:val="0"/>
              </w:rPr>
              <w:t xml:space="preserve">' Ethereum Whitepaper as maintained on Ethereum Wiki (2013, updated through August 21, 2018)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Blockchain Technology as a Regulatory Technology</w:t>
            </w:r>
            <w:r w:rsidDel="00000000" w:rsidR="00000000" w:rsidRPr="00000000">
              <w:rPr>
                <w:color w:val="333333"/>
                <w:rtl w:val="0"/>
              </w:rPr>
              <w:t xml:space="preserve">' De Filippi &amp; Hassan, Harvard (January 2018)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第六週 科技挑戰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21st Geneva Report on the World Economy -The Impact of Blockchain Technology on Finance: Catalyst for Change</w:t>
            </w:r>
            <w:r w:rsidDel="00000000" w:rsidR="00000000" w:rsidRPr="00000000">
              <w:rPr>
                <w:color w:val="333333"/>
                <w:rtl w:val="0"/>
              </w:rPr>
              <w:t xml:space="preserve">’ Chapter 2 -Blockchain technology’s opportunities and challenges (pages 9 –16)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On the Scalability of Blockchains</w:t>
            </w:r>
            <w:r w:rsidDel="00000000" w:rsidR="00000000" w:rsidRPr="00000000">
              <w:rPr>
                <w:color w:val="333333"/>
                <w:rtl w:val="0"/>
              </w:rPr>
              <w:t xml:space="preserve"> ’The Control (March 23, 2018) 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Transactions Speeds: How Do Cryptocurrencies Stack Up To Visa or PayPal?</w:t>
            </w:r>
            <w:r w:rsidDel="00000000" w:rsidR="00000000" w:rsidRPr="00000000">
              <w:rPr>
                <w:color w:val="333333"/>
                <w:rtl w:val="0"/>
              </w:rPr>
              <w:t xml:space="preserve"> ’HowMuch.net (January 10, 2018)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Layer 2 | the lightning network</w:t>
            </w:r>
            <w:r w:rsidDel="00000000" w:rsidR="00000000" w:rsidRPr="00000000">
              <w:rPr>
                <w:color w:val="333333"/>
                <w:rtl w:val="0"/>
              </w:rPr>
              <w:t xml:space="preserve">’ Digital Currency Initiative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Top 8 Privacy Coins</w:t>
            </w:r>
            <w:r w:rsidDel="00000000" w:rsidR="00000000" w:rsidRPr="00000000">
              <w:rPr>
                <w:color w:val="333333"/>
                <w:rtl w:val="0"/>
              </w:rPr>
              <w:t xml:space="preserve">’ Invest in Blockchain (April 16, 2018)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On sharding blockchains</w:t>
            </w:r>
            <w:r w:rsidDel="00000000" w:rsidR="00000000" w:rsidRPr="00000000">
              <w:rPr>
                <w:color w:val="333333"/>
                <w:rtl w:val="0"/>
              </w:rPr>
              <w:t xml:space="preserve">’ Ethereum Wiki (accessed August 20, 2018)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zkLedger: Privacy-Preserving Auditing for Distributed Ledgers</w:t>
            </w:r>
            <w:r w:rsidDel="00000000" w:rsidR="00000000" w:rsidRPr="00000000">
              <w:rPr>
                <w:color w:val="333333"/>
                <w:rtl w:val="0"/>
              </w:rPr>
              <w:t xml:space="preserve">’ Narula, Vasquez, &amp; Virza (April 2018)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第七週 公共政策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Cryptocurrencies: Oversight of New Assets in the Digital Age' </w:t>
            </w:r>
            <w:r w:rsidDel="00000000" w:rsidR="00000000" w:rsidRPr="00000000">
              <w:rPr>
                <w:color w:val="333333"/>
                <w:rtl w:val="0"/>
              </w:rPr>
              <w:t xml:space="preserve">Gensler (July 18, 2018)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The Future of Money’  </w:t>
            </w:r>
            <w:r w:rsidDel="00000000" w:rsidR="00000000" w:rsidRPr="00000000">
              <w:rPr>
                <w:color w:val="333333"/>
                <w:rtl w:val="0"/>
              </w:rPr>
              <w:t xml:space="preserve">Carney (March 2, 2018)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'Nobel-winning economist: Authorities will bring down 'hammer' on bitcoin</w:t>
            </w:r>
            <w:r w:rsidDel="00000000" w:rsidR="00000000" w:rsidRPr="00000000">
              <w:rPr>
                <w:color w:val="333333"/>
                <w:rtl w:val="0"/>
              </w:rPr>
              <w:t xml:space="preserve">' CNBC (July 9, 2018) 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第八週 區塊鏈經濟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‘Why Bitcoin is and isn't like the Internet’ Ito (January 23, 2015)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'Some Simple Economics of the Blockchain' Catalini and Glans (revised June 2018)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'Transaction Costs and Tethers: Why I’m a Crypto Skeptic' Krugman, New York Times (July 31, 2018)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'Billionaire Bill Gates once got bitcoin as a birthday present — here's what he did with it' CNBC (May 8, 2018)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''Dr. Doom' Economist Nouriel Roubini Bearish on Everything Crypto' Forbes (August 25, 2018)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'The Economic Limits of Bitcoin and the Blockchain' Budish, University of Chicago (June 5, 2018)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‘Valuing Bitcoin and Ethereum with Metcalfe’s Law’ Clearblocks, Medium (February 13, 2018)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'The Meaning of Decentralization 'Buterin, Medium (February 6, 2017)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第九週 期中考週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="276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第十週 支付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The Federal Reserve Payments Study: 2017 Annual Supplement</w:t>
            </w:r>
            <w:r w:rsidDel="00000000" w:rsidR="00000000" w:rsidRPr="00000000">
              <w:rPr>
                <w:color w:val="333333"/>
                <w:rtl w:val="0"/>
              </w:rPr>
              <w:t xml:space="preserve">’ Federal Reserve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‘Global Payments Report</w:t>
            </w:r>
            <w:r w:rsidDel="00000000" w:rsidR="00000000" w:rsidRPr="00000000">
              <w:rPr>
                <w:color w:val="333333"/>
                <w:rtl w:val="0"/>
              </w:rPr>
              <w:t xml:space="preserve">’ Worldpay (November 2017)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The Best Mobile Payment Apps of 2018</w:t>
            </w:r>
            <w:r w:rsidDel="00000000" w:rsidR="00000000" w:rsidRPr="00000000">
              <w:rPr>
                <w:color w:val="333333"/>
                <w:rtl w:val="0"/>
              </w:rPr>
              <w:t xml:space="preserve">’ PC World (April 2, 2018)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</w:t>
            </w:r>
            <w:r w:rsidDel="00000000" w:rsidR="00000000" w:rsidRPr="00000000">
              <w:rPr>
                <w:color w:val="333333"/>
                <w:rtl w:val="0"/>
              </w:rPr>
              <w:t xml:space="preserve">Why China’s Payment Apps Give U.S. Bankers Nightmares</w:t>
            </w:r>
            <w:r w:rsidDel="00000000" w:rsidR="00000000" w:rsidRPr="00000000">
              <w:rPr>
                <w:color w:val="333333"/>
                <w:rtl w:val="0"/>
              </w:rPr>
              <w:t xml:space="preserve">’ Bloomberg (May 23, 2018)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‘M-PESA: how Kenya revolutionized mobile payments</w:t>
            </w:r>
            <w:r w:rsidDel="00000000" w:rsidR="00000000" w:rsidRPr="00000000">
              <w:rPr>
                <w:color w:val="333333"/>
                <w:rtl w:val="0"/>
              </w:rPr>
              <w:t xml:space="preserve">’ N26 Magazine (April 9, 2018)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How Blockchain Can Finally Fulfill Its Promise in Global Payments</w:t>
            </w:r>
            <w:r w:rsidDel="00000000" w:rsidR="00000000" w:rsidRPr="00000000">
              <w:rPr>
                <w:color w:val="333333"/>
                <w:rtl w:val="0"/>
              </w:rPr>
              <w:t xml:space="preserve">'  CoinDesk (June 9, 2018)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Extending the World of Payments to Blockchain' </w:t>
            </w:r>
            <w:r w:rsidDel="00000000" w:rsidR="00000000" w:rsidRPr="00000000">
              <w:rPr>
                <w:color w:val="333333"/>
                <w:rtl w:val="0"/>
              </w:rPr>
              <w:t xml:space="preserve">ACI Worldwide (2017)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The Payment Industry is About to Be Struck by Lightning: Expert Take</w:t>
            </w:r>
            <w:r w:rsidDel="00000000" w:rsidR="00000000" w:rsidRPr="00000000">
              <w:rPr>
                <w:color w:val="333333"/>
                <w:rtl w:val="0"/>
              </w:rPr>
              <w:t xml:space="preserve">' Coin Telegraph (March 21, 2018)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Why Stripe Gave Up on Bitcoin and Blockchain Payments</w:t>
            </w:r>
            <w:r w:rsidDel="00000000" w:rsidR="00000000" w:rsidRPr="00000000">
              <w:rPr>
                <w:color w:val="333333"/>
                <w:rtl w:val="0"/>
              </w:rPr>
              <w:t xml:space="preserve">' Fortune (July 17, 2018)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</w:t>
            </w:r>
            <w:r w:rsidDel="00000000" w:rsidR="00000000" w:rsidRPr="00000000">
              <w:rPr>
                <w:color w:val="333333"/>
                <w:rtl w:val="0"/>
              </w:rPr>
              <w:t xml:space="preserve">How XRP Fits into Ripple's Payments Products Explained</w:t>
            </w:r>
            <w:r w:rsidDel="00000000" w:rsidR="00000000" w:rsidRPr="00000000">
              <w:rPr>
                <w:color w:val="333333"/>
                <w:rtl w:val="0"/>
              </w:rPr>
              <w:t xml:space="preserve">' CoinDesk (March 4, 2018)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第十一週 數位身份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'Self-sovereign identity: Why blockchain?' IBM (June 13, 2018)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'Blockchain and Digital Identity –A Good Fit?' Olshansky &amp; Wilson, Internet Society (March 13, 2018)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'Can blockchain ease banks’ digital-identity concerns?' American Banker (March 27, 2018)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'Blockchains and Digital Identity' Toward Data Science (March 10, 2018)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‘Singapore Regulator, Banks Complete KYC Blockchain Prototype’ CCN (October 4, 2017)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‘Digital Diploma Debuts at MIT’ MIT News (October 17, 2017)  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第十二週 Docker與以太坊</w:t>
              <w:br w:type="textWrapping"/>
            </w:r>
            <w:r w:rsidDel="00000000" w:rsidR="00000000" w:rsidRPr="00000000">
              <w:rPr>
                <w:rFonts w:ascii="Gungsuh" w:cs="Gungsuh" w:eastAsia="Gungsuh" w:hAnsi="Gungsuh"/>
                <w:color w:val="333333"/>
                <w:rtl w:val="0"/>
              </w:rPr>
              <w:t xml:space="preserve">‘Docker 基礎教學與介紹 101’ 胡程維 (July 4, 2019)  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333333"/>
                <w:rtl w:val="0"/>
              </w:rPr>
              <w:t xml:space="preserve">‘ETH 與以太坊代幣錢包介紹（三）：Chrome 插件錢包 MetaMask’ 區塊客 (July 17, 2017) 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333333"/>
                <w:rtl w:val="0"/>
              </w:rPr>
              <w:t xml:space="preserve">‘Solidity教學第一集，智能合約、Remix、儲存與檢驗、ETH’ 區塊吧 (July 24, 2020) 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第十三週 DeFi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‘UMA: A Decentralized Financial Contract Platform’ UMA (December 3, 2018) 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‘Litepaper’ Synthetix System Documentation (March, 2020) 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‘Uniswap v2 Core’ Uniswap (March, 2020) 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333333"/>
                <w:rtl w:val="0"/>
              </w:rPr>
              <w:t xml:space="preserve">‘DeFi入門導覽｜從搞懂穩定幣機制開始，橫跨借貸、DEX、可組合性等七大概念’ 動區 (October 12, 2020) 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第十四週 內容傳播與製作 (1)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‘Flixxo Whitepaper v0.5’ Flixxo (October 23, 2017) (https://cryptorating.eu/whitepapers/Flixxo/flixxo-white-paper_v0.5.pdf) 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333333"/>
                <w:rtl w:val="0"/>
              </w:rPr>
              <w:t xml:space="preserve">‘Matters 白皮書：重新定義內容價值鏈’ Matters (May, 2018) (https://matters.news/@hi176/matters-%E7%99%BD%E7%9A%AE%E6%9B%B8%E5%88%9D%E7%A8%BF%E8%AB%8B%E6%95%99%E5%A4%A7%E5%AE%B6%E6%84%8F%E8%A6%8B-zdpuAv6kzMLmt9VPmNHE3FNCREvcuRbLBTKTYLQnJNzurAMWQ) 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‘The Future of Blockchain in Media and Entertainment’  JPMorgan Chase &amp; Co. (May 5, 2020) (</w:t>
            </w:r>
            <w:r w:rsidDel="00000000" w:rsidR="00000000" w:rsidRPr="00000000">
              <w:rPr>
                <w:color w:val="333333"/>
                <w:rtl w:val="0"/>
              </w:rPr>
              <w:t xml:space="preserve">https://www.jpmorgan.com/commercial-banking/insights/future-blockchain-media-entertainment</w:t>
            </w:r>
            <w:r w:rsidDel="00000000" w:rsidR="00000000" w:rsidRPr="00000000">
              <w:rPr>
                <w:color w:val="333333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第十五週 內容傳播與製作 (2)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‘Block Around the Clock: Blockchain Adoption in the Broadcast Industry’ IBC (August 8, 2019) 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‘What Is the Relationship Between Blockchain and Content Marketing?’ Relevance (October 21, 2019) </w: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‘Blockchain Technology – The Film Industry Use Case’  MBN (https://www.mbnsolutions.com/uncategorized/blockchain-technology-the-film-industry-use-case/)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第十六週 內容傳播與製作實作（1）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第十七週 內容傳播與製作實作（2）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333333"/>
                <w:sz w:val="26"/>
                <w:szCs w:val="26"/>
                <w:rtl w:val="0"/>
              </w:rPr>
              <w:t xml:space="preserve">第十八週 期末考週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20" w:before="280" w:lineRule="auto"/>
              <w:rPr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vMerge w:val="restart"/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  課  教  師</w:t>
            </w:r>
          </w:p>
        </w:tc>
        <w:tc>
          <w:tcPr>
            <w:gridSpan w:val="11"/>
            <w:tcBorders>
              <w:top w:color="000000" w:space="0" w:sz="12" w:val="single"/>
              <w:left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姓名：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專任   □兼任</w:t>
            </w:r>
          </w:p>
        </w:tc>
      </w:tr>
      <w:tr>
        <w:trPr>
          <w:trHeight w:val="321" w:hRule="atLeast"/>
        </w:trPr>
        <w:tc>
          <w:tcPr>
            <w:vMerge w:val="continue"/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dashed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□教授     □副教授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助理教授     □講師</w:t>
            </w:r>
          </w:p>
        </w:tc>
      </w:tr>
      <w:tr>
        <w:trPr>
          <w:trHeight w:val="1279" w:hRule="atLeast"/>
        </w:trPr>
        <w:tc>
          <w:tcPr>
            <w:vMerge w:val="continue"/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簡單學、經歷及研究領域：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83e37"/>
                <w:sz w:val="23"/>
                <w:szCs w:val="2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83e37"/>
                <w:sz w:val="23"/>
                <w:szCs w:val="23"/>
                <w:rtl w:val="0"/>
              </w:rPr>
              <w:t xml:space="preserve">學歷: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83e37"/>
                <w:sz w:val="23"/>
                <w:szCs w:val="2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83e37"/>
                <w:sz w:val="23"/>
                <w:szCs w:val="23"/>
                <w:rtl w:val="0"/>
              </w:rPr>
              <w:t xml:space="preserve">2007-2012 英國里茲大學(University of Leeds)藝術博士</w:t>
            </w:r>
          </w:p>
          <w:p w:rsidR="00000000" w:rsidDel="00000000" w:rsidP="00000000" w:rsidRDefault="00000000" w:rsidRPr="00000000" w14:paraId="00000181">
            <w:pPr>
              <w:widowControl w:val="0"/>
              <w:spacing w:after="160" w:line="432" w:lineRule="auto"/>
              <w:rPr>
                <w:color w:val="483e37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after="160" w:line="432" w:lineRule="auto"/>
              <w:rPr>
                <w:color w:val="483e37"/>
                <w:sz w:val="23"/>
                <w:szCs w:val="2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83e37"/>
                <w:sz w:val="23"/>
                <w:szCs w:val="23"/>
                <w:rtl w:val="0"/>
              </w:rPr>
              <w:t xml:space="preserve">2001-2005 國立臺灣大學人類學碩士</w:t>
            </w:r>
          </w:p>
          <w:p w:rsidR="00000000" w:rsidDel="00000000" w:rsidP="00000000" w:rsidRDefault="00000000" w:rsidRPr="00000000" w14:paraId="00000183">
            <w:pPr>
              <w:widowControl w:val="0"/>
              <w:spacing w:after="160" w:line="432" w:lineRule="auto"/>
              <w:rPr>
                <w:color w:val="483e37"/>
                <w:sz w:val="23"/>
                <w:szCs w:val="2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83e37"/>
                <w:sz w:val="23"/>
                <w:szCs w:val="23"/>
                <w:rtl w:val="0"/>
              </w:rPr>
              <w:t xml:space="preserve">1997-2001 國立臺灣大學人類學學士</w:t>
            </w:r>
          </w:p>
          <w:p w:rsidR="00000000" w:rsidDel="00000000" w:rsidP="00000000" w:rsidRDefault="00000000" w:rsidRPr="00000000" w14:paraId="00000184">
            <w:pPr>
              <w:widowControl w:val="0"/>
              <w:rPr>
                <w:color w:val="483e37"/>
                <w:sz w:val="23"/>
                <w:szCs w:val="2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83e37"/>
                <w:sz w:val="23"/>
                <w:szCs w:val="23"/>
                <w:rtl w:val="0"/>
              </w:rPr>
              <w:t xml:space="preserve">經歷：</w:t>
            </w:r>
          </w:p>
          <w:p w:rsidR="00000000" w:rsidDel="00000000" w:rsidP="00000000" w:rsidRDefault="00000000" w:rsidRPr="00000000" w14:paraId="00000185">
            <w:pPr>
              <w:widowControl w:val="0"/>
              <w:spacing w:after="160" w:line="432" w:lineRule="auto"/>
              <w:rPr>
                <w:color w:val="483e37"/>
                <w:sz w:val="23"/>
                <w:szCs w:val="2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83e37"/>
                <w:sz w:val="23"/>
                <w:szCs w:val="23"/>
                <w:rtl w:val="0"/>
              </w:rPr>
              <w:t xml:space="preserve">2017/08~2019/07 私立世新大學新聞學系助理教授教授</w:t>
            </w:r>
          </w:p>
          <w:p w:rsidR="00000000" w:rsidDel="00000000" w:rsidP="00000000" w:rsidRDefault="00000000" w:rsidRPr="00000000" w14:paraId="00000186">
            <w:pPr>
              <w:widowControl w:val="0"/>
              <w:spacing w:after="160" w:line="432" w:lineRule="auto"/>
              <w:rPr>
                <w:color w:val="483e37"/>
                <w:sz w:val="23"/>
                <w:szCs w:val="2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83e37"/>
                <w:sz w:val="23"/>
                <w:szCs w:val="23"/>
                <w:rtl w:val="0"/>
              </w:rPr>
              <w:t xml:space="preserve">2016/06~2017/07 宏達國際電子股份有限公司副理</w:t>
            </w:r>
          </w:p>
          <w:p w:rsidR="00000000" w:rsidDel="00000000" w:rsidP="00000000" w:rsidRDefault="00000000" w:rsidRPr="00000000" w14:paraId="00000187">
            <w:pPr>
              <w:widowControl w:val="0"/>
              <w:spacing w:after="160" w:line="432" w:lineRule="auto"/>
              <w:rPr>
                <w:color w:val="483e37"/>
                <w:sz w:val="23"/>
                <w:szCs w:val="23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483e37"/>
                <w:sz w:val="23"/>
                <w:szCs w:val="23"/>
                <w:rtl w:val="0"/>
              </w:rPr>
              <w:t xml:space="preserve">2012/11~2016/06 聯合報行動服務發展部經理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專長：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人類學、網路新聞學、新聞視覺化、資料新聞學、媒體識讀、大數據與資料探勘、虛擬實境、區塊鏈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          註</w:t>
            </w:r>
          </w:p>
        </w:tc>
        <w:tc>
          <w:tcPr>
            <w:gridSpan w:val="11"/>
            <w:tcBorders>
              <w:top w:color="000000" w:space="0" w:sz="12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