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F4" w:rsidRDefault="005D4401">
      <w:pPr>
        <w:pStyle w:val="A6"/>
        <w:widowControl/>
        <w:jc w:val="center"/>
        <w:rPr>
          <w:rFonts w:ascii="微軟正黑體" w:eastAsia="微軟正黑體" w:hAnsi="微軟正黑體" w:cs="微軟正黑體" w:hint="default"/>
          <w:b/>
          <w:bCs/>
          <w:kern w:val="0"/>
          <w:sz w:val="44"/>
          <w:szCs w:val="44"/>
          <w:lang w:val="zh-TW"/>
        </w:rPr>
      </w:pPr>
      <w:bookmarkStart w:id="0" w:name="_GoBack"/>
      <w:bookmarkEnd w:id="0"/>
      <w:r>
        <w:rPr>
          <w:rFonts w:ascii="微軟正黑體" w:eastAsia="微軟正黑體" w:hAnsi="微軟正黑體" w:cs="微軟正黑體"/>
          <w:b/>
          <w:bCs/>
          <w:kern w:val="0"/>
          <w:sz w:val="44"/>
          <w:szCs w:val="44"/>
          <w:lang w:val="zh-TW"/>
        </w:rPr>
        <w:t>國立中正大學課程大綱</w:t>
      </w:r>
    </w:p>
    <w:p w:rsidR="001256F4" w:rsidRDefault="005D4401">
      <w:pPr>
        <w:pStyle w:val="A6"/>
        <w:widowControl/>
        <w:spacing w:line="320" w:lineRule="exact"/>
        <w:jc w:val="right"/>
        <w:rPr>
          <w:rFonts w:ascii="微軟正黑體" w:eastAsia="微軟正黑體" w:hAnsi="微軟正黑體" w:cs="微軟正黑體" w:hint="default"/>
          <w:b/>
          <w:bCs/>
          <w:kern w:val="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bCs/>
          <w:kern w:val="0"/>
          <w:sz w:val="28"/>
          <w:szCs w:val="28"/>
        </w:rPr>
        <w:t>_109_</w:t>
      </w:r>
      <w:r>
        <w:rPr>
          <w:rFonts w:ascii="微軟正黑體" w:eastAsia="微軟正黑體" w:hAnsi="微軟正黑體" w:cs="微軟正黑體"/>
          <w:b/>
          <w:bCs/>
          <w:kern w:val="0"/>
          <w:sz w:val="28"/>
          <w:szCs w:val="28"/>
          <w:lang w:val="zh-TW"/>
        </w:rPr>
        <w:t>學年</w:t>
      </w:r>
      <w:r>
        <w:rPr>
          <w:rFonts w:ascii="微軟正黑體" w:eastAsia="微軟正黑體" w:hAnsi="微軟正黑體" w:cs="微軟正黑體"/>
          <w:b/>
          <w:bCs/>
          <w:kern w:val="0"/>
          <w:sz w:val="28"/>
          <w:szCs w:val="28"/>
        </w:rPr>
        <w:t>__2__</w:t>
      </w:r>
      <w:r>
        <w:rPr>
          <w:rFonts w:ascii="微軟正黑體" w:eastAsia="微軟正黑體" w:hAnsi="微軟正黑體" w:cs="微軟正黑體"/>
          <w:b/>
          <w:bCs/>
          <w:kern w:val="0"/>
          <w:sz w:val="28"/>
          <w:szCs w:val="28"/>
          <w:lang w:val="zh-TW"/>
        </w:rPr>
        <w:t>學期</w:t>
      </w:r>
    </w:p>
    <w:tbl>
      <w:tblPr>
        <w:tblStyle w:val="TableNormal"/>
        <w:tblW w:w="108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31"/>
        <w:gridCol w:w="8601"/>
      </w:tblGrid>
      <w:tr w:rsidR="001256F4">
        <w:trPr>
          <w:trHeight w:val="64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課程名稱</w:t>
            </w:r>
            <w:r>
              <w:rPr>
                <w:rFonts w:ascii="Times New Roman" w:hAnsi="Times New Roman"/>
                <w:b/>
                <w:bCs/>
                <w:kern w:val="0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中文</w:t>
            </w:r>
            <w:r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  <w:kern w:val="0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策略規劃與執行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Times New Roman" w:hAnsi="Times New Roman"/>
                <w:kern w:val="0"/>
              </w:rPr>
              <w:t>Strategic Planning and Implementation</w:t>
            </w:r>
          </w:p>
        </w:tc>
      </w:tr>
      <w:tr w:rsidR="001256F4">
        <w:trPr>
          <w:trHeight w:val="67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先修科目或先備能力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無</w:t>
            </w:r>
          </w:p>
        </w:tc>
      </w:tr>
      <w:tr w:rsidR="001256F4">
        <w:trPr>
          <w:trHeight w:val="421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課程概述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上課時間：星期一，</w:t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：</w:t>
            </w:r>
            <w:r>
              <w:rPr>
                <w:rFonts w:ascii="Times New Roman" w:hAnsi="Times New Roman"/>
              </w:rPr>
              <w:t>15--19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：</w:t>
            </w:r>
            <w:r>
              <w:rPr>
                <w:rFonts w:ascii="Times New Roman" w:hAnsi="Times New Roman"/>
              </w:rPr>
              <w:t>00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上課地點：社科院</w:t>
            </w:r>
            <w:r>
              <w:rPr>
                <w:rFonts w:ascii="Times New Roman" w:hAnsi="Times New Roman"/>
              </w:rPr>
              <w:t>225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教室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上課教師：戴皖文、胡元輝、李政忠</w:t>
            </w:r>
          </w:p>
          <w:p w:rsidR="001256F4" w:rsidRDefault="001256F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256F4" w:rsidRDefault="005D4401">
            <w:pPr>
              <w:pStyle w:val="A6"/>
              <w:widowControl/>
              <w:spacing w:line="320" w:lineRule="exact"/>
              <w:rPr>
                <w:rFonts w:ascii="微軟正黑體" w:eastAsia="微軟正黑體" w:hAnsi="微軟正黑體" w:cs="微軟正黑體" w:hint="default"/>
                <w:lang w:val="zh-TW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本課程聚焦於策略的思考，規劃，與執行，透過實作訓練，輔以理論基礎，培養同學策略規劃和創新的能力。首先介紹策略選擇的思維脈絡與實踐途徑，經由具體步驟過程，尋索解決繁複困難課題的有效方式。</w:t>
            </w:r>
          </w:p>
          <w:p w:rsidR="001256F4" w:rsidRDefault="005D4401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以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“</w:t>
            </w:r>
            <w:r>
              <w:rPr>
                <w:sz w:val="24"/>
                <w:szCs w:val="24"/>
                <w:shd w:val="clear" w:color="auto" w:fill="FFFFFF"/>
              </w:rPr>
              <w:t>用途</w:t>
            </w:r>
            <w:r>
              <w:rPr>
                <w:rFonts w:eastAsia="PingFang TC Regular" w:hint="eastAsia"/>
                <w:sz w:val="24"/>
                <w:szCs w:val="24"/>
                <w:shd w:val="clear" w:color="auto" w:fill="FFFFFF"/>
              </w:rPr>
              <w:t>理論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eastAsia="PingFang TC Regular" w:hint="eastAsia"/>
                <w:sz w:val="24"/>
                <w:szCs w:val="24"/>
                <w:shd w:val="clear" w:color="auto" w:fill="FFFFFF"/>
              </w:rPr>
              <w:t>以及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“</w:t>
            </w:r>
            <w:r>
              <w:rPr>
                <w:sz w:val="24"/>
                <w:szCs w:val="24"/>
                <w:shd w:val="clear" w:color="auto" w:fill="FFFFFF"/>
              </w:rPr>
              <w:t>精實</w:t>
            </w:r>
            <w:r>
              <w:rPr>
                <w:rFonts w:eastAsia="PingFang TC Regular" w:hint="eastAsia"/>
                <w:sz w:val="24"/>
                <w:szCs w:val="24"/>
                <w:shd w:val="clear" w:color="auto" w:fill="FFFFFF"/>
              </w:rPr>
              <w:t>創業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”</w:t>
            </w:r>
            <w:r>
              <w:rPr>
                <w:sz w:val="24"/>
                <w:szCs w:val="24"/>
                <w:shd w:val="clear" w:color="auto" w:fill="FFFFFF"/>
              </w:rPr>
              <w:t>兩個概念作為策略規劃的藍本。用途理論採用新的需求視角，從消費者生活應用中，尋找何處創新或如何創新的</w:t>
            </w:r>
            <w:r>
              <w:rPr>
                <w:rFonts w:eastAsia="PingFang TC Regular" w:hint="eastAsia"/>
                <w:sz w:val="24"/>
                <w:szCs w:val="24"/>
                <w:shd w:val="clear" w:color="auto" w:fill="FFFFFF"/>
              </w:rPr>
              <w:t>點子</w:t>
            </w:r>
            <w:r>
              <w:rPr>
                <w:sz w:val="24"/>
                <w:szCs w:val="24"/>
                <w:shd w:val="clear" w:color="auto" w:fill="FFFFFF"/>
              </w:rPr>
              <w:t>。精實創業由小處著手，主張創新發想前先創造目標消費者，為這群鐵粉的生活</w:t>
            </w:r>
            <w:r>
              <w:rPr>
                <w:sz w:val="24"/>
                <w:szCs w:val="24"/>
                <w:shd w:val="clear" w:color="auto" w:fill="FFFFFF"/>
              </w:rPr>
              <w:t>“</w:t>
            </w:r>
            <w:r>
              <w:rPr>
                <w:sz w:val="24"/>
                <w:szCs w:val="24"/>
                <w:shd w:val="clear" w:color="auto" w:fill="FFFFFF"/>
              </w:rPr>
              <w:t>必須</w:t>
            </w:r>
            <w:r>
              <w:rPr>
                <w:sz w:val="24"/>
                <w:szCs w:val="24"/>
                <w:shd w:val="clear" w:color="auto" w:fill="FFFFFF"/>
              </w:rPr>
              <w:t>”</w:t>
            </w:r>
            <w:r>
              <w:rPr>
                <w:sz w:val="24"/>
                <w:szCs w:val="24"/>
                <w:shd w:val="clear" w:color="auto" w:fill="FFFFFF"/>
              </w:rPr>
              <w:t>，設計創新服務。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理論討論之後，同學們將提出個人的策略構想，我們將有大部分的時間 進行策略設計實作，依實踐步驟一步步落實提案。</w:t>
            </w:r>
          </w:p>
        </w:tc>
      </w:tr>
      <w:tr w:rsidR="001256F4">
        <w:trPr>
          <w:trHeight w:val="106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學習目標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透過實作與理論對照方式，讓學生能夠瞭解一個創意計畫從資料蒐集分析、創意發想、企劃案（經營計畫書）準備與撰寫、計畫執行完成、檢討分析整個流程。也希望藉由這門課，讓有意朝實作畢業的同學有一實際操演經驗與學習。</w:t>
            </w:r>
          </w:p>
        </w:tc>
      </w:tr>
      <w:tr w:rsidR="001256F4">
        <w:trPr>
          <w:trHeight w:val="485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教科書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7"/>
              <w:widowControl/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洪慧芳編譯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(2017)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。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color="FF0000"/>
              </w:rPr>
              <w:t>《創新的用途理論》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。台北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天下雜誌。</w:t>
            </w:r>
          </w:p>
          <w:p w:rsidR="001256F4" w:rsidRDefault="005D4401">
            <w:pPr>
              <w:pStyle w:val="a7"/>
              <w:widowControl/>
              <w:spacing w:line="320" w:lineRule="exact"/>
              <w:ind w:left="480" w:hanging="480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color="FF0000"/>
              </w:rPr>
              <w:t>原書</w:t>
            </w: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 Christensen, C. M. et al. (2017)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color="FF0000"/>
              </w:rPr>
              <w:t>Competing Against Luck: The Story of Innovation and Customer Choice</w:t>
            </w:r>
            <w:r>
              <w:rPr>
                <w:rFonts w:ascii="Times New Roman" w:hAnsi="Times New Roman"/>
                <w:sz w:val="24"/>
                <w:szCs w:val="24"/>
                <w:u w:color="FF0000"/>
              </w:rPr>
              <w:t>. Boston: Harvard Business School Press.)</w:t>
            </w:r>
          </w:p>
          <w:p w:rsidR="001256F4" w:rsidRDefault="005D4401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4"/>
                <w:szCs w:val="24"/>
              </w:rPr>
            </w:pPr>
            <w:r>
              <w:rPr>
                <w:rFonts w:eastAsia="PingFang TC Regular" w:hint="eastAsia"/>
                <w:sz w:val="24"/>
                <w:szCs w:val="24"/>
                <w:shd w:val="clear" w:color="auto" w:fill="FFFFFF"/>
              </w:rPr>
              <w:t>李偉俠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 (2020)</w:t>
            </w:r>
            <w:r>
              <w:rPr>
                <w:sz w:val="24"/>
                <w:szCs w:val="24"/>
                <w:shd w:val="clear" w:color="auto" w:fill="FFFFFF"/>
              </w:rPr>
              <w:t>。《創新產品鍊金術》。台北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: </w:t>
            </w:r>
            <w:r>
              <w:rPr>
                <w:sz w:val="24"/>
                <w:szCs w:val="24"/>
                <w:shd w:val="clear" w:color="auto" w:fill="FFFFFF"/>
              </w:rPr>
              <w:t>創意市集。</w:t>
            </w:r>
          </w:p>
          <w:p w:rsidR="001256F4" w:rsidRDefault="005D4401">
            <w:pPr>
              <w:pStyle w:val="A6"/>
              <w:widowControl/>
              <w:shd w:val="clear" w:color="auto" w:fill="FFFFFF"/>
              <w:spacing w:line="320" w:lineRule="exact"/>
              <w:rPr>
                <w:rFonts w:hint="default"/>
                <w:color w:val="222222"/>
                <w:kern w:val="0"/>
                <w:sz w:val="16"/>
                <w:szCs w:val="16"/>
                <w:u w:color="222222"/>
              </w:rPr>
            </w:pP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策略設計實作：顧客觀點《獲利世代》</w:t>
            </w:r>
            <w:r>
              <w:rPr>
                <w:rFonts w:ascii="Times New Roman" w:hAnsi="Times New Roman"/>
                <w:color w:val="222222"/>
                <w:kern w:val="0"/>
                <w:u w:color="222222"/>
              </w:rPr>
              <w:t>pp.126-133</w:t>
            </w:r>
          </w:p>
          <w:p w:rsidR="001256F4" w:rsidRDefault="005D4401">
            <w:pPr>
              <w:pStyle w:val="A6"/>
              <w:widowControl/>
              <w:shd w:val="clear" w:color="auto" w:fill="FFFFFF"/>
              <w:spacing w:line="320" w:lineRule="exact"/>
              <w:rPr>
                <w:rFonts w:hint="default"/>
                <w:color w:val="222222"/>
                <w:kern w:val="0"/>
                <w:sz w:val="16"/>
                <w:szCs w:val="16"/>
                <w:u w:color="222222"/>
              </w:rPr>
            </w:pP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策略設計實作：創意發想《獲利世代》</w:t>
            </w:r>
            <w:r>
              <w:rPr>
                <w:rFonts w:ascii="Times New Roman" w:hAnsi="Times New Roman"/>
                <w:color w:val="222222"/>
                <w:kern w:val="0"/>
                <w:u w:color="222222"/>
              </w:rPr>
              <w:t>pp.134-145</w:t>
            </w: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，《設計一門好生意》</w:t>
            </w:r>
            <w:r>
              <w:rPr>
                <w:rFonts w:ascii="Times New Roman" w:hAnsi="Times New Roman"/>
                <w:color w:val="222222"/>
                <w:kern w:val="0"/>
                <w:u w:color="222222"/>
              </w:rPr>
              <w:t>pp.138-147</w:t>
            </w:r>
          </w:p>
          <w:p w:rsidR="001256F4" w:rsidRDefault="005D4401">
            <w:pPr>
              <w:pStyle w:val="A6"/>
              <w:widowControl/>
              <w:shd w:val="clear" w:color="auto" w:fill="FFFFFF"/>
              <w:spacing w:line="320" w:lineRule="exact"/>
              <w:rPr>
                <w:rFonts w:hint="default"/>
                <w:color w:val="222222"/>
                <w:kern w:val="0"/>
                <w:sz w:val="16"/>
                <w:szCs w:val="16"/>
                <w:u w:color="222222"/>
              </w:rPr>
            </w:pP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策略設計實作：視覺化思考《獲利世代》</w:t>
            </w:r>
            <w:r>
              <w:rPr>
                <w:rFonts w:ascii="Times New Roman" w:hAnsi="Times New Roman"/>
                <w:color w:val="222222"/>
                <w:kern w:val="0"/>
                <w:u w:color="222222"/>
              </w:rPr>
              <w:t>pp.146-159</w:t>
            </w: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，《設計一門好生意》</w:t>
            </w:r>
            <w:r>
              <w:rPr>
                <w:rFonts w:ascii="Times New Roman" w:hAnsi="Times New Roman"/>
                <w:color w:val="222222"/>
                <w:kern w:val="0"/>
                <w:u w:color="222222"/>
              </w:rPr>
              <w:t>pp.56-67</w:t>
            </w:r>
          </w:p>
          <w:p w:rsidR="001256F4" w:rsidRDefault="005D4401">
            <w:pPr>
              <w:pStyle w:val="A6"/>
              <w:widowControl/>
              <w:shd w:val="clear" w:color="auto" w:fill="FFFFFF"/>
              <w:spacing w:line="320" w:lineRule="exact"/>
              <w:rPr>
                <w:rFonts w:hint="default"/>
                <w:color w:val="222222"/>
                <w:kern w:val="0"/>
                <w:sz w:val="16"/>
                <w:szCs w:val="16"/>
                <w:u w:color="222222"/>
              </w:rPr>
            </w:pP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策略設計實作：說故事《獲利世代》</w:t>
            </w:r>
            <w:r>
              <w:rPr>
                <w:rFonts w:ascii="Times New Roman" w:hAnsi="Times New Roman"/>
                <w:color w:val="222222"/>
                <w:kern w:val="0"/>
                <w:u w:color="222222"/>
              </w:rPr>
              <w:t>pp.170-179</w:t>
            </w: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，《設計一門好生意》</w:t>
            </w:r>
            <w:r>
              <w:rPr>
                <w:rFonts w:ascii="Times New Roman" w:hAnsi="Times New Roman"/>
                <w:color w:val="222222"/>
                <w:kern w:val="0"/>
                <w:u w:color="222222"/>
              </w:rPr>
              <w:t>pp.72-79</w:t>
            </w:r>
          </w:p>
          <w:p w:rsidR="001256F4" w:rsidRDefault="005D4401">
            <w:pPr>
              <w:pStyle w:val="A6"/>
              <w:widowControl/>
              <w:shd w:val="clear" w:color="auto" w:fill="FFFFFF"/>
              <w:spacing w:line="320" w:lineRule="exact"/>
              <w:rPr>
                <w:rFonts w:hint="default"/>
                <w:color w:val="222222"/>
                <w:kern w:val="0"/>
                <w:u w:color="222222"/>
              </w:rPr>
            </w:pP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策略設計實作：情境描繪《獲利世代》</w:t>
            </w:r>
            <w:r>
              <w:rPr>
                <w:rFonts w:ascii="Times New Roman" w:hAnsi="Times New Roman"/>
                <w:color w:val="222222"/>
                <w:kern w:val="0"/>
                <w:u w:color="222222"/>
              </w:rPr>
              <w:t>pp.180-189</w:t>
            </w:r>
          </w:p>
          <w:p w:rsidR="001256F4" w:rsidRDefault="005D4401">
            <w:pPr>
              <w:pStyle w:val="A6"/>
              <w:widowControl/>
              <w:shd w:val="clear" w:color="auto" w:fill="FFFFFF"/>
              <w:spacing w:line="320" w:lineRule="exact"/>
              <w:rPr>
                <w:rFonts w:hint="default"/>
                <w:color w:val="222222"/>
                <w:kern w:val="0"/>
                <w:sz w:val="16"/>
                <w:szCs w:val="16"/>
                <w:u w:color="222222"/>
              </w:rPr>
            </w:pPr>
            <w:r>
              <w:rPr>
                <w:rFonts w:ascii="微軟正黑體" w:eastAsia="微軟正黑體" w:hAnsi="微軟正黑體" w:cs="微軟正黑體"/>
                <w:color w:val="222222"/>
                <w:kern w:val="0"/>
                <w:u w:color="222222"/>
                <w:lang w:val="zh-TW"/>
              </w:rPr>
              <w:t>自編教材（李政忠）</w:t>
            </w:r>
          </w:p>
          <w:p w:rsidR="001256F4" w:rsidRDefault="001256F4">
            <w:pPr>
              <w:pStyle w:val="A6"/>
              <w:widowControl/>
              <w:spacing w:line="320" w:lineRule="exact"/>
              <w:rPr>
                <w:rFonts w:hint="default"/>
              </w:rPr>
            </w:pPr>
          </w:p>
          <w:p w:rsidR="001256F4" w:rsidRDefault="001256F4">
            <w:pPr>
              <w:pStyle w:val="A6"/>
              <w:widowControl/>
              <w:spacing w:line="320" w:lineRule="exact"/>
              <w:rPr>
                <w:rFonts w:hint="default"/>
              </w:rPr>
            </w:pPr>
          </w:p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（</w:t>
            </w:r>
            <w:r>
              <w:rPr>
                <w:rFonts w:ascii="微軟正黑體" w:eastAsia="微軟正黑體" w:hAnsi="微軟正黑體" w:cs="微軟正黑體"/>
                <w:color w:val="FF0000"/>
                <w:u w:color="FF0000"/>
                <w:lang w:val="zh-TW"/>
              </w:rPr>
              <w:t>請尊重智慧財產權，不得非法影印教師指定之教科書籍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）</w:t>
            </w:r>
          </w:p>
        </w:tc>
      </w:tr>
    </w:tbl>
    <w:p w:rsidR="001256F4" w:rsidRDefault="001256F4">
      <w:pPr>
        <w:pStyle w:val="A6"/>
        <w:jc w:val="center"/>
        <w:rPr>
          <w:rFonts w:ascii="微軟正黑體" w:eastAsia="微軟正黑體" w:hAnsi="微軟正黑體" w:cs="微軟正黑體" w:hint="default"/>
          <w:b/>
          <w:bCs/>
          <w:kern w:val="0"/>
          <w:sz w:val="28"/>
          <w:szCs w:val="28"/>
        </w:rPr>
      </w:pPr>
    </w:p>
    <w:p w:rsidR="001256F4" w:rsidRDefault="001256F4">
      <w:pPr>
        <w:pStyle w:val="A6"/>
        <w:widowControl/>
        <w:spacing w:line="320" w:lineRule="exact"/>
        <w:jc w:val="center"/>
        <w:rPr>
          <w:rFonts w:ascii="微軟正黑體" w:eastAsia="微軟正黑體" w:hAnsi="微軟正黑體" w:cs="微軟正黑體" w:hint="default"/>
          <w:kern w:val="0"/>
        </w:rPr>
      </w:pPr>
    </w:p>
    <w:tbl>
      <w:tblPr>
        <w:tblStyle w:val="TableNormal"/>
        <w:tblW w:w="109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7"/>
        <w:gridCol w:w="9498"/>
      </w:tblGrid>
      <w:tr w:rsidR="001256F4">
        <w:trPr>
          <w:trHeight w:val="353"/>
          <w:jc w:val="center"/>
        </w:trPr>
        <w:tc>
          <w:tcPr>
            <w:tcW w:w="10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教學要點概述</w:t>
            </w:r>
          </w:p>
        </w:tc>
      </w:tr>
      <w:tr w:rsidR="001256F4">
        <w:trPr>
          <w:trHeight w:val="608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lastRenderedPageBreak/>
              <w:t>教材編選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標楷體" w:eastAsia="微軟正黑體" w:hAnsi="標楷體" w:cs="微軟正黑體" w:hint="default"/>
                <w:kern w:val="0"/>
              </w:rPr>
              <w:t>□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自編教材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</w:t>
            </w:r>
            <w:r>
              <w:rPr>
                <w:rFonts w:eastAsia="Arial Unicode MS" w:hint="default"/>
                <w:kern w:val="0"/>
              </w:rPr>
              <w:t>⬛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教科書作者提供</w:t>
            </w:r>
          </w:p>
        </w:tc>
      </w:tr>
      <w:tr w:rsidR="001256F4">
        <w:trPr>
          <w:trHeight w:val="594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教學方法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eastAsia="Arial Unicode MS" w:hint="default"/>
                <w:kern w:val="0"/>
              </w:rPr>
              <w:t>⬛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投影片講述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</w:t>
            </w:r>
            <w:r>
              <w:rPr>
                <w:rFonts w:ascii="標楷體" w:eastAsia="微軟正黑體" w:hAnsi="標楷體" w:cs="微軟正黑體" w:hint="default"/>
                <w:kern w:val="0"/>
              </w:rPr>
              <w:t>□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板書講述</w:t>
            </w:r>
          </w:p>
        </w:tc>
      </w:tr>
      <w:tr w:rsidR="001256F4">
        <w:trPr>
          <w:trHeight w:val="2072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評量方法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 xml:space="preserve">參與討論 </w:t>
            </w:r>
            <w:r>
              <w:rPr>
                <w:rFonts w:ascii="Times New Roman" w:hAnsi="Times New Roman"/>
              </w:rPr>
              <w:t xml:space="preserve">20% 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 xml:space="preserve">課堂實作練習 </w:t>
            </w:r>
            <w:r>
              <w:rPr>
                <w:rFonts w:ascii="Times New Roman" w:hAnsi="Times New Roman"/>
              </w:rPr>
              <w:t xml:space="preserve">30% 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 xml:space="preserve">策略提案與執行 </w:t>
            </w:r>
            <w:r>
              <w:rPr>
                <w:rFonts w:ascii="Times New Roman" w:hAnsi="Times New Roman"/>
              </w:rPr>
              <w:t>50%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期末企劃案主題：媒體素養教育相關企劃</w:t>
            </w:r>
          </w:p>
        </w:tc>
      </w:tr>
      <w:tr w:rsidR="001256F4">
        <w:trPr>
          <w:trHeight w:val="608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教學資源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eastAsia="Arial Unicode MS" w:hint="default"/>
                <w:kern w:val="0"/>
              </w:rPr>
              <w:t>⬛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課程網站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</w:t>
            </w:r>
            <w:r>
              <w:rPr>
                <w:rFonts w:eastAsia="Arial Unicode MS" w:hint="default"/>
                <w:kern w:val="0"/>
              </w:rPr>
              <w:t>⬛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教材電子檔供下載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</w:t>
            </w:r>
            <w:r>
              <w:rPr>
                <w:rFonts w:ascii="標楷體" w:eastAsia="微軟正黑體" w:hAnsi="標楷體" w:cs="微軟正黑體" w:hint="default"/>
                <w:kern w:val="0"/>
              </w:rPr>
              <w:t>□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實習網站</w:t>
            </w:r>
          </w:p>
        </w:tc>
      </w:tr>
      <w:tr w:rsidR="001256F4">
        <w:trPr>
          <w:trHeight w:val="673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教學相關配合事項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1256F4">
            <w:pPr>
              <w:pStyle w:val="A6"/>
              <w:widowControl/>
              <w:spacing w:line="320" w:lineRule="exact"/>
              <w:rPr>
                <w:rFonts w:hint="default"/>
              </w:rPr>
            </w:pPr>
          </w:p>
        </w:tc>
      </w:tr>
      <w:tr w:rsidR="001256F4">
        <w:trPr>
          <w:trHeight w:val="350"/>
          <w:jc w:val="center"/>
        </w:trPr>
        <w:tc>
          <w:tcPr>
            <w:tcW w:w="10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kern w:val="0"/>
                <w:lang w:val="zh-TW"/>
              </w:rPr>
              <w:t>課程進度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第一週：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2/22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課程介紹與導論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第二週：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3/01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放假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第三週：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3/08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媒體素養理解、個人心得報告、企劃初步構思（初步定案）（三位老師共同出席）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第四週：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3/15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李政忠老師（授課與企劃案構思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執行輔導）：環境分析與企劃目的、企劃構思與撰寫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第五週：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3/22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李政忠老師（授課與企劃案構思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執行輔導）：目標消費者理解、企劃構思與撰寫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第六週：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3/29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李政忠老師（授課與企劃案構思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執行輔導）：策略思維與應用、企劃構思與撰寫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第七週：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4/05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放假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第八週：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4/12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第一階段完整企劃案執行進度提報：意見分享交流、調整建議（三位老師共同出席）</w:t>
            </w:r>
          </w:p>
        </w:tc>
      </w:tr>
      <w:tr w:rsidR="001256F4">
        <w:trPr>
          <w:trHeight w:val="650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ascii="微軟正黑體" w:eastAsia="微軟正黑體" w:hAnsi="微軟正黑體" w:cs="微軟正黑體" w:hint="default"/>
                <w:kern w:val="0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第九週：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4/19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戴皖文老師（授課與企劃案構思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執行輔導）：創新策略：用途論</w:t>
            </w:r>
          </w:p>
          <w:p w:rsidR="001256F4" w:rsidRDefault="005D4401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《創新的用途理論》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CH 1 &amp; CH 2</w:t>
            </w:r>
          </w:p>
        </w:tc>
      </w:tr>
      <w:tr w:rsidR="001256F4">
        <w:trPr>
          <w:trHeight w:val="650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eastAsia="Arial Unicode MS" w:hint="default"/>
                <w:kern w:val="0"/>
                <w:shd w:val="clear" w:color="auto" w:fill="FFFFFF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第十週：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 xml:space="preserve">  4/26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戴皖文老師（授課與企劃案構思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</w:t>
            </w:r>
            <w:r>
              <w:rPr>
                <w:rFonts w:ascii="微軟正黑體" w:eastAsia="Arial Unicode MS" w:hAnsi="微軟正黑體" w:cs="微軟正黑體"/>
                <w:kern w:val="0"/>
                <w:shd w:val="clear" w:color="auto" w:fill="FFFFFF"/>
                <w:lang w:val="ja-JP" w:eastAsia="ja-JP"/>
              </w:rPr>
              <w:t>確認任務</w:t>
            </w:r>
            <w:r>
              <w:rPr>
                <w:rFonts w:ascii="微軟正黑體" w:eastAsia="微軟正黑體" w:hAnsi="微軟正黑體" w:cs="微軟正黑體"/>
                <w:kern w:val="0"/>
                <w:shd w:val="clear" w:color="auto" w:fill="FFFFFF"/>
                <w:lang w:val="zh-TW"/>
              </w:rPr>
              <w:t>、洞察心聲</w:t>
            </w:r>
          </w:p>
          <w:p w:rsidR="001256F4" w:rsidRDefault="005D4401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>《創新的用途理論》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CH 4 &amp; CH 5</w:t>
            </w:r>
          </w:p>
        </w:tc>
      </w:tr>
      <w:tr w:rsidR="001256F4">
        <w:trPr>
          <w:trHeight w:val="650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ascii="微軟正黑體" w:eastAsia="微軟正黑體" w:hAnsi="微軟正黑體" w:cs="微軟正黑體" w:hint="default"/>
                <w:kern w:val="0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第十一週：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>5/03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戴皖文老師（授課與企劃案構思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執行輔導）：最小可行性產品（</w:t>
            </w:r>
            <w:r>
              <w:rPr>
                <w:rFonts w:ascii="微軟正黑體" w:eastAsia="微軟正黑體" w:hAnsi="微軟正黑體" w:cs="微軟正黑體"/>
                <w:kern w:val="0"/>
              </w:rPr>
              <w:t>MVP</w:t>
            </w:r>
            <w:r>
              <w:rPr>
                <w:rFonts w:ascii="微軟正黑體" w:eastAsia="微軟正黑體" w:hAnsi="微軟正黑體" w:cs="微軟正黑體"/>
                <w:kern w:val="0"/>
                <w:lang w:val="ja-JP" w:eastAsia="ja-JP"/>
              </w:rPr>
              <w:t>）的誕生</w:t>
            </w:r>
          </w:p>
          <w:p w:rsidR="001256F4" w:rsidRDefault="005D4401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</w:pPr>
            <w:r>
              <w:rPr>
                <w:sz w:val="24"/>
                <w:szCs w:val="24"/>
                <w:shd w:val="clear" w:color="auto" w:fill="FFFFFF"/>
              </w:rPr>
              <w:t>《創新產品鍊金術》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 xml:space="preserve">CH 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  <w:lang w:val="en-US"/>
              </w:rPr>
              <w:t xml:space="preserve">2 &amp; CH </w:t>
            </w: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第十二週：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>5/10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第二階段完整企劃案執行進度提報：意見分享交流、調整建議（三位老師共同出席）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第十三週：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>5/17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胡元輝老師（授課與企劃案構思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</w:t>
            </w:r>
            <w:r w:rsidR="00033CF6">
              <w:rPr>
                <w:rFonts w:ascii="微軟正黑體" w:eastAsia="微軟正黑體" w:hAnsi="微軟正黑體" w:cs="微軟正黑體"/>
                <w:kern w:val="0"/>
                <w:lang w:val="zh-TW"/>
              </w:rPr>
              <w:t>策略思考與執行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第十四週：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>5/24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胡元輝老師（授課與企劃案構思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</w:t>
            </w:r>
            <w:r w:rsidR="00033CF6">
              <w:rPr>
                <w:rFonts w:ascii="微軟正黑體" w:eastAsia="微軟正黑體" w:hAnsi="微軟正黑體" w:cs="微軟正黑體"/>
                <w:kern w:val="0"/>
                <w:lang w:val="zh-TW"/>
              </w:rPr>
              <w:t>策略設計實作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第十五週：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>5/31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胡元輝老師（授課與企劃案構思</w:t>
            </w:r>
            <w:r>
              <w:rPr>
                <w:rFonts w:ascii="微軟正黑體" w:eastAsia="微軟正黑體" w:hAnsi="微軟正黑體" w:cs="微軟正黑體"/>
                <w:kern w:val="0"/>
              </w:rPr>
              <w:t>/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執行輔導）：</w:t>
            </w:r>
            <w:r w:rsidR="00033CF6">
              <w:rPr>
                <w:rFonts w:ascii="微軟正黑體" w:eastAsia="微軟正黑體" w:hAnsi="微軟正黑體" w:cs="微軟正黑體"/>
                <w:kern w:val="0"/>
                <w:lang w:val="zh-TW"/>
              </w:rPr>
              <w:t>策略設計實作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lastRenderedPageBreak/>
              <w:t>第十六週：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>6/07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第三階段企劃案執行進度提報：意見分享交流、調整建議（三位老師共同出席）</w:t>
            </w:r>
          </w:p>
        </w:tc>
      </w:tr>
      <w:tr w:rsidR="001256F4">
        <w:trPr>
          <w:trHeight w:val="348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第十七週：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>6/14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第四階段企劃案執行進度提報：意見分享交流、調整建議（三位老師共同出席）</w:t>
            </w:r>
          </w:p>
        </w:tc>
      </w:tr>
      <w:tr w:rsidR="001256F4">
        <w:trPr>
          <w:trHeight w:val="350"/>
          <w:jc w:val="center"/>
        </w:trPr>
        <w:tc>
          <w:tcPr>
            <w:tcW w:w="10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第十八週：</w:t>
            </w:r>
            <w:r>
              <w:rPr>
                <w:rFonts w:ascii="微軟正黑體" w:eastAsia="微軟正黑體" w:hAnsi="微軟正黑體" w:cs="微軟正黑體"/>
                <w:kern w:val="0"/>
              </w:rPr>
              <w:t>6/21</w:t>
            </w:r>
            <w:r>
              <w:rPr>
                <w:rFonts w:ascii="微軟正黑體" w:eastAsia="微軟正黑體" w:hAnsi="微軟正黑體" w:cs="微軟正黑體"/>
                <w:kern w:val="0"/>
                <w:lang w:val="zh-TW"/>
              </w:rPr>
              <w:t>計畫執行成果發表與檢討</w:t>
            </w:r>
          </w:p>
        </w:tc>
      </w:tr>
      <w:tr w:rsidR="001256F4">
        <w:trPr>
          <w:trHeight w:val="353"/>
          <w:jc w:val="center"/>
        </w:trPr>
        <w:tc>
          <w:tcPr>
            <w:tcW w:w="10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核心能力</w:t>
            </w:r>
          </w:p>
        </w:tc>
      </w:tr>
      <w:tr w:rsidR="001256F4">
        <w:trPr>
          <w:trHeight w:val="4147"/>
          <w:jc w:val="center"/>
        </w:trPr>
        <w:tc>
          <w:tcPr>
            <w:tcW w:w="10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56F4" w:rsidRDefault="005D4401">
            <w:pPr>
              <w:pStyle w:val="A6"/>
              <w:widowControl/>
              <w:spacing w:line="320" w:lineRule="exact"/>
              <w:rPr>
                <w:rFonts w:ascii="微軟正黑體" w:eastAsia="微軟正黑體" w:hAnsi="微軟正黑體" w:cs="微軟正黑體"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一、吸收跨領域知識與整合能力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ascii="微軟正黑體" w:eastAsia="微軟正黑體" w:hAnsi="微軟正黑體" w:cs="微軟正黑體"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二、瞭解各種電訊傳播媒體之特性與整合應用能力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ascii="微軟正黑體" w:eastAsia="微軟正黑體" w:hAnsi="微軟正黑體" w:cs="微軟正黑體"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三、獨立研究思辨的能力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ascii="微軟正黑體" w:eastAsia="微軟正黑體" w:hAnsi="微軟正黑體" w:cs="微軟正黑體"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四、具備人文素養與分析批判能力</w:t>
            </w:r>
          </w:p>
          <w:p w:rsidR="001256F4" w:rsidRDefault="005D4401">
            <w:pPr>
              <w:pStyle w:val="A6"/>
              <w:widowControl/>
              <w:spacing w:line="320" w:lineRule="exact"/>
              <w:rPr>
                <w:rFonts w:hint="default"/>
              </w:rPr>
            </w:pPr>
            <w:r>
              <w:rPr>
                <w:rFonts w:ascii="微軟正黑體" w:eastAsia="微軟正黑體" w:hAnsi="微軟正黑體" w:cs="微軟正黑體"/>
                <w:lang w:val="zh-TW"/>
              </w:rPr>
              <w:t>五、團隊合作以及表達溝通能力</w:t>
            </w:r>
          </w:p>
        </w:tc>
      </w:tr>
    </w:tbl>
    <w:p w:rsidR="001256F4" w:rsidRDefault="001256F4">
      <w:pPr>
        <w:pStyle w:val="A6"/>
        <w:jc w:val="center"/>
        <w:rPr>
          <w:rFonts w:ascii="微軟正黑體" w:eastAsia="微軟正黑體" w:hAnsi="微軟正黑體" w:cs="微軟正黑體" w:hint="default"/>
          <w:kern w:val="0"/>
        </w:rPr>
      </w:pPr>
    </w:p>
    <w:p w:rsidR="001256F4" w:rsidRDefault="001256F4">
      <w:pPr>
        <w:pStyle w:val="A6"/>
        <w:rPr>
          <w:rFonts w:hint="default"/>
        </w:rPr>
      </w:pPr>
    </w:p>
    <w:sectPr w:rsidR="001256F4">
      <w:headerReference w:type="default" r:id="rId6"/>
      <w:footerReference w:type="default" r:id="rId7"/>
      <w:pgSz w:w="11900" w:h="16840"/>
      <w:pgMar w:top="567" w:right="567" w:bottom="851" w:left="567" w:header="851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E1" w:rsidRDefault="001278E1">
      <w:r>
        <w:separator/>
      </w:r>
    </w:p>
  </w:endnote>
  <w:endnote w:type="continuationSeparator" w:id="0">
    <w:p w:rsidR="001278E1" w:rsidRDefault="0012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6F4" w:rsidRDefault="005D4401">
    <w:pPr>
      <w:pStyle w:val="a5"/>
      <w:jc w:val="right"/>
      <w:rPr>
        <w:rFonts w:ascii="Arial Black" w:hAnsi="Arial Black"/>
      </w:rPr>
    </w:pPr>
    <w:r>
      <w:rPr>
        <w:rFonts w:ascii="Arial Black" w:hAnsi="Arial Black"/>
      </w:rPr>
      <w:fldChar w:fldCharType="begin"/>
    </w:r>
    <w:r>
      <w:rPr>
        <w:rFonts w:ascii="Arial Black" w:hAnsi="Arial Black"/>
      </w:rPr>
      <w:instrText xml:space="preserve"> PAGE </w:instrText>
    </w:r>
    <w:r>
      <w:rPr>
        <w:rFonts w:ascii="Arial Black" w:hAnsi="Arial Black"/>
      </w:rPr>
      <w:fldChar w:fldCharType="separate"/>
    </w:r>
    <w:r w:rsidR="00C1312C">
      <w:rPr>
        <w:rFonts w:ascii="Arial Black" w:hAnsi="Arial Black"/>
        <w:noProof/>
      </w:rPr>
      <w:t>3</w:t>
    </w:r>
    <w:r>
      <w:rPr>
        <w:rFonts w:ascii="Arial Black" w:hAnsi="Arial Black"/>
      </w:rPr>
      <w:fldChar w:fldCharType="end"/>
    </w:r>
  </w:p>
  <w:p w:rsidR="001256F4" w:rsidRDefault="005D4401">
    <w:pPr>
      <w:pStyle w:val="a5"/>
      <w:jc w:val="center"/>
    </w:pPr>
    <w:r>
      <w:rPr>
        <w:rFonts w:ascii="微軟正黑體" w:eastAsia="微軟正黑體" w:hAnsi="微軟正黑體" w:cs="微軟正黑體"/>
        <w:lang w:val="zh-TW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E1" w:rsidRDefault="001278E1">
      <w:r>
        <w:separator/>
      </w:r>
    </w:p>
  </w:footnote>
  <w:footnote w:type="continuationSeparator" w:id="0">
    <w:p w:rsidR="001278E1" w:rsidRDefault="00127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6F4" w:rsidRDefault="005D4401">
    <w:pPr>
      <w:pStyle w:val="a4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5574664</wp:posOffset>
          </wp:positionH>
          <wp:positionV relativeFrom="page">
            <wp:posOffset>183514</wp:posOffset>
          </wp:positionV>
          <wp:extent cx="1623061" cy="40386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cu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1" cy="403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F4"/>
    <w:rsid w:val="00033CF6"/>
    <w:rsid w:val="000F1370"/>
    <w:rsid w:val="001256F4"/>
    <w:rsid w:val="001278E1"/>
    <w:rsid w:val="005D4401"/>
    <w:rsid w:val="005F4A68"/>
    <w:rsid w:val="00C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EDF8DE-6774-45ED-9B24-AC290B93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u w:color="000000"/>
    </w:rPr>
  </w:style>
  <w:style w:type="paragraph" w:customStyle="1" w:styleId="A6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預設值"/>
    <w:pPr>
      <w:widowControl w:val="0"/>
    </w:pPr>
    <w:rPr>
      <w:rFonts w:ascii="Arial Unicode MS" w:hAnsi="Arial Unicode MS" w:cs="Arial Unicode MS"/>
      <w:color w:val="000000"/>
      <w:sz w:val="22"/>
      <w:szCs w:val="22"/>
      <w:u w:color="000000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telR310</dc:creator>
  <cp:lastModifiedBy>telR310</cp:lastModifiedBy>
  <cp:revision>2</cp:revision>
  <dcterms:created xsi:type="dcterms:W3CDTF">2021-02-22T08:04:00Z</dcterms:created>
  <dcterms:modified xsi:type="dcterms:W3CDTF">2021-02-22T08:04:00Z</dcterms:modified>
</cp:coreProperties>
</file>