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5F" w:rsidRPr="00AF4FFD" w:rsidRDefault="00D7695F" w:rsidP="00D7695F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sz w:val="32"/>
          <w:szCs w:val="32"/>
        </w:rPr>
        <w:t>數學系課程核心教材內容</w:t>
      </w:r>
    </w:p>
    <w:tbl>
      <w:tblPr>
        <w:tblStyle w:val="a8"/>
        <w:tblW w:w="9364" w:type="dxa"/>
        <w:jc w:val="center"/>
        <w:tblLook w:val="01E0" w:firstRow="1" w:lastRow="1" w:firstColumn="1" w:lastColumn="1" w:noHBand="0" w:noVBand="0"/>
      </w:tblPr>
      <w:tblGrid>
        <w:gridCol w:w="1522"/>
        <w:gridCol w:w="26"/>
        <w:gridCol w:w="1496"/>
        <w:gridCol w:w="1522"/>
        <w:gridCol w:w="1522"/>
        <w:gridCol w:w="1522"/>
        <w:gridCol w:w="1754"/>
      </w:tblGrid>
      <w:tr w:rsidR="00D7695F" w:rsidRPr="00AF4FFD" w:rsidTr="00D7695F">
        <w:trPr>
          <w:trHeight w:hRule="exact" w:val="510"/>
          <w:jc w:val="center"/>
        </w:trPr>
        <w:tc>
          <w:tcPr>
            <w:tcW w:w="6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Default="00D7695F" w:rsidP="009D0D21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課程名稱：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中文</w:t>
            </w:r>
            <w:r>
              <w:rPr>
                <w:rFonts w:eastAsia="標楷體" w:hint="eastAsia"/>
                <w:sz w:val="22"/>
                <w:szCs w:val="22"/>
              </w:rPr>
              <w:t xml:space="preserve">) </w:t>
            </w:r>
            <w:r>
              <w:rPr>
                <w:rFonts w:eastAsia="標楷體" w:hint="eastAsia"/>
                <w:sz w:val="22"/>
                <w:szCs w:val="22"/>
              </w:rPr>
              <w:t>微積分</w:t>
            </w:r>
            <w:r>
              <w:rPr>
                <w:rFonts w:eastAsia="標楷體" w:hint="eastAsia"/>
                <w:sz w:val="22"/>
                <w:szCs w:val="22"/>
              </w:rPr>
              <w:t xml:space="preserve"> (</w:t>
            </w:r>
            <w:r w:rsidR="00C160B7">
              <w:rPr>
                <w:rFonts w:eastAsia="標楷體" w:hint="eastAsia"/>
                <w:sz w:val="22"/>
                <w:szCs w:val="22"/>
              </w:rPr>
              <w:t>財經</w:t>
            </w:r>
            <w:r>
              <w:rPr>
                <w:rFonts w:eastAsia="標楷體" w:hint="eastAsia"/>
                <w:sz w:val="22"/>
                <w:szCs w:val="22"/>
              </w:rPr>
              <w:t>系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</w:p>
          <w:p w:rsidR="00D7695F" w:rsidRPr="00AF4FFD" w:rsidRDefault="00D7695F" w:rsidP="00D7695F">
            <w:pPr>
              <w:ind w:firstLineChars="500" w:firstLine="110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英文</w:t>
            </w:r>
            <w:r>
              <w:rPr>
                <w:rFonts w:eastAsia="標楷體" w:hint="eastAsia"/>
                <w:sz w:val="22"/>
                <w:szCs w:val="22"/>
              </w:rPr>
              <w:t xml:space="preserve">) Calculus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F4FFD">
              <w:rPr>
                <w:rFonts w:eastAsia="標楷體" w:hAnsi="標楷體"/>
                <w:sz w:val="22"/>
                <w:szCs w:val="22"/>
              </w:rPr>
              <w:t>開課單位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學士班</w:t>
            </w:r>
          </w:p>
        </w:tc>
      </w:tr>
      <w:tr w:rsidR="00D7695F" w:rsidRPr="00AF4FFD" w:rsidTr="00D7695F">
        <w:trPr>
          <w:trHeight w:hRule="exact" w:val="510"/>
          <w:jc w:val="center"/>
        </w:trPr>
        <w:tc>
          <w:tcPr>
            <w:tcW w:w="6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F4FFD">
              <w:rPr>
                <w:rFonts w:eastAsia="標楷體" w:hAnsi="標楷體"/>
                <w:sz w:val="22"/>
                <w:szCs w:val="22"/>
              </w:rPr>
              <w:t>課程代碼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D7695F" w:rsidRPr="00AF4FFD" w:rsidTr="00D7695F">
        <w:trPr>
          <w:trHeight w:hRule="exact" w:val="51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F4FFD">
              <w:rPr>
                <w:rFonts w:eastAsia="標楷體" w:hAnsi="標楷體"/>
                <w:sz w:val="22"/>
                <w:szCs w:val="22"/>
              </w:rPr>
              <w:t>學分數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C160B7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必</w:t>
            </w:r>
            <w:r>
              <w:rPr>
                <w:rFonts w:eastAsia="標楷體" w:hAnsi="標楷體" w:hint="eastAsia"/>
                <w:sz w:val="22"/>
                <w:szCs w:val="22"/>
              </w:rPr>
              <w:t>/</w:t>
            </w:r>
            <w:r>
              <w:rPr>
                <w:rFonts w:eastAsia="標楷體" w:hAnsi="標楷體" w:hint="eastAsia"/>
                <w:sz w:val="22"/>
                <w:szCs w:val="22"/>
              </w:rPr>
              <w:t>選</w:t>
            </w:r>
            <w:r w:rsidRPr="00AF4FFD">
              <w:rPr>
                <w:rFonts w:eastAsia="標楷體" w:hAnsi="標楷體"/>
                <w:sz w:val="22"/>
                <w:szCs w:val="22"/>
              </w:rPr>
              <w:t>修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必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F4FFD">
              <w:rPr>
                <w:rFonts w:eastAsia="標楷體" w:hAnsi="標楷體"/>
                <w:sz w:val="22"/>
                <w:szCs w:val="22"/>
              </w:rPr>
              <w:t>開課年級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一</w:t>
            </w:r>
          </w:p>
        </w:tc>
      </w:tr>
      <w:tr w:rsidR="00D7695F" w:rsidRPr="00AF4FFD" w:rsidTr="00D7695F">
        <w:trPr>
          <w:trHeight w:val="2984"/>
          <w:jc w:val="center"/>
        </w:trPr>
        <w:tc>
          <w:tcPr>
            <w:tcW w:w="9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5F" w:rsidRDefault="00D7695F" w:rsidP="009D0D21">
            <w:pPr>
              <w:spacing w:beforeLines="50" w:before="180"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教學</w:t>
            </w:r>
            <w:r w:rsidRPr="00AF4FFD">
              <w:rPr>
                <w:rFonts w:eastAsia="標楷體" w:hAnsi="標楷體"/>
                <w:sz w:val="22"/>
                <w:szCs w:val="22"/>
              </w:rPr>
              <w:t>目標：</w:t>
            </w:r>
            <w:r w:rsidRPr="00AF4FFD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D7695F" w:rsidRPr="00F6496E" w:rsidRDefault="00D7695F" w:rsidP="009D0D21">
            <w:pPr>
              <w:spacing w:line="280" w:lineRule="exact"/>
              <w:ind w:leftChars="6" w:left="1605" w:hangingChars="723" w:hanging="159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F6496E">
              <w:rPr>
                <w:rFonts w:eastAsia="標楷體" w:hint="eastAsia"/>
                <w:sz w:val="22"/>
                <w:szCs w:val="22"/>
              </w:rPr>
              <w:t>一</w:t>
            </w:r>
            <w:r>
              <w:rPr>
                <w:rFonts w:eastAsia="標楷體" w:hint="eastAsia"/>
                <w:sz w:val="22"/>
                <w:szCs w:val="22"/>
              </w:rPr>
              <w:t xml:space="preserve">) </w:t>
            </w:r>
            <w:r w:rsidRPr="00F6496E">
              <w:rPr>
                <w:rFonts w:eastAsia="標楷體" w:hint="eastAsia"/>
                <w:sz w:val="22"/>
                <w:szCs w:val="22"/>
              </w:rPr>
              <w:t>主要目標：使學生清楚的了解微積分的基本概念、法則及數學</w:t>
            </w:r>
            <w:r w:rsidR="00C160B7">
              <w:rPr>
                <w:rFonts w:eastAsia="標楷體" w:hint="eastAsia"/>
                <w:sz w:val="22"/>
                <w:szCs w:val="22"/>
              </w:rPr>
              <w:t>論證</w:t>
            </w:r>
            <w:r w:rsidRPr="00F6496E">
              <w:rPr>
                <w:rFonts w:eastAsia="標楷體" w:hint="eastAsia"/>
                <w:sz w:val="22"/>
                <w:szCs w:val="22"/>
              </w:rPr>
              <w:t>的要求，透過各種實例的介紹，讓學生能對微積分有更多的認識，以備學生研習</w:t>
            </w:r>
            <w:r>
              <w:rPr>
                <w:rFonts w:eastAsia="標楷體" w:hint="eastAsia"/>
                <w:sz w:val="22"/>
                <w:szCs w:val="22"/>
              </w:rPr>
              <w:t>管理及社會科學相關數理課程時能有充分而紮實的基礎</w:t>
            </w:r>
            <w:r w:rsidRPr="00F6496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D7695F" w:rsidRPr="00F6496E" w:rsidRDefault="00D7695F" w:rsidP="009D0D21">
            <w:pPr>
              <w:spacing w:line="280" w:lineRule="exact"/>
              <w:ind w:leftChars="6" w:left="1605" w:hangingChars="723" w:hanging="159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 w:rsidRPr="00F6496E">
              <w:rPr>
                <w:rFonts w:eastAsia="標楷體" w:hint="eastAsia"/>
                <w:sz w:val="22"/>
                <w:szCs w:val="22"/>
              </w:rPr>
              <w:t>二</w:t>
            </w:r>
            <w:r>
              <w:rPr>
                <w:rFonts w:eastAsia="標楷體" w:hint="eastAsia"/>
                <w:sz w:val="22"/>
                <w:szCs w:val="22"/>
              </w:rPr>
              <w:t xml:space="preserve">) </w:t>
            </w:r>
            <w:r w:rsidRPr="00F6496E">
              <w:rPr>
                <w:rFonts w:eastAsia="標楷體" w:hint="eastAsia"/>
                <w:sz w:val="22"/>
                <w:szCs w:val="22"/>
              </w:rPr>
              <w:t>次要目標：經由微積分的實</w:t>
            </w:r>
            <w:r w:rsidR="00D67B23">
              <w:rPr>
                <w:rFonts w:eastAsia="標楷體" w:hint="eastAsia"/>
                <w:sz w:val="22"/>
                <w:szCs w:val="22"/>
              </w:rPr>
              <w:t>作</w:t>
            </w:r>
            <w:r w:rsidRPr="00F6496E">
              <w:rPr>
                <w:rFonts w:eastAsia="標楷體" w:hint="eastAsia"/>
                <w:sz w:val="22"/>
                <w:szCs w:val="22"/>
              </w:rPr>
              <w:t>演算，培養學生應用微積分解決相關數學問題的能力及數學嚴密性的要求。</w:t>
            </w:r>
          </w:p>
          <w:p w:rsidR="00D7695F" w:rsidRDefault="00D7695F" w:rsidP="003E3986">
            <w:pPr>
              <w:spacing w:beforeLines="50" w:before="180" w:line="280" w:lineRule="exact"/>
              <w:ind w:left="1056" w:hangingChars="480" w:hanging="1056"/>
              <w:rPr>
                <w:rFonts w:eastAsia="標楷體" w:hAnsi="標楷體"/>
                <w:sz w:val="22"/>
                <w:szCs w:val="22"/>
              </w:rPr>
            </w:pPr>
            <w:r w:rsidRPr="00AF4FFD">
              <w:rPr>
                <w:rFonts w:eastAsia="標楷體" w:hAnsi="標楷體"/>
                <w:sz w:val="22"/>
                <w:szCs w:val="22"/>
              </w:rPr>
              <w:t>課程概述：</w:t>
            </w:r>
            <w:r>
              <w:rPr>
                <w:rFonts w:eastAsia="標楷體" w:hAnsi="標楷體" w:hint="eastAsia"/>
                <w:sz w:val="22"/>
                <w:szCs w:val="22"/>
              </w:rPr>
              <w:t xml:space="preserve">(1) </w:t>
            </w:r>
            <w:r>
              <w:rPr>
                <w:rFonts w:eastAsia="標楷體" w:hAnsi="標楷體" w:hint="eastAsia"/>
                <w:sz w:val="22"/>
                <w:szCs w:val="22"/>
              </w:rPr>
              <w:t>函數之極限概念；</w:t>
            </w:r>
            <w:r>
              <w:rPr>
                <w:rFonts w:eastAsia="標楷體" w:hAnsi="標楷體" w:hint="eastAsia"/>
                <w:sz w:val="22"/>
                <w:szCs w:val="22"/>
              </w:rPr>
              <w:t xml:space="preserve">(2) </w:t>
            </w:r>
            <w:r>
              <w:rPr>
                <w:rFonts w:eastAsia="標楷體" w:hAnsi="標楷體" w:hint="eastAsia"/>
                <w:sz w:val="22"/>
                <w:szCs w:val="22"/>
              </w:rPr>
              <w:t>函數之微分及其應用；</w:t>
            </w:r>
            <w:r>
              <w:rPr>
                <w:rFonts w:eastAsia="標楷體" w:hAnsi="標楷體" w:hint="eastAsia"/>
                <w:sz w:val="22"/>
                <w:szCs w:val="22"/>
              </w:rPr>
              <w:t xml:space="preserve">(3) </w:t>
            </w:r>
            <w:r>
              <w:rPr>
                <w:rFonts w:eastAsia="標楷體" w:hAnsi="標楷體" w:hint="eastAsia"/>
                <w:sz w:val="22"/>
                <w:szCs w:val="22"/>
              </w:rPr>
              <w:t>指數與對數函數之微分及應用。</w:t>
            </w:r>
            <w:r>
              <w:rPr>
                <w:rFonts w:eastAsia="標楷體" w:hAnsi="標楷體" w:hint="eastAsia"/>
                <w:sz w:val="22"/>
                <w:szCs w:val="22"/>
              </w:rPr>
              <w:t>(4)</w:t>
            </w:r>
            <w:r>
              <w:rPr>
                <w:rFonts w:eastAsia="標楷體" w:hAnsi="標楷體" w:hint="eastAsia"/>
                <w:sz w:val="22"/>
                <w:szCs w:val="22"/>
              </w:rPr>
              <w:t>多變量函數</w:t>
            </w:r>
            <w:r w:rsidR="008D1719">
              <w:rPr>
                <w:rFonts w:eastAsia="標楷體" w:hAnsi="標楷體" w:hint="eastAsia"/>
                <w:sz w:val="22"/>
                <w:szCs w:val="22"/>
              </w:rPr>
              <w:t>之微分及</w:t>
            </w:r>
            <w:r>
              <w:rPr>
                <w:rFonts w:eastAsia="標楷體" w:hAnsi="標楷體" w:hint="eastAsia"/>
                <w:sz w:val="22"/>
                <w:szCs w:val="22"/>
              </w:rPr>
              <w:t>積分</w:t>
            </w:r>
            <w:r w:rsidR="00D67B23">
              <w:rPr>
                <w:rFonts w:eastAsia="標楷體" w:hAnsi="標楷體" w:hint="eastAsia"/>
                <w:sz w:val="22"/>
                <w:szCs w:val="22"/>
              </w:rPr>
              <w:t>及其</w:t>
            </w:r>
            <w:r w:rsidR="008D1719">
              <w:rPr>
                <w:rFonts w:eastAsia="標楷體" w:hAnsi="標楷體" w:hint="eastAsia"/>
                <w:sz w:val="22"/>
                <w:szCs w:val="22"/>
              </w:rPr>
              <w:t>應用</w:t>
            </w:r>
            <w:r>
              <w:rPr>
                <w:rFonts w:eastAsia="標楷體" w:hAnsi="標楷體" w:hint="eastAsia"/>
                <w:sz w:val="22"/>
                <w:szCs w:val="22"/>
              </w:rPr>
              <w:t>；</w:t>
            </w:r>
            <w:r>
              <w:rPr>
                <w:rFonts w:eastAsia="標楷體" w:hAnsi="標楷體" w:hint="eastAsia"/>
                <w:sz w:val="22"/>
                <w:szCs w:val="22"/>
              </w:rPr>
              <w:t>(5)</w:t>
            </w:r>
            <w:r>
              <w:rPr>
                <w:rFonts w:eastAsia="標楷體" w:hAnsi="標楷體" w:hint="eastAsia"/>
                <w:sz w:val="22"/>
                <w:szCs w:val="22"/>
              </w:rPr>
              <w:t>級數及泰勒展開式</w:t>
            </w:r>
            <w:r w:rsidR="00D67B23">
              <w:rPr>
                <w:rFonts w:eastAsia="標楷體" w:hAnsi="標楷體" w:hint="eastAsia"/>
                <w:sz w:val="22"/>
                <w:szCs w:val="22"/>
              </w:rPr>
              <w:t>及其應用</w:t>
            </w:r>
            <w:r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  <w:p w:rsidR="00D7695F" w:rsidRPr="00AF4FFD" w:rsidRDefault="00D7695F" w:rsidP="009D0D21">
            <w:pPr>
              <w:spacing w:beforeLines="50" w:before="180"/>
              <w:rPr>
                <w:rFonts w:eastAsia="標楷體"/>
                <w:sz w:val="22"/>
                <w:szCs w:val="22"/>
              </w:rPr>
            </w:pPr>
            <w:r w:rsidRPr="00AF4FFD">
              <w:rPr>
                <w:rFonts w:eastAsia="標楷體" w:hAnsi="標楷體"/>
                <w:sz w:val="22"/>
                <w:szCs w:val="22"/>
              </w:rPr>
              <w:t>先修科目或先備能力</w:t>
            </w:r>
            <w:r>
              <w:rPr>
                <w:rFonts w:eastAsia="標楷體" w:hAnsi="標楷體" w:hint="eastAsia"/>
                <w:sz w:val="22"/>
                <w:szCs w:val="22"/>
              </w:rPr>
              <w:t>：無</w:t>
            </w:r>
          </w:p>
        </w:tc>
      </w:tr>
      <w:tr w:rsidR="00D7695F" w:rsidRPr="00AF4FFD" w:rsidTr="00D7695F">
        <w:trPr>
          <w:trHeight w:val="695"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95F" w:rsidRPr="00AF4FFD" w:rsidRDefault="00D7695F" w:rsidP="009D0D2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建議參考書目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95F" w:rsidRPr="007A66BC" w:rsidRDefault="007A66BC" w:rsidP="007A66BC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(1) </w:t>
            </w:r>
            <w:r w:rsidR="00D67B23" w:rsidRPr="007A66BC">
              <w:rPr>
                <w:rFonts w:eastAsia="標楷體"/>
                <w:kern w:val="0"/>
              </w:rPr>
              <w:t xml:space="preserve">L. D. Hoffann, G. L. Bradley, K H. Rosen. </w:t>
            </w:r>
            <w:r w:rsidR="00D67B23" w:rsidRPr="007A66BC">
              <w:rPr>
                <w:rFonts w:eastAsia="標楷體"/>
                <w:i/>
                <w:kern w:val="0"/>
              </w:rPr>
              <w:t xml:space="preserve">Applied </w:t>
            </w:r>
            <w:r w:rsidR="00D7695F" w:rsidRPr="007A66BC">
              <w:rPr>
                <w:rFonts w:eastAsia="標楷體" w:hint="eastAsia"/>
                <w:i/>
                <w:kern w:val="0"/>
              </w:rPr>
              <w:t>Calculus</w:t>
            </w:r>
            <w:r w:rsidR="00D67B23" w:rsidRPr="007A66BC">
              <w:rPr>
                <w:rFonts w:eastAsia="標楷體"/>
                <w:i/>
                <w:kern w:val="0"/>
              </w:rPr>
              <w:t xml:space="preserve"> for Business, Economics and Social and Life Sciences</w:t>
            </w:r>
            <w:r w:rsidR="00D7695F" w:rsidRPr="007A66BC">
              <w:rPr>
                <w:rFonts w:eastAsia="標楷體" w:hint="eastAsia"/>
                <w:kern w:val="0"/>
              </w:rPr>
              <w:t xml:space="preserve">, </w:t>
            </w:r>
            <w:r w:rsidR="00D67B23" w:rsidRPr="007A66BC">
              <w:rPr>
                <w:rFonts w:eastAsia="標楷體"/>
                <w:kern w:val="0"/>
              </w:rPr>
              <w:t>11</w:t>
            </w:r>
            <w:r w:rsidR="00D67B23" w:rsidRPr="007A66BC">
              <w:rPr>
                <w:rFonts w:eastAsia="標楷體"/>
                <w:kern w:val="0"/>
                <w:vertAlign w:val="superscript"/>
              </w:rPr>
              <w:t>th</w:t>
            </w:r>
            <w:r w:rsidR="00D67B23" w:rsidRPr="007A66BC">
              <w:rPr>
                <w:rFonts w:eastAsia="標楷體"/>
                <w:kern w:val="0"/>
              </w:rPr>
              <w:t xml:space="preserve"> Ed.</w:t>
            </w:r>
          </w:p>
          <w:p w:rsidR="00D67B23" w:rsidRPr="007A66BC" w:rsidRDefault="007A66BC" w:rsidP="007A66BC">
            <w:pPr>
              <w:spacing w:line="28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(2) </w:t>
            </w:r>
            <w:r w:rsidR="00D67B23" w:rsidRPr="007A66BC">
              <w:rPr>
                <w:rFonts w:eastAsia="標楷體" w:hint="eastAsia"/>
                <w:kern w:val="0"/>
              </w:rPr>
              <w:t xml:space="preserve">S. T. Tan. </w:t>
            </w:r>
            <w:r w:rsidR="00D67B23" w:rsidRPr="007A66BC">
              <w:rPr>
                <w:rFonts w:eastAsia="標楷體"/>
                <w:i/>
                <w:kern w:val="0"/>
              </w:rPr>
              <w:t>Applied Calculus for the Managerial, Life, and Social Sciences: A Brief Approach</w:t>
            </w:r>
            <w:r>
              <w:rPr>
                <w:rFonts w:eastAsia="標楷體"/>
                <w:i/>
                <w:kern w:val="0"/>
              </w:rPr>
              <w:t xml:space="preserve">, </w:t>
            </w:r>
            <w:r w:rsidRPr="007A66BC">
              <w:rPr>
                <w:rFonts w:eastAsia="標楷體"/>
                <w:kern w:val="0"/>
              </w:rPr>
              <w:t>10</w:t>
            </w:r>
            <w:r w:rsidRPr="007A66BC">
              <w:rPr>
                <w:rFonts w:eastAsia="標楷體"/>
                <w:kern w:val="0"/>
                <w:vertAlign w:val="superscript"/>
              </w:rPr>
              <w:t>th</w:t>
            </w:r>
            <w:r w:rsidRPr="007A66BC">
              <w:rPr>
                <w:rFonts w:eastAsia="標楷體"/>
                <w:kern w:val="0"/>
              </w:rPr>
              <w:t xml:space="preserve"> Ed. </w:t>
            </w:r>
          </w:p>
          <w:p w:rsidR="00D67B23" w:rsidRPr="00037D02" w:rsidRDefault="00D67B23" w:rsidP="00D67B23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D7695F" w:rsidRPr="00C87439" w:rsidRDefault="00D7695F" w:rsidP="00471611">
      <w:pPr>
        <w:widowControl/>
        <w:jc w:val="center"/>
        <w:rPr>
          <w:rFonts w:eastAsia="標楷體"/>
          <w:kern w:val="0"/>
        </w:rPr>
      </w:pPr>
    </w:p>
    <w:tbl>
      <w:tblPr>
        <w:tblW w:w="4332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19"/>
      </w:tblGrid>
      <w:tr w:rsidR="00F00C36" w:rsidRPr="00C87439" w:rsidTr="00D7695F">
        <w:trPr>
          <w:trHeight w:val="377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0C36" w:rsidRPr="00C87439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C87439">
              <w:rPr>
                <w:rFonts w:eastAsia="標楷體" w:hAnsi="標楷體"/>
                <w:kern w:val="0"/>
              </w:rPr>
              <w:t>課程進度：</w:t>
            </w:r>
            <w:r w:rsidRPr="00C87439">
              <w:rPr>
                <w:rFonts w:eastAsia="標楷體"/>
                <w:kern w:val="0"/>
              </w:rPr>
              <w:t xml:space="preserve"> </w:t>
            </w:r>
          </w:p>
        </w:tc>
      </w:tr>
      <w:tr w:rsidR="00F00C36" w:rsidRPr="00C87439" w:rsidTr="00D7695F">
        <w:trPr>
          <w:trHeight w:val="5402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00C36" w:rsidRPr="00761536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C87439">
              <w:rPr>
                <w:rFonts w:eastAsia="標楷體" w:hAnsi="標楷體"/>
                <w:kern w:val="0"/>
              </w:rPr>
              <w:t>第一週：</w:t>
            </w:r>
            <w:r w:rsidR="009B797E">
              <w:rPr>
                <w:rFonts w:eastAsia="標楷體" w:hAnsi="標楷體" w:hint="eastAsia"/>
                <w:kern w:val="0"/>
              </w:rPr>
              <w:t>介紹函數及其圖形</w:t>
            </w:r>
            <w:r w:rsidR="00835BCF">
              <w:rPr>
                <w:rFonts w:eastAsia="標楷體" w:hAnsi="標楷體" w:hint="eastAsia"/>
                <w:kern w:val="0"/>
              </w:rPr>
              <w:t>和極限</w:t>
            </w:r>
          </w:p>
          <w:p w:rsidR="00F00C36" w:rsidRPr="00761536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61536">
              <w:rPr>
                <w:rFonts w:eastAsia="標楷體"/>
                <w:kern w:val="0"/>
              </w:rPr>
              <w:t>第二週：</w:t>
            </w:r>
            <w:r w:rsidR="009B797E">
              <w:rPr>
                <w:rFonts w:eastAsia="標楷體" w:hint="eastAsia"/>
                <w:kern w:val="0"/>
              </w:rPr>
              <w:t>極限，函數的連續性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761536">
              <w:rPr>
                <w:rFonts w:eastAsia="標楷體"/>
                <w:kern w:val="0"/>
              </w:rPr>
              <w:t>第三週：</w:t>
            </w:r>
            <w:r w:rsidR="009B797E">
              <w:rPr>
                <w:rFonts w:eastAsia="標楷體" w:hint="eastAsia"/>
                <w:kern w:val="0"/>
              </w:rPr>
              <w:t>函數的</w:t>
            </w:r>
          </w:p>
          <w:p w:rsidR="00761536" w:rsidRPr="00405B5F" w:rsidRDefault="00F00C36" w:rsidP="004611D8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第四週：</w:t>
            </w:r>
            <w:r w:rsidR="009B797E">
              <w:rPr>
                <w:rFonts w:eastAsia="標楷體" w:hint="eastAsia"/>
                <w:kern w:val="0"/>
              </w:rPr>
              <w:t>函數的微分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第五週：</w:t>
            </w:r>
            <w:r w:rsidR="009B797E">
              <w:rPr>
                <w:rFonts w:eastAsia="標楷體" w:hint="eastAsia"/>
                <w:kern w:val="0"/>
              </w:rPr>
              <w:t>微分的應用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第六週：</w:t>
            </w:r>
            <w:r w:rsidR="009B797E">
              <w:rPr>
                <w:rFonts w:eastAsia="標楷體" w:hint="eastAsia"/>
                <w:kern w:val="0"/>
              </w:rPr>
              <w:t>微分的應用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第七週：</w:t>
            </w:r>
            <w:r w:rsidR="009B797E">
              <w:rPr>
                <w:rFonts w:eastAsia="標楷體" w:hint="eastAsia"/>
                <w:kern w:val="0"/>
              </w:rPr>
              <w:t>指數與對數函數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第八週：</w:t>
            </w:r>
            <w:r w:rsidR="009B797E">
              <w:rPr>
                <w:rFonts w:eastAsia="標楷體" w:hint="eastAsia"/>
                <w:kern w:val="0"/>
              </w:rPr>
              <w:t>指數與對數函數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第九週：</w:t>
            </w:r>
            <w:r w:rsidR="009B797E">
              <w:rPr>
                <w:rFonts w:eastAsia="標楷體" w:hint="eastAsia"/>
                <w:kern w:val="0"/>
              </w:rPr>
              <w:t>積分及其應用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第十週：</w:t>
            </w:r>
            <w:r w:rsidR="009B797E">
              <w:rPr>
                <w:rFonts w:eastAsia="標楷體" w:hint="eastAsia"/>
                <w:kern w:val="0"/>
              </w:rPr>
              <w:t>積分及其應用</w:t>
            </w:r>
          </w:p>
          <w:p w:rsidR="00F00C36" w:rsidRPr="00405B5F" w:rsidRDefault="00F00C36" w:rsidP="00761536">
            <w:pPr>
              <w:widowControl/>
              <w:jc w:val="both"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第十一週：</w:t>
            </w:r>
            <w:r w:rsidR="009B797E">
              <w:rPr>
                <w:rFonts w:eastAsia="標楷體" w:hint="eastAsia"/>
                <w:kern w:val="0"/>
              </w:rPr>
              <w:t>積分之技巧</w:t>
            </w:r>
          </w:p>
          <w:p w:rsidR="00F00C36" w:rsidRPr="00405B5F" w:rsidRDefault="00F00C36" w:rsidP="00351C2B">
            <w:pPr>
              <w:widowControl/>
              <w:ind w:left="1200" w:hangingChars="500" w:hanging="1200"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第十二週：</w:t>
            </w:r>
            <w:r w:rsidR="009B797E">
              <w:rPr>
                <w:rFonts w:eastAsia="標楷體" w:hint="eastAsia"/>
                <w:kern w:val="0"/>
              </w:rPr>
              <w:t>積分之技巧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第十三週：</w:t>
            </w:r>
            <w:r w:rsidR="00835BCF">
              <w:rPr>
                <w:rFonts w:eastAsia="標楷體" w:hint="eastAsia"/>
                <w:kern w:val="0"/>
              </w:rPr>
              <w:t>瑕積分與連續性機率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第十四週：</w:t>
            </w:r>
            <w:r w:rsidR="009B797E">
              <w:rPr>
                <w:rFonts w:eastAsia="標楷體" w:hint="eastAsia"/>
                <w:kern w:val="0"/>
              </w:rPr>
              <w:t>多變數</w:t>
            </w:r>
            <w:r w:rsidR="00835BCF">
              <w:rPr>
                <w:rFonts w:eastAsia="標楷體" w:hint="eastAsia"/>
                <w:kern w:val="0"/>
              </w:rPr>
              <w:t>微積分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第十五週：</w:t>
            </w:r>
            <w:r w:rsidR="00C160B7">
              <w:rPr>
                <w:rFonts w:eastAsia="標楷體" w:hint="eastAsia"/>
                <w:kern w:val="0"/>
              </w:rPr>
              <w:t>多變數</w:t>
            </w:r>
            <w:r w:rsidR="00835BCF">
              <w:rPr>
                <w:rFonts w:eastAsia="標楷體" w:hint="eastAsia"/>
                <w:kern w:val="0"/>
              </w:rPr>
              <w:t>微積分</w:t>
            </w:r>
          </w:p>
          <w:p w:rsidR="00F00C36" w:rsidRPr="00405B5F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405B5F">
              <w:rPr>
                <w:rFonts w:eastAsia="標楷體"/>
                <w:kern w:val="0"/>
              </w:rPr>
              <w:t>第十六週：</w:t>
            </w:r>
            <w:r w:rsidR="00835BCF">
              <w:rPr>
                <w:rFonts w:eastAsia="標楷體" w:hint="eastAsia"/>
                <w:kern w:val="0"/>
              </w:rPr>
              <w:t>多變數微積分</w:t>
            </w:r>
          </w:p>
          <w:p w:rsidR="00F00C36" w:rsidRPr="00C87439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C87439">
              <w:rPr>
                <w:rFonts w:eastAsia="標楷體" w:hAnsi="標楷體"/>
                <w:kern w:val="0"/>
              </w:rPr>
              <w:t>第十七週：</w:t>
            </w:r>
            <w:r w:rsidR="009B797E">
              <w:rPr>
                <w:rFonts w:eastAsia="標楷體" w:hAnsi="標楷體" w:hint="eastAsia"/>
                <w:kern w:val="0"/>
              </w:rPr>
              <w:t>級數及泰勒多項式</w:t>
            </w:r>
          </w:p>
          <w:p w:rsidR="00F00C36" w:rsidRPr="00C87439" w:rsidRDefault="00F00C36" w:rsidP="00F00C36">
            <w:pPr>
              <w:widowControl/>
              <w:rPr>
                <w:rFonts w:eastAsia="標楷體"/>
                <w:kern w:val="0"/>
              </w:rPr>
            </w:pPr>
            <w:r w:rsidRPr="00C87439">
              <w:rPr>
                <w:rFonts w:eastAsia="標楷體" w:hAnsi="標楷體"/>
                <w:kern w:val="0"/>
              </w:rPr>
              <w:t>第十八週：</w:t>
            </w:r>
            <w:r w:rsidR="009B797E">
              <w:rPr>
                <w:rFonts w:eastAsia="標楷體" w:hAnsi="標楷體" w:hint="eastAsia"/>
                <w:kern w:val="0"/>
              </w:rPr>
              <w:t>級數及泰勒多項式</w:t>
            </w:r>
          </w:p>
        </w:tc>
      </w:tr>
    </w:tbl>
    <w:p w:rsidR="00A309EE" w:rsidRPr="00C87439" w:rsidRDefault="00A309EE">
      <w:pPr>
        <w:rPr>
          <w:rFonts w:eastAsia="標楷體"/>
        </w:rPr>
      </w:pPr>
    </w:p>
    <w:sectPr w:rsidR="00A309EE" w:rsidRPr="00C87439" w:rsidSect="004716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70" w:rsidRDefault="00123870" w:rsidP="004E594C">
      <w:r>
        <w:separator/>
      </w:r>
    </w:p>
  </w:endnote>
  <w:endnote w:type="continuationSeparator" w:id="0">
    <w:p w:rsidR="00123870" w:rsidRDefault="00123870" w:rsidP="004E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70" w:rsidRDefault="00123870" w:rsidP="004E594C">
      <w:r>
        <w:separator/>
      </w:r>
    </w:p>
  </w:footnote>
  <w:footnote w:type="continuationSeparator" w:id="0">
    <w:p w:rsidR="00123870" w:rsidRDefault="00123870" w:rsidP="004E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073BD"/>
    <w:multiLevelType w:val="hybridMultilevel"/>
    <w:tmpl w:val="C34E1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11"/>
    <w:rsid w:val="00123870"/>
    <w:rsid w:val="001339E6"/>
    <w:rsid w:val="001632CC"/>
    <w:rsid w:val="001739AB"/>
    <w:rsid w:val="001B32E4"/>
    <w:rsid w:val="00351C2B"/>
    <w:rsid w:val="003E3986"/>
    <w:rsid w:val="00405B5F"/>
    <w:rsid w:val="004611D8"/>
    <w:rsid w:val="00471611"/>
    <w:rsid w:val="004A065E"/>
    <w:rsid w:val="004E594C"/>
    <w:rsid w:val="00502DBA"/>
    <w:rsid w:val="00617076"/>
    <w:rsid w:val="006A3DC7"/>
    <w:rsid w:val="00761536"/>
    <w:rsid w:val="007A66BC"/>
    <w:rsid w:val="008103BE"/>
    <w:rsid w:val="00835BCF"/>
    <w:rsid w:val="00836D57"/>
    <w:rsid w:val="00874B99"/>
    <w:rsid w:val="008D1719"/>
    <w:rsid w:val="009644CB"/>
    <w:rsid w:val="009B797E"/>
    <w:rsid w:val="009D60AC"/>
    <w:rsid w:val="00A16C6E"/>
    <w:rsid w:val="00A309EE"/>
    <w:rsid w:val="00A861E0"/>
    <w:rsid w:val="00BF48E0"/>
    <w:rsid w:val="00C160B7"/>
    <w:rsid w:val="00C319FE"/>
    <w:rsid w:val="00C87439"/>
    <w:rsid w:val="00D67B23"/>
    <w:rsid w:val="00D7695F"/>
    <w:rsid w:val="00EA4BA4"/>
    <w:rsid w:val="00F00C36"/>
    <w:rsid w:val="00F6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4B79A-058D-4FCF-82ED-8EF8ECA3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2DB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E5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E594C"/>
    <w:rPr>
      <w:kern w:val="2"/>
    </w:rPr>
  </w:style>
  <w:style w:type="paragraph" w:styleId="a6">
    <w:name w:val="footer"/>
    <w:basedOn w:val="a"/>
    <w:link w:val="a7"/>
    <w:rsid w:val="004E5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E594C"/>
    <w:rPr>
      <w:kern w:val="2"/>
    </w:rPr>
  </w:style>
  <w:style w:type="table" w:styleId="a8">
    <w:name w:val="Table Grid"/>
    <w:basedOn w:val="a1"/>
    <w:rsid w:val="00D769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67B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27BD-CF3C-4E77-B016-28DAF671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>CMT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user</cp:lastModifiedBy>
  <cp:revision>2</cp:revision>
  <cp:lastPrinted>2018-05-01T00:48:00Z</cp:lastPrinted>
  <dcterms:created xsi:type="dcterms:W3CDTF">2018-05-01T00:54:00Z</dcterms:created>
  <dcterms:modified xsi:type="dcterms:W3CDTF">2018-05-01T00:54:00Z</dcterms:modified>
</cp:coreProperties>
</file>