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15" w:rsidRDefault="009F3A2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PMingLiU" w:eastAsia="PMingLiU" w:hAnsi="PMingLiU" w:cs="PMingLiU"/>
          <w:color w:val="000000"/>
          <w:sz w:val="44"/>
          <w:szCs w:val="44"/>
        </w:rPr>
      </w:pPr>
      <w:r>
        <w:rPr>
          <w:rFonts w:ascii="PMingLiU" w:eastAsia="PMingLiU" w:hAnsi="PMingLiU" w:cs="PMingLiU"/>
          <w:color w:val="000000"/>
          <w:sz w:val="44"/>
          <w:szCs w:val="44"/>
        </w:rPr>
        <w:t>國立中正大學歷史所課程大綱</w:t>
      </w:r>
    </w:p>
    <w:tbl>
      <w:tblPr>
        <w:tblStyle w:val="30"/>
        <w:tblW w:w="977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7702"/>
      </w:tblGrid>
      <w:tr w:rsidR="00AE7515" w:rsidTr="00EB618A">
        <w:trPr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課程名稱(中文)</w:t>
            </w:r>
          </w:p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4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（英文）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Pr="00FD3B16" w:rsidRDefault="00106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戰後</w:t>
            </w:r>
            <w:r w:rsidR="009F3A28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臺灣文化史專題研究</w:t>
            </w:r>
            <w:r w:rsidR="00FD3B16">
              <w:rPr>
                <w:rFonts w:ascii="Gungsuh" w:hAnsi="Gungsuh" w:cs="Gungsuh" w:hint="eastAsia"/>
                <w:color w:val="000000"/>
                <w:sz w:val="24"/>
                <w:szCs w:val="24"/>
              </w:rPr>
              <w:t>（二）</w:t>
            </w:r>
          </w:p>
          <w:p w:rsidR="00AE7515" w:rsidRDefault="009F3A28" w:rsidP="00BF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Seminar on the Cultural History of </w:t>
            </w:r>
            <w:r w:rsidR="00BF7B59" w:rsidRPr="00BF7B59">
              <w:rPr>
                <w:rFonts w:eastAsia="Times New Roman"/>
                <w:color w:val="000000"/>
                <w:sz w:val="24"/>
                <w:szCs w:val="24"/>
              </w:rPr>
              <w:t>the</w:t>
            </w:r>
            <w:r w:rsidR="00BF7B59" w:rsidRPr="00BF7B59">
              <w:rPr>
                <w:rFonts w:eastAsia="Times New Roman" w:hint="eastAsia"/>
                <w:color w:val="000000"/>
                <w:sz w:val="24"/>
                <w:szCs w:val="24"/>
              </w:rPr>
              <w:t xml:space="preserve"> Postwar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Taiwan</w:t>
            </w:r>
            <w:r w:rsidR="00A62E2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="00FD3B16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 w:rsidR="00FD3B16">
              <w:rPr>
                <w:rFonts w:eastAsia="Times New Roman"/>
                <w:color w:val="000000"/>
                <w:sz w:val="24"/>
                <w:szCs w:val="24"/>
              </w:rPr>
              <w:fldChar w:fldCharType="begin"/>
            </w:r>
            <w:r w:rsidR="00FD3B16">
              <w:rPr>
                <w:rFonts w:eastAsia="新細明體"/>
                <w:color w:val="000000"/>
                <w:sz w:val="24"/>
                <w:szCs w:val="24"/>
              </w:rPr>
              <w:instrText xml:space="preserve"> </w:instrText>
            </w:r>
            <w:r w:rsidR="00FD3B16">
              <w:rPr>
                <w:rFonts w:eastAsia="新細明體" w:hint="eastAsia"/>
                <w:color w:val="000000"/>
                <w:sz w:val="24"/>
                <w:szCs w:val="24"/>
              </w:rPr>
              <w:instrText>= 2 \* ROMAN</w:instrText>
            </w:r>
            <w:r w:rsidR="00FD3B16">
              <w:rPr>
                <w:rFonts w:eastAsia="新細明體"/>
                <w:color w:val="000000"/>
                <w:sz w:val="24"/>
                <w:szCs w:val="24"/>
              </w:rPr>
              <w:instrText xml:space="preserve"> </w:instrText>
            </w:r>
            <w:r w:rsidR="00FD3B16">
              <w:rPr>
                <w:rFonts w:eastAsia="Times New Roman"/>
                <w:color w:val="000000"/>
                <w:sz w:val="24"/>
                <w:szCs w:val="24"/>
              </w:rPr>
              <w:fldChar w:fldCharType="separate"/>
            </w:r>
            <w:r w:rsidR="00FD3B16">
              <w:rPr>
                <w:rFonts w:eastAsia="新細明體"/>
                <w:noProof/>
                <w:color w:val="000000"/>
                <w:sz w:val="24"/>
                <w:szCs w:val="24"/>
              </w:rPr>
              <w:t>II</w:t>
            </w:r>
            <w:r w:rsidR="00FD3B16">
              <w:rPr>
                <w:rFonts w:eastAsia="Times New Roman"/>
                <w:color w:val="000000"/>
                <w:sz w:val="24"/>
                <w:szCs w:val="24"/>
              </w:rPr>
              <w:fldChar w:fldCharType="end"/>
            </w:r>
            <w:r w:rsidR="00FD3B16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AE7515" w:rsidTr="00EB618A">
        <w:trPr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授課教師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張建</w:t>
            </w:r>
            <w:proofErr w:type="gramStart"/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俅</w:t>
            </w:r>
            <w:proofErr w:type="gramEnd"/>
          </w:p>
        </w:tc>
      </w:tr>
      <w:tr w:rsidR="00AE7515" w:rsidTr="00EB618A">
        <w:trPr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先修科目或</w:t>
            </w: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br/>
              <w:t xml:space="preserve">先備能力 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無</w:t>
            </w:r>
          </w:p>
        </w:tc>
      </w:tr>
      <w:tr w:rsidR="00AE7515" w:rsidTr="00EB618A">
        <w:trPr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學分數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3</w:t>
            </w:r>
          </w:p>
        </w:tc>
      </w:tr>
      <w:tr w:rsidR="00AE7515" w:rsidTr="00EB618A">
        <w:trPr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學士班課程屬性（請勾選）</w:t>
            </w:r>
          </w:p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研究所課程免勾選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 xml:space="preserve">□必修  </w:t>
            </w:r>
          </w:p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□選修:中國斷代史類  □選修:世界斷代史類  □選修:國別及區域史類</w:t>
            </w:r>
          </w:p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□選修:</w:t>
            </w:r>
            <w:proofErr w:type="gramStart"/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專史</w:t>
            </w:r>
            <w:proofErr w:type="gramEnd"/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、專題    □選修:史料選讀.史學領域.應用史學類</w:t>
            </w:r>
          </w:p>
        </w:tc>
      </w:tr>
      <w:tr w:rsidR="00AE7515" w:rsidTr="00EB618A">
        <w:trPr>
          <w:trHeight w:val="1060"/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課程概述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3816C6" w:rsidP="0038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PMingLiU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sz w:val="24"/>
                <w:szCs w:val="24"/>
              </w:rPr>
              <w:t xml:space="preserve">        </w:t>
            </w:r>
            <w:r w:rsidR="009F3A28"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本課程旨在講述</w:t>
            </w:r>
            <w:r w:rsidR="009D4FF0">
              <w:rPr>
                <w:rFonts w:asciiTheme="minorEastAsia" w:hAnsiTheme="minorEastAsia" w:cs="PMingLiU" w:hint="eastAsia"/>
                <w:color w:val="000000"/>
                <w:sz w:val="24"/>
                <w:szCs w:val="24"/>
              </w:rPr>
              <w:t>戰後臺灣（1945年之後）產生的種種藝文活動、</w:t>
            </w:r>
            <w:r w:rsidR="009D4FF0"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留下的</w:t>
            </w:r>
            <w:r w:rsidR="009D4FF0">
              <w:rPr>
                <w:rFonts w:asciiTheme="minorEastAsia" w:hAnsiTheme="minorEastAsia" w:cs="PMingLiU" w:hint="eastAsia"/>
                <w:color w:val="000000"/>
                <w:sz w:val="24"/>
                <w:szCs w:val="24"/>
              </w:rPr>
              <w:t>文化</w:t>
            </w:r>
            <w:r w:rsidR="009D4FF0"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遺</w:t>
            </w:r>
            <w:r w:rsidR="009D4FF0">
              <w:rPr>
                <w:rFonts w:asciiTheme="minorEastAsia" w:hAnsiTheme="minorEastAsia" w:cs="PMingLiU" w:hint="eastAsia"/>
                <w:color w:val="000000"/>
                <w:sz w:val="24"/>
                <w:szCs w:val="24"/>
              </w:rPr>
              <w:t>產</w:t>
            </w:r>
            <w:r w:rsidR="009F3A28"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、文物或記錄</w:t>
            </w:r>
            <w:r>
              <w:rPr>
                <w:rFonts w:asciiTheme="minorEastAsia" w:hAnsiTheme="minorEastAsia" w:cs="PMingLiU" w:hint="eastAsia"/>
                <w:color w:val="000000"/>
                <w:sz w:val="24"/>
                <w:szCs w:val="24"/>
              </w:rPr>
              <w:t>。</w:t>
            </w:r>
          </w:p>
          <w:p w:rsidR="00AE7515" w:rsidRPr="003816C6" w:rsidRDefault="003816C6" w:rsidP="0038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 xml:space="preserve"> </w:t>
            </w:r>
            <w:r w:rsidRPr="003816C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本課程授課對象為研究生，屬研討課，將以戰後</w:t>
            </w:r>
            <w:r w:rsidRPr="003816C6">
              <w:rPr>
                <w:rFonts w:ascii="PMingLiU" w:eastAsia="PMingLiU" w:hAnsi="PMingLiU" w:cs="PMingLiU" w:hint="eastAsia"/>
                <w:color w:val="000000"/>
                <w:sz w:val="24"/>
                <w:szCs w:val="24"/>
              </w:rPr>
              <w:t>50</w:t>
            </w:r>
            <w:r w:rsidRPr="003816C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年</w:t>
            </w:r>
            <w:proofErr w:type="gramStart"/>
            <w:r w:rsidRPr="003816C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來作</w:t>
            </w:r>
            <w:proofErr w:type="gramEnd"/>
            <w:r w:rsidRPr="003816C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為焦點，選擇</w:t>
            </w:r>
            <w:r w:rsidR="00EB618A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以各種文化活動</w:t>
            </w:r>
            <w:r w:rsidR="00984582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的型態</w:t>
            </w:r>
            <w:r w:rsidRPr="003816C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，帶領學生</w:t>
            </w:r>
            <w:proofErr w:type="gramStart"/>
            <w:r w:rsidRPr="003816C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研</w:t>
            </w:r>
            <w:proofErr w:type="gramEnd"/>
            <w:r w:rsidRPr="003816C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讀現有的研究成果，學習期刊論文、專書論文或是專書研究方法及寫作方式，並以此為基礎來發展新的研究題目，獨立做更進一步的研究。</w:t>
            </w:r>
          </w:p>
        </w:tc>
      </w:tr>
      <w:tr w:rsidR="00AE7515" w:rsidTr="00EB618A">
        <w:trPr>
          <w:trHeight w:val="920"/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從</w:t>
            </w:r>
            <w:r w:rsidR="004B7702">
              <w:rPr>
                <w:rFonts w:ascii="PMingLiU" w:hAnsi="PMingLiU" w:cs="PMingLiU" w:hint="eastAsia"/>
                <w:color w:val="000000"/>
                <w:sz w:val="24"/>
                <w:szCs w:val="24"/>
              </w:rPr>
              <w:t>史料</w:t>
            </w: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文獻來瞭解臺灣文化</w:t>
            </w:r>
            <w:r w:rsidR="004B7702">
              <w:rPr>
                <w:rFonts w:ascii="PMingLiU" w:hAnsi="PMingLiU" w:cs="PMingLiU" w:hint="eastAsia"/>
                <w:color w:val="000000"/>
                <w:sz w:val="24"/>
                <w:szCs w:val="24"/>
              </w:rPr>
              <w:t>，</w:t>
            </w:r>
            <w:r w:rsidR="004B7702">
              <w:rPr>
                <w:rFonts w:ascii="PMingLiU" w:hAnsi="PMingLiU" w:cs="PMingLiU"/>
                <w:color w:val="000000"/>
                <w:sz w:val="24"/>
                <w:szCs w:val="24"/>
              </w:rPr>
              <w:t>學習</w:t>
            </w:r>
            <w:r w:rsidR="004B7702">
              <w:rPr>
                <w:rFonts w:ascii="PMingLiU" w:hAnsi="PMingLiU" w:cs="PMingLiU" w:hint="eastAsia"/>
                <w:color w:val="000000"/>
                <w:sz w:val="24"/>
                <w:szCs w:val="24"/>
              </w:rPr>
              <w:t>如何研究戰後臺灣文化史</w:t>
            </w:r>
          </w:p>
          <w:p w:rsidR="00AE7515" w:rsidRPr="00327716" w:rsidRDefault="00327716" w:rsidP="003277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藉由</w:t>
            </w:r>
            <w:r>
              <w:rPr>
                <w:rFonts w:asciiTheme="minorEastAsia" w:hAnsiTheme="minorEastAsia" w:cs="PMingLiU" w:hint="eastAsia"/>
                <w:color w:val="000000"/>
                <w:sz w:val="24"/>
                <w:szCs w:val="24"/>
              </w:rPr>
              <w:t>各種文化活動的型態</w:t>
            </w:r>
            <w:r w:rsidR="009F3A28"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，理解</w:t>
            </w:r>
            <w:r w:rsidR="004B7702">
              <w:rPr>
                <w:rFonts w:ascii="PMingLiU" w:hAnsi="PMingLiU" w:cs="PMingLiU" w:hint="eastAsia"/>
                <w:color w:val="000000"/>
                <w:sz w:val="24"/>
                <w:szCs w:val="24"/>
              </w:rPr>
              <w:t>戰後</w:t>
            </w:r>
            <w:r w:rsidR="009F3A28"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臺灣多元文化的來源與形成</w:t>
            </w:r>
          </w:p>
        </w:tc>
      </w:tr>
      <w:tr w:rsidR="00AE7515" w:rsidTr="00EB618A">
        <w:trPr>
          <w:trHeight w:val="396"/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教科書或</w:t>
            </w:r>
          </w:p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參考書目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Pr="00C51768" w:rsidRDefault="00C51768" w:rsidP="00E10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華康楷書體W5" w:hAnsi="華康楷書體W5" w:cs="華康楷書體W5"/>
                <w:color w:val="000000"/>
                <w:sz w:val="24"/>
                <w:szCs w:val="24"/>
              </w:rPr>
            </w:pPr>
            <w:r>
              <w:rPr>
                <w:rFonts w:ascii="華康楷書體W5" w:hAnsi="華康楷書體W5" w:cs="華康楷書體W5" w:hint="eastAsia"/>
                <w:color w:val="000000"/>
                <w:sz w:val="24"/>
                <w:szCs w:val="24"/>
              </w:rPr>
              <w:t>參考書目</w:t>
            </w:r>
          </w:p>
          <w:p w:rsidR="00B57637" w:rsidRPr="00B57637" w:rsidRDefault="00B57637" w:rsidP="00257B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華康楷書體W5" w:eastAsia="華康楷書體W5" w:hAnsi="華康楷書體W5" w:cs="華康楷書體W5"/>
                <w:color w:val="000000"/>
                <w:sz w:val="24"/>
                <w:szCs w:val="24"/>
              </w:rPr>
            </w:pPr>
            <w:proofErr w:type="gramStart"/>
            <w:r w:rsidRPr="00573DED">
              <w:rPr>
                <w:rFonts w:hint="eastAsia"/>
                <w:color w:val="000000"/>
                <w:sz w:val="24"/>
                <w:szCs w:val="24"/>
              </w:rPr>
              <w:t>邱琡雯</w:t>
            </w:r>
            <w:proofErr w:type="gramEnd"/>
            <w:r w:rsidRPr="00573DED">
              <w:rPr>
                <w:rFonts w:hint="eastAsia"/>
                <w:color w:val="000000"/>
                <w:sz w:val="24"/>
                <w:szCs w:val="24"/>
              </w:rPr>
              <w:t>編，《日本流行文化在台灣與亞洲</w:t>
            </w:r>
            <w:r w:rsidRPr="00573DED">
              <w:rPr>
                <w:rFonts w:hint="eastAsia"/>
                <w:color w:val="000000"/>
                <w:sz w:val="24"/>
                <w:szCs w:val="24"/>
              </w:rPr>
              <w:t>II</w:t>
            </w:r>
            <w:r w:rsidRPr="00573DED">
              <w:rPr>
                <w:rFonts w:hint="eastAsia"/>
                <w:color w:val="000000"/>
                <w:sz w:val="24"/>
                <w:szCs w:val="24"/>
              </w:rPr>
              <w:t>》，</w:t>
            </w:r>
            <w:proofErr w:type="gramStart"/>
            <w:r w:rsidRPr="00573DED">
              <w:rPr>
                <w:rFonts w:hint="eastAsia"/>
                <w:color w:val="000000"/>
                <w:sz w:val="24"/>
                <w:szCs w:val="24"/>
              </w:rPr>
              <w:t>臺</w:t>
            </w:r>
            <w:proofErr w:type="gramEnd"/>
            <w:r w:rsidRPr="00573DED">
              <w:rPr>
                <w:rFonts w:hint="eastAsia"/>
                <w:color w:val="000000"/>
                <w:sz w:val="24"/>
                <w:szCs w:val="24"/>
              </w:rPr>
              <w:t>北：遠流文化，</w:t>
            </w:r>
            <w:r>
              <w:rPr>
                <w:rFonts w:hint="eastAsia"/>
                <w:color w:val="000000"/>
                <w:sz w:val="24"/>
                <w:szCs w:val="24"/>
              </w:rPr>
              <w:t>2003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:rsidR="00327716" w:rsidRPr="00327716" w:rsidRDefault="00B57637" w:rsidP="00257B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華康楷書體W5" w:eastAsia="華康楷書體W5" w:hAnsi="華康楷書體W5" w:cs="華康楷書體W5"/>
                <w:color w:val="000000"/>
                <w:sz w:val="24"/>
                <w:szCs w:val="24"/>
              </w:rPr>
            </w:pPr>
            <w:r w:rsidRPr="00A3601D">
              <w:rPr>
                <w:rFonts w:hint="eastAsia"/>
                <w:color w:val="000000"/>
                <w:sz w:val="24"/>
                <w:szCs w:val="24"/>
              </w:rPr>
              <w:t>尉天聰，《台灣地區社會變遷與文化發展》，台北：聯合報社，</w:t>
            </w:r>
            <w:r w:rsidRPr="00A3601D">
              <w:rPr>
                <w:rFonts w:hint="eastAsia"/>
                <w:color w:val="000000"/>
                <w:sz w:val="24"/>
                <w:szCs w:val="24"/>
              </w:rPr>
              <w:t>2001</w:t>
            </w:r>
            <w:r w:rsidRPr="00A3601D"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:rsidR="00257B6D" w:rsidRPr="00257B6D" w:rsidRDefault="00257B6D" w:rsidP="00257B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華康楷書體W5" w:eastAsia="華康楷書體W5" w:hAnsi="華康楷書體W5" w:cs="華康楷書體W5"/>
                <w:color w:val="000000"/>
                <w:sz w:val="24"/>
                <w:szCs w:val="24"/>
              </w:rPr>
            </w:pPr>
            <w:r w:rsidRPr="00257B6D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莊永明，《台灣歌謠追想曲》，台北：前衛出版社，</w:t>
            </w:r>
            <w:r w:rsidRPr="00257B6D">
              <w:rPr>
                <w:rFonts w:ascii="華康楷書體W5" w:eastAsia="華康楷書體W5" w:hAnsi="華康楷書體W5" w:cs="華康楷書體W5" w:hint="eastAsia"/>
                <w:color w:val="000000"/>
                <w:sz w:val="24"/>
                <w:szCs w:val="24"/>
              </w:rPr>
              <w:t>1994</w:t>
            </w:r>
            <w:r w:rsidRPr="00257B6D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。</w:t>
            </w:r>
          </w:p>
          <w:p w:rsidR="00257B6D" w:rsidRPr="00257B6D" w:rsidRDefault="00257B6D" w:rsidP="00257B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華康楷書體W5" w:eastAsia="華康楷書體W5" w:hAnsi="華康楷書體W5" w:cs="華康楷書體W5"/>
                <w:color w:val="000000"/>
                <w:sz w:val="24"/>
                <w:szCs w:val="24"/>
              </w:rPr>
            </w:pPr>
            <w:r w:rsidRPr="00257B6D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葉龍彥，《台灣唱片思想起》，台北：博揚文化公司，</w:t>
            </w:r>
            <w:r w:rsidRPr="00257B6D">
              <w:rPr>
                <w:rFonts w:ascii="華康楷書體W5" w:eastAsia="華康楷書體W5" w:hAnsi="華康楷書體W5" w:cs="華康楷書體W5" w:hint="eastAsia"/>
                <w:color w:val="000000"/>
                <w:sz w:val="24"/>
                <w:szCs w:val="24"/>
              </w:rPr>
              <w:t>2001</w:t>
            </w:r>
            <w:r w:rsidRPr="00257B6D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。</w:t>
            </w:r>
          </w:p>
          <w:p w:rsidR="00257B6D" w:rsidRPr="00257B6D" w:rsidRDefault="00257B6D" w:rsidP="00257B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華康楷書體W5" w:eastAsia="華康楷書體W5" w:hAnsi="華康楷書體W5" w:cs="華康楷書體W5"/>
                <w:color w:val="000000"/>
                <w:sz w:val="24"/>
                <w:szCs w:val="24"/>
              </w:rPr>
            </w:pPr>
            <w:r w:rsidRPr="00257B6D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曾慧佳，《從流行歌曲看台灣社會》，台北：桂冠圖書公司，</w:t>
            </w:r>
            <w:r w:rsidRPr="00257B6D">
              <w:rPr>
                <w:rFonts w:ascii="華康楷書體W5" w:eastAsia="華康楷書體W5" w:hAnsi="華康楷書體W5" w:cs="華康楷書體W5" w:hint="eastAsia"/>
                <w:color w:val="000000"/>
                <w:sz w:val="24"/>
                <w:szCs w:val="24"/>
              </w:rPr>
              <w:t>2000</w:t>
            </w:r>
            <w:r w:rsidRPr="00257B6D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。</w:t>
            </w:r>
          </w:p>
          <w:p w:rsidR="00257B6D" w:rsidRPr="00257B6D" w:rsidRDefault="00257B6D" w:rsidP="00257B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華康楷書體W5" w:eastAsia="華康楷書體W5" w:hAnsi="華康楷書體W5" w:cs="華康楷書體W5"/>
                <w:color w:val="000000"/>
                <w:sz w:val="24"/>
                <w:szCs w:val="24"/>
              </w:rPr>
            </w:pPr>
            <w:r w:rsidRPr="00257B6D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葉龍彥，《光復初期台灣電影史》，台北：國家電影資料館，</w:t>
            </w:r>
            <w:r w:rsidRPr="00257B6D">
              <w:rPr>
                <w:rFonts w:ascii="華康楷書體W5" w:eastAsia="華康楷書體W5" w:hAnsi="華康楷書體W5" w:cs="華康楷書體W5" w:hint="eastAsia"/>
                <w:color w:val="000000"/>
                <w:sz w:val="24"/>
                <w:szCs w:val="24"/>
              </w:rPr>
              <w:t>1995</w:t>
            </w:r>
            <w:r w:rsidRPr="00257B6D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。</w:t>
            </w:r>
          </w:p>
          <w:p w:rsidR="00257B6D" w:rsidRPr="00895926" w:rsidRDefault="00257B6D" w:rsidP="00257B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華康楷書體W5" w:eastAsia="華康楷書體W5" w:hAnsi="華康楷書體W5" w:cs="華康楷書體W5"/>
                <w:color w:val="000000"/>
                <w:sz w:val="24"/>
                <w:szCs w:val="24"/>
              </w:rPr>
            </w:pPr>
            <w:r w:rsidRPr="00257B6D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藍博洲，《消失在歷史迷霧中的作家身影》，台北聯合文學出版社，</w:t>
            </w:r>
            <w:r w:rsidRPr="00257B6D">
              <w:rPr>
                <w:rFonts w:ascii="華康楷書體W5" w:eastAsia="華康楷書體W5" w:hAnsi="華康楷書體W5" w:cs="華康楷書體W5" w:hint="eastAsia"/>
                <w:color w:val="000000"/>
                <w:sz w:val="24"/>
                <w:szCs w:val="24"/>
              </w:rPr>
              <w:t>2001</w:t>
            </w:r>
            <w:r w:rsidRPr="00257B6D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。</w:t>
            </w:r>
          </w:p>
          <w:p w:rsidR="00895926" w:rsidRPr="00895926" w:rsidRDefault="00895926" w:rsidP="0089592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華康楷書體W5" w:eastAsia="華康楷書體W5" w:hAnsi="華康楷書體W5" w:cs="華康楷書體W5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王德威：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《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閱讀當代小說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─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台灣．大陸．香港．海外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》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，</w:t>
            </w:r>
            <w:proofErr w:type="gramStart"/>
            <w:r w:rsidRPr="00B80953">
              <w:rPr>
                <w:rFonts w:hint="eastAsia"/>
                <w:color w:val="000000"/>
                <w:sz w:val="24"/>
                <w:szCs w:val="24"/>
              </w:rPr>
              <w:t>臺</w:t>
            </w:r>
            <w:proofErr w:type="gramEnd"/>
            <w:r w:rsidRPr="00B80953">
              <w:rPr>
                <w:rFonts w:hint="eastAsia"/>
                <w:color w:val="000000"/>
                <w:sz w:val="24"/>
                <w:szCs w:val="24"/>
              </w:rPr>
              <w:t>北：遠流出版，</w:t>
            </w:r>
            <w:r w:rsidRPr="00B80953">
              <w:rPr>
                <w:rFonts w:hint="eastAsia"/>
                <w:color w:val="000000"/>
                <w:sz w:val="24"/>
                <w:szCs w:val="24"/>
              </w:rPr>
              <w:t>1991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:rsidR="00895926" w:rsidRPr="00895926" w:rsidRDefault="00895926" w:rsidP="0089592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華康楷書體W5" w:eastAsia="華康楷書體W5" w:hAnsi="華康楷書體W5" w:cs="華康楷書體W5"/>
                <w:color w:val="000000"/>
                <w:sz w:val="24"/>
                <w:szCs w:val="24"/>
              </w:rPr>
            </w:pPr>
            <w:r w:rsidRPr="00895926">
              <w:rPr>
                <w:rFonts w:hint="eastAsia"/>
                <w:color w:val="000000"/>
                <w:sz w:val="24"/>
                <w:szCs w:val="24"/>
              </w:rPr>
              <w:t>陳映真，</w:t>
            </w:r>
            <w:proofErr w:type="gramStart"/>
            <w:r w:rsidRPr="00895926">
              <w:rPr>
                <w:rFonts w:hint="eastAsia"/>
                <w:color w:val="000000"/>
                <w:sz w:val="24"/>
                <w:szCs w:val="24"/>
              </w:rPr>
              <w:t>《</w:t>
            </w:r>
            <w:proofErr w:type="gramEnd"/>
            <w:r w:rsidRPr="00895926">
              <w:rPr>
                <w:rFonts w:hint="eastAsia"/>
                <w:color w:val="000000"/>
                <w:sz w:val="24"/>
                <w:szCs w:val="24"/>
              </w:rPr>
              <w:t>左翼傳統的復歸：鄉土文學論戰三十年</w:t>
            </w:r>
            <w:proofErr w:type="gramStart"/>
            <w:r w:rsidRPr="00895926">
              <w:rPr>
                <w:rFonts w:hint="eastAsia"/>
                <w:color w:val="000000"/>
                <w:sz w:val="24"/>
                <w:szCs w:val="24"/>
              </w:rPr>
              <w:t>》</w:t>
            </w:r>
            <w:proofErr w:type="gramEnd"/>
            <w:r w:rsidRPr="00895926">
              <w:rPr>
                <w:rFonts w:hint="eastAsia"/>
                <w:color w:val="000000"/>
                <w:sz w:val="24"/>
                <w:szCs w:val="24"/>
              </w:rPr>
              <w:t>，</w:t>
            </w:r>
            <w:proofErr w:type="gramStart"/>
            <w:r w:rsidRPr="00895926">
              <w:rPr>
                <w:rFonts w:hint="eastAsia"/>
                <w:color w:val="000000"/>
                <w:sz w:val="24"/>
                <w:szCs w:val="24"/>
              </w:rPr>
              <w:t>臺</w:t>
            </w:r>
            <w:proofErr w:type="gramEnd"/>
            <w:r w:rsidRPr="00895926">
              <w:rPr>
                <w:rFonts w:hint="eastAsia"/>
                <w:color w:val="000000"/>
                <w:sz w:val="24"/>
                <w:szCs w:val="24"/>
              </w:rPr>
              <w:t>北：人間出版社，</w:t>
            </w:r>
            <w:r w:rsidRPr="00895926">
              <w:rPr>
                <w:rFonts w:hint="eastAsia"/>
                <w:color w:val="000000"/>
                <w:sz w:val="24"/>
                <w:szCs w:val="24"/>
              </w:rPr>
              <w:t>2008</w:t>
            </w:r>
            <w:r w:rsidRPr="00895926"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:rsidR="00895926" w:rsidRPr="00B57637" w:rsidRDefault="00895926" w:rsidP="00257B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華康楷書體W5" w:eastAsia="華康楷書體W5" w:hAnsi="華康楷書體W5" w:cs="華康楷書體W5"/>
                <w:color w:val="000000"/>
                <w:sz w:val="24"/>
                <w:szCs w:val="24"/>
              </w:rPr>
            </w:pPr>
            <w:r w:rsidRPr="00844C8B">
              <w:rPr>
                <w:rFonts w:hint="eastAsia"/>
                <w:color w:val="000000"/>
                <w:sz w:val="24"/>
                <w:szCs w:val="24"/>
              </w:rPr>
              <w:t>陳芳明，《臺灣新文學史</w:t>
            </w:r>
            <w:r w:rsidRPr="00844C8B">
              <w:rPr>
                <w:rFonts w:hint="eastAsia"/>
                <w:color w:val="000000"/>
                <w:sz w:val="24"/>
                <w:szCs w:val="24"/>
              </w:rPr>
              <w:t>(</w:t>
            </w:r>
            <w:r w:rsidRPr="00844C8B">
              <w:rPr>
                <w:rFonts w:hint="eastAsia"/>
                <w:color w:val="000000"/>
                <w:sz w:val="24"/>
                <w:szCs w:val="24"/>
              </w:rPr>
              <w:t>上下冊</w:t>
            </w:r>
            <w:r w:rsidRPr="00844C8B">
              <w:rPr>
                <w:rFonts w:hint="eastAsia"/>
                <w:color w:val="000000"/>
                <w:sz w:val="24"/>
                <w:szCs w:val="24"/>
              </w:rPr>
              <w:t>)</w:t>
            </w:r>
            <w:r w:rsidRPr="00844C8B">
              <w:rPr>
                <w:rFonts w:hint="eastAsia"/>
                <w:color w:val="000000"/>
                <w:sz w:val="24"/>
                <w:szCs w:val="24"/>
              </w:rPr>
              <w:t>》，</w:t>
            </w:r>
            <w:proofErr w:type="gramStart"/>
            <w:r w:rsidRPr="00844C8B">
              <w:rPr>
                <w:rFonts w:hint="eastAsia"/>
                <w:color w:val="000000"/>
                <w:sz w:val="24"/>
                <w:szCs w:val="24"/>
              </w:rPr>
              <w:t>臺</w:t>
            </w:r>
            <w:proofErr w:type="gramEnd"/>
            <w:r w:rsidRPr="00844C8B">
              <w:rPr>
                <w:rFonts w:hint="eastAsia"/>
                <w:color w:val="000000"/>
                <w:sz w:val="24"/>
                <w:szCs w:val="24"/>
              </w:rPr>
              <w:t>北：聯經出版社，</w:t>
            </w:r>
            <w:r w:rsidRPr="00844C8B">
              <w:rPr>
                <w:rFonts w:hint="eastAsia"/>
                <w:color w:val="000000"/>
                <w:sz w:val="24"/>
                <w:szCs w:val="24"/>
              </w:rPr>
              <w:t>2011</w:t>
            </w:r>
            <w:r w:rsidRPr="00844C8B"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:rsidR="00B57637" w:rsidRPr="00B57637" w:rsidRDefault="00B57637" w:rsidP="00257B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華康楷書體W5" w:eastAsia="華康楷書體W5" w:hAnsi="華康楷書體W5" w:cs="華康楷書體W5"/>
                <w:color w:val="000000"/>
                <w:sz w:val="24"/>
                <w:szCs w:val="24"/>
              </w:rPr>
            </w:pPr>
            <w:proofErr w:type="gramStart"/>
            <w:r w:rsidRPr="00937827">
              <w:rPr>
                <w:rFonts w:hint="eastAsia"/>
                <w:color w:val="000000"/>
                <w:sz w:val="24"/>
                <w:szCs w:val="24"/>
              </w:rPr>
              <w:t>廿</w:t>
            </w:r>
            <w:proofErr w:type="gramEnd"/>
            <w:r w:rsidRPr="00937827">
              <w:rPr>
                <w:rFonts w:hint="eastAsia"/>
                <w:color w:val="000000"/>
                <w:sz w:val="24"/>
                <w:szCs w:val="24"/>
              </w:rPr>
              <w:t>十一世紀基金會主編，《台灣人的文化觀》，台北：中華徵信所，</w:t>
            </w:r>
            <w:r w:rsidRPr="00937827">
              <w:rPr>
                <w:rFonts w:hint="eastAsia"/>
                <w:color w:val="000000"/>
                <w:sz w:val="24"/>
                <w:szCs w:val="24"/>
              </w:rPr>
              <w:t>1998</w:t>
            </w:r>
            <w:r w:rsidRPr="00937827">
              <w:rPr>
                <w:rFonts w:hint="eastAsia"/>
                <w:color w:val="000000"/>
                <w:sz w:val="24"/>
                <w:szCs w:val="24"/>
              </w:rPr>
              <w:t>年。</w:t>
            </w:r>
          </w:p>
          <w:p w:rsidR="00B57637" w:rsidRDefault="00327716" w:rsidP="00257B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華康楷書體W5" w:eastAsia="華康楷書體W5" w:hAnsi="華康楷書體W5" w:cs="華康楷書體W5"/>
                <w:color w:val="000000"/>
                <w:sz w:val="24"/>
                <w:szCs w:val="24"/>
              </w:rPr>
            </w:pPr>
            <w:r>
              <w:rPr>
                <w:rFonts w:ascii="華康楷書體W5" w:hAnsi="華康楷書體W5" w:cs="華康楷書體W5" w:hint="eastAsia"/>
                <w:sz w:val="24"/>
                <w:szCs w:val="24"/>
              </w:rPr>
              <w:t>王振寰、瞿海源主編，《社會學與臺灣社會》。</w:t>
            </w:r>
            <w:proofErr w:type="gramStart"/>
            <w:r>
              <w:rPr>
                <w:rFonts w:ascii="華康楷書體W5" w:hAnsi="華康楷書體W5" w:cs="華康楷書體W5" w:hint="eastAsia"/>
                <w:sz w:val="24"/>
                <w:szCs w:val="24"/>
              </w:rPr>
              <w:t>臺</w:t>
            </w:r>
            <w:proofErr w:type="gramEnd"/>
            <w:r>
              <w:rPr>
                <w:rFonts w:ascii="華康楷書體W5" w:hAnsi="華康楷書體W5" w:cs="華康楷書體W5" w:hint="eastAsia"/>
                <w:sz w:val="24"/>
                <w:szCs w:val="24"/>
              </w:rPr>
              <w:t>北</w:t>
            </w:r>
            <w:r w:rsidR="00B57637" w:rsidRPr="00BB461B">
              <w:rPr>
                <w:rFonts w:ascii="華康楷書體W5" w:hAnsi="華康楷書體W5" w:cs="華康楷書體W5" w:hint="eastAsia"/>
                <w:sz w:val="24"/>
                <w:szCs w:val="24"/>
              </w:rPr>
              <w:t>：巨流。</w:t>
            </w:r>
            <w:r w:rsidR="00B57637">
              <w:rPr>
                <w:rFonts w:ascii="華康楷書體W5" w:hAnsi="華康楷書體W5" w:cs="華康楷書體W5" w:hint="eastAsia"/>
                <w:sz w:val="24"/>
                <w:szCs w:val="24"/>
              </w:rPr>
              <w:t>2009</w:t>
            </w:r>
            <w:r w:rsidR="00B57637">
              <w:rPr>
                <w:rFonts w:ascii="華康楷書體W5" w:hAnsi="華康楷書體W5" w:cs="華康楷書體W5" w:hint="eastAsia"/>
                <w:sz w:val="24"/>
                <w:szCs w:val="24"/>
              </w:rPr>
              <w:t>。</w:t>
            </w:r>
          </w:p>
          <w:p w:rsidR="00AE7515" w:rsidRDefault="009F3A28" w:rsidP="00E10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（</w:t>
            </w: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請尊重智慧財產權，不得非法影印教師指定之教科書籍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）</w:t>
            </w:r>
          </w:p>
        </w:tc>
      </w:tr>
      <w:tr w:rsidR="00AE7515" w:rsidTr="00EB618A">
        <w:trPr>
          <w:trHeight w:val="1100"/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lastRenderedPageBreak/>
              <w:t>核心能力指標設定</w:t>
            </w:r>
          </w:p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(本課程能培養學生此項核心能力者請打</w:t>
            </w:r>
            <w:proofErr w:type="gramStart"/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ˇ</w:t>
            </w:r>
            <w:proofErr w:type="gramEnd"/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，可複選，學士班課程請勾選學士班核心能力指標，</w:t>
            </w:r>
            <w:proofErr w:type="gramStart"/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碩博合</w:t>
            </w:r>
            <w:proofErr w:type="gramEnd"/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開課程請同時勾選碩士班及博士班核心能力指標</w:t>
            </w:r>
            <w:proofErr w:type="gramStart"/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Pr="004742BA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碩士班</w:t>
            </w:r>
          </w:p>
          <w:p w:rsidR="00AE7515" w:rsidRPr="004742BA" w:rsidRDefault="00434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jc w:val="both"/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□ </w:t>
            </w:r>
            <w:r w:rsidR="009F3A28"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 1.具備史學領域之專業知識</w:t>
            </w:r>
          </w:p>
          <w:p w:rsidR="00AE7515" w:rsidRPr="004742BA" w:rsidRDefault="0043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r w:rsidRPr="004742BA">
              <w:rPr>
                <w:rFonts w:asciiTheme="majorEastAsia" w:eastAsiaTheme="majorEastAsia" w:hAnsiTheme="majorEastAsia"/>
                <w:noProof/>
                <w:color w:val="000000"/>
                <w:sz w:val="24"/>
                <w:szCs w:val="24"/>
              </w:rPr>
              <w:t>■</w:t>
            </w:r>
            <w:r w:rsidR="009F3A28"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 2.具備獨立思考、理解、分析、研究及解決史學問題的基本能力</w:t>
            </w:r>
          </w:p>
          <w:p w:rsidR="00AE7515" w:rsidRPr="004742BA" w:rsidRDefault="009F3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□ 3.具備優秀學術論文寫作、答辯的能力。</w:t>
            </w:r>
          </w:p>
          <w:p w:rsidR="00AE7515" w:rsidRPr="004742BA" w:rsidRDefault="0043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r w:rsidRPr="004742BA">
              <w:rPr>
                <w:rFonts w:asciiTheme="majorEastAsia" w:eastAsiaTheme="majorEastAsia" w:hAnsiTheme="majorEastAsia"/>
                <w:noProof/>
                <w:color w:val="000000"/>
                <w:sz w:val="24"/>
                <w:szCs w:val="24"/>
              </w:rPr>
              <w:t>■</w:t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 </w:t>
            </w:r>
            <w:r w:rsidR="009F3A28"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4.培養自我持續學習的能力</w:t>
            </w:r>
          </w:p>
          <w:p w:rsidR="00AE7515" w:rsidRPr="004742BA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博士班</w:t>
            </w:r>
          </w:p>
          <w:p w:rsidR="00AE7515" w:rsidRPr="004742BA" w:rsidRDefault="0043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r w:rsidRPr="004742BA">
              <w:rPr>
                <w:rFonts w:asciiTheme="majorEastAsia" w:eastAsiaTheme="majorEastAsia" w:hAnsiTheme="majorEastAsia"/>
                <w:noProof/>
                <w:color w:val="000000"/>
                <w:sz w:val="24"/>
                <w:szCs w:val="24"/>
              </w:rPr>
              <w:t>■</w:t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 </w:t>
            </w:r>
            <w:r w:rsidR="009F3A28"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 1.具備史學之獨立設計研究問題及解決問題的能力</w:t>
            </w:r>
          </w:p>
          <w:p w:rsidR="00AE7515" w:rsidRPr="004742BA" w:rsidRDefault="009F3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□ 2.具備中國中古史、明清史、</w:t>
            </w:r>
            <w:proofErr w:type="gramStart"/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台灣史或某一</w:t>
            </w:r>
            <w:proofErr w:type="gramEnd"/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領域之獨立研究能力</w:t>
            </w:r>
          </w:p>
          <w:p w:rsidR="00AE7515" w:rsidRPr="004742BA" w:rsidRDefault="009F3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□ 3.具備第二外國語解讀史學文獻的能力</w:t>
            </w:r>
          </w:p>
          <w:p w:rsidR="00AE7515" w:rsidRDefault="0043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color w:val="000000"/>
                <w:sz w:val="24"/>
                <w:szCs w:val="24"/>
              </w:rPr>
            </w:pPr>
            <w:r w:rsidRPr="004742BA">
              <w:rPr>
                <w:rFonts w:asciiTheme="majorEastAsia" w:eastAsiaTheme="majorEastAsia" w:hAnsiTheme="majorEastAsia"/>
                <w:noProof/>
                <w:color w:val="000000"/>
                <w:sz w:val="24"/>
                <w:szCs w:val="24"/>
              </w:rPr>
              <w:t>■</w:t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 </w:t>
            </w:r>
            <w:r w:rsidR="009F3A28"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 4.具備至大專院校或學術研究單位從事教學、研究等工作能力</w:t>
            </w:r>
          </w:p>
        </w:tc>
      </w:tr>
    </w:tbl>
    <w:tbl>
      <w:tblPr>
        <w:tblStyle w:val="20"/>
        <w:tblW w:w="987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75"/>
      </w:tblGrid>
      <w:tr w:rsidR="00AE7515" w:rsidTr="00EB618A">
        <w:trPr>
          <w:trHeight w:val="360"/>
          <w:jc w:val="center"/>
        </w:trPr>
        <w:tc>
          <w:tcPr>
            <w:tcW w:w="9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 xml:space="preserve">教學要點概述： </w:t>
            </w:r>
          </w:p>
        </w:tc>
      </w:tr>
      <w:tr w:rsidR="00AE7515" w:rsidTr="00EB618A">
        <w:trPr>
          <w:trHeight w:val="357"/>
          <w:jc w:val="center"/>
        </w:trPr>
        <w:tc>
          <w:tcPr>
            <w:tcW w:w="9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Pr="004742BA" w:rsidRDefault="009F3A28" w:rsidP="00775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1. </w:t>
            </w:r>
            <w:r w:rsidRPr="004742BA">
              <w:rPr>
                <w:rFonts w:asciiTheme="majorEastAsia" w:eastAsiaTheme="majorEastAsia" w:hAnsiTheme="majorEastAsia" w:cs="新細明體" w:hint="eastAsia"/>
                <w:color w:val="000000"/>
                <w:sz w:val="24"/>
                <w:szCs w:val="24"/>
              </w:rPr>
              <w:t>教材編選：</w:t>
            </w:r>
            <w:r w:rsidR="00775569" w:rsidRPr="004742BA">
              <w:rPr>
                <w:rFonts w:asciiTheme="majorEastAsia" w:eastAsiaTheme="majorEastAsia" w:hAnsiTheme="majorEastAsia"/>
                <w:noProof/>
                <w:color w:val="000000"/>
                <w:sz w:val="24"/>
                <w:szCs w:val="24"/>
              </w:rPr>
              <w:t>■</w:t>
            </w:r>
            <w:r w:rsidRPr="004742BA">
              <w:rPr>
                <w:rFonts w:asciiTheme="majorEastAsia" w:eastAsiaTheme="majorEastAsia" w:hAnsiTheme="majorEastAsia" w:cs="新細明體" w:hint="eastAsia"/>
                <w:color w:val="000000"/>
                <w:sz w:val="24"/>
                <w:szCs w:val="24"/>
              </w:rPr>
              <w:t>自編教材</w:t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 </w:t>
            </w:r>
            <w:r w:rsidRPr="004742BA">
              <w:rPr>
                <w:rFonts w:asciiTheme="majorEastAsia" w:eastAsiaTheme="majorEastAsia" w:hAnsiTheme="majorEastAsia" w:cs="PMingLiU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09AA7356" wp14:editId="6B174D15">
                  <wp:extent cx="203200" cy="1651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742BA">
              <w:rPr>
                <w:rFonts w:asciiTheme="majorEastAsia" w:eastAsiaTheme="majorEastAsia" w:hAnsiTheme="majorEastAsia" w:cs="新細明體" w:hint="eastAsia"/>
                <w:color w:val="000000"/>
                <w:sz w:val="24"/>
                <w:szCs w:val="24"/>
              </w:rPr>
              <w:t>教科書作者提供</w:t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 </w:t>
            </w:r>
          </w:p>
        </w:tc>
      </w:tr>
      <w:tr w:rsidR="00AE7515" w:rsidTr="00EB618A">
        <w:trPr>
          <w:trHeight w:val="610"/>
          <w:jc w:val="center"/>
        </w:trPr>
        <w:tc>
          <w:tcPr>
            <w:tcW w:w="9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Pr="004742BA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2. 教學方法：</w:t>
            </w:r>
            <w:r w:rsidR="00E10E84" w:rsidRPr="004742BA">
              <w:rPr>
                <w:rFonts w:asciiTheme="majorEastAsia" w:eastAsiaTheme="majorEastAsia" w:hAnsiTheme="majorEastAsia"/>
                <w:noProof/>
                <w:color w:val="000000"/>
                <w:sz w:val="24"/>
                <w:szCs w:val="24"/>
              </w:rPr>
              <w:t>■</w:t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投影片講述</w:t>
            </w:r>
            <w:r w:rsidR="00E10E84" w:rsidRPr="004742BA">
              <w:rPr>
                <w:rFonts w:asciiTheme="majorEastAsia" w:eastAsiaTheme="majorEastAsia" w:hAnsiTheme="majorEastAsia"/>
                <w:noProof/>
                <w:color w:val="000000"/>
                <w:sz w:val="24"/>
                <w:szCs w:val="24"/>
              </w:rPr>
              <w:t>■</w:t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板書講述 </w:t>
            </w:r>
          </w:p>
        </w:tc>
      </w:tr>
      <w:tr w:rsidR="00AE7515" w:rsidTr="00EB618A">
        <w:trPr>
          <w:trHeight w:val="880"/>
          <w:jc w:val="center"/>
        </w:trPr>
        <w:tc>
          <w:tcPr>
            <w:tcW w:w="9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Pr="004742BA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bookmarkStart w:id="2" w:name="_1fob9te" w:colFirst="0" w:colLast="0"/>
            <w:bookmarkEnd w:id="2"/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3. 評量方法：</w:t>
            </w:r>
            <w:r w:rsidR="004742BA">
              <w:rPr>
                <w:rFonts w:asciiTheme="majorEastAsia" w:eastAsiaTheme="majorEastAsia" w:hAnsiTheme="majorEastAsia" w:cs="PMingLiU" w:hint="eastAsia"/>
                <w:color w:val="000000"/>
                <w:sz w:val="24"/>
                <w:szCs w:val="24"/>
              </w:rPr>
              <w:t xml:space="preserve">  </w:t>
            </w:r>
            <w:r w:rsidR="00E10E84" w:rsidRPr="004742BA">
              <w:rPr>
                <w:rFonts w:asciiTheme="majorEastAsia" w:eastAsiaTheme="majorEastAsia" w:hAnsiTheme="majorEastAsia"/>
                <w:noProof/>
                <w:color w:val="000000"/>
                <w:sz w:val="24"/>
                <w:szCs w:val="24"/>
              </w:rPr>
              <w:t>■</w:t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上課點名 </w:t>
            </w:r>
            <w:r w:rsidR="00775569"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1</w:t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0%, </w:t>
            </w:r>
            <w:r w:rsidRPr="004742BA">
              <w:rPr>
                <w:rFonts w:asciiTheme="majorEastAsia" w:eastAsiaTheme="majorEastAsia" w:hAnsiTheme="majorEastAsia" w:cs="PMingLiU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1BCF87F1" wp14:editId="039EF0EF">
                  <wp:extent cx="203200" cy="16510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小考 0%,  </w:t>
            </w:r>
            <w:r w:rsidRPr="004742BA">
              <w:rPr>
                <w:rFonts w:asciiTheme="majorEastAsia" w:eastAsiaTheme="majorEastAsia" w:hAnsiTheme="majorEastAsia" w:cs="PMingLiU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038DC623" wp14:editId="70F6E0DD">
                  <wp:extent cx="203200" cy="1651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作業 0%, </w:t>
            </w:r>
            <w:r w:rsidRPr="004742BA">
              <w:rPr>
                <w:rFonts w:asciiTheme="majorEastAsia" w:eastAsiaTheme="majorEastAsia" w:hAnsiTheme="majorEastAsia" w:cs="PMingLiU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4A1D684F" wp14:editId="6537796F">
                  <wp:extent cx="203200" cy="165100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程式實作 0%, </w:t>
            </w:r>
          </w:p>
          <w:p w:rsidR="00AE7515" w:rsidRPr="004742BA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560"/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bookmarkStart w:id="3" w:name="_3znysh7" w:colFirst="0" w:colLast="0"/>
            <w:bookmarkEnd w:id="3"/>
            <w:r w:rsidRPr="004742BA">
              <w:rPr>
                <w:rFonts w:asciiTheme="majorEastAsia" w:eastAsiaTheme="majorEastAsia" w:hAnsiTheme="majorEastAsia" w:cs="PMingLiU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1C3A9641" wp14:editId="0EA309EB">
                  <wp:extent cx="203200" cy="16510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實習報告 0%,</w:t>
            </w:r>
            <w:r w:rsidR="00775569"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   </w:t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 </w:t>
            </w:r>
            <w:r w:rsidRPr="004742BA">
              <w:rPr>
                <w:rFonts w:asciiTheme="majorEastAsia" w:eastAsiaTheme="majorEastAsia" w:hAnsiTheme="majorEastAsia" w:cs="PMingLiU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1FC028BB" wp14:editId="29E755CB">
                  <wp:extent cx="203200" cy="165100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專案 0%, </w:t>
            </w:r>
            <w:r w:rsidRPr="004742BA">
              <w:rPr>
                <w:rFonts w:asciiTheme="majorEastAsia" w:eastAsiaTheme="majorEastAsia" w:hAnsiTheme="majorEastAsia" w:cs="PMingLiU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2AD307A4" wp14:editId="7CD8EF92">
                  <wp:extent cx="203200" cy="16510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期中考%, </w:t>
            </w:r>
            <w:r w:rsidRPr="004742BA">
              <w:rPr>
                <w:rFonts w:asciiTheme="majorEastAsia" w:eastAsiaTheme="majorEastAsia" w:hAnsiTheme="majorEastAsia" w:cs="PMingLiU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296BC1CE" wp14:editId="25F6C8CA">
                  <wp:extent cx="203200" cy="165100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期末考0%, </w:t>
            </w:r>
          </w:p>
          <w:p w:rsidR="00AE7515" w:rsidRPr="004742BA" w:rsidRDefault="009F3A28" w:rsidP="00775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</w:pPr>
            <w:bookmarkStart w:id="4" w:name="_2et92p0" w:colFirst="0" w:colLast="0"/>
            <w:bookmarkEnd w:id="4"/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              </w:t>
            </w:r>
            <w:r w:rsidR="00E10E84" w:rsidRPr="004742BA">
              <w:rPr>
                <w:rFonts w:asciiTheme="majorEastAsia" w:eastAsiaTheme="majorEastAsia" w:hAnsiTheme="majorEastAsia" w:cs="PMingLiU" w:hint="eastAsia"/>
                <w:color w:val="000000"/>
                <w:sz w:val="24"/>
                <w:szCs w:val="24"/>
              </w:rPr>
              <w:t xml:space="preserve">     </w:t>
            </w:r>
            <w:r w:rsidR="004742BA">
              <w:rPr>
                <w:rFonts w:asciiTheme="majorEastAsia" w:eastAsiaTheme="majorEastAsia" w:hAnsiTheme="majorEastAsia" w:cs="PMingLiU" w:hint="eastAsia"/>
                <w:color w:val="000000"/>
                <w:sz w:val="24"/>
                <w:szCs w:val="24"/>
              </w:rPr>
              <w:t xml:space="preserve">  </w:t>
            </w:r>
            <w:r w:rsidR="00E10E84" w:rsidRPr="004742BA">
              <w:rPr>
                <w:rFonts w:asciiTheme="majorEastAsia" w:eastAsiaTheme="majorEastAsia" w:hAnsiTheme="majorEastAsia" w:cs="PMingLiU" w:hint="eastAsia"/>
                <w:color w:val="000000"/>
                <w:sz w:val="24"/>
                <w:szCs w:val="24"/>
              </w:rPr>
              <w:t xml:space="preserve">    </w:t>
            </w:r>
            <w:r w:rsidR="00E10E84" w:rsidRPr="004742BA">
              <w:rPr>
                <w:rFonts w:asciiTheme="majorEastAsia" w:eastAsiaTheme="majorEastAsia" w:hAnsiTheme="majorEastAsia"/>
                <w:noProof/>
                <w:color w:val="000000"/>
                <w:sz w:val="24"/>
                <w:szCs w:val="24"/>
              </w:rPr>
              <w:t>■</w:t>
            </w:r>
            <w:r w:rsidRPr="004742BA">
              <w:rPr>
                <w:rFonts w:asciiTheme="majorEastAsia" w:eastAsiaTheme="majorEastAsia" w:hAnsiTheme="majorEastAsia" w:cs="新細明體" w:hint="eastAsia"/>
                <w:color w:val="000000"/>
                <w:sz w:val="24"/>
                <w:szCs w:val="24"/>
              </w:rPr>
              <w:t>期末報告</w:t>
            </w:r>
            <w:r w:rsidR="00775569" w:rsidRPr="004742BA">
              <w:rPr>
                <w:rFonts w:asciiTheme="majorEastAsia" w:eastAsiaTheme="majorEastAsia" w:hAnsiTheme="majorEastAsia" w:cs="新細明體" w:hint="eastAsia"/>
                <w:color w:val="000000"/>
                <w:sz w:val="24"/>
                <w:szCs w:val="24"/>
              </w:rPr>
              <w:t>5</w:t>
            </w:r>
            <w:r w:rsidR="00775569"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0</w:t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%,  </w:t>
            </w:r>
            <w:r w:rsidR="00E10E84" w:rsidRPr="004742BA">
              <w:rPr>
                <w:rFonts w:asciiTheme="majorEastAsia" w:eastAsiaTheme="majorEastAsia" w:hAnsiTheme="majorEastAsia"/>
                <w:noProof/>
                <w:color w:val="000000"/>
                <w:sz w:val="24"/>
                <w:szCs w:val="24"/>
              </w:rPr>
              <w:t>■</w:t>
            </w:r>
            <w:r w:rsidRPr="004742BA">
              <w:rPr>
                <w:rFonts w:asciiTheme="majorEastAsia" w:eastAsiaTheme="majorEastAsia" w:hAnsiTheme="majorEastAsia" w:cs="新細明體" w:hint="eastAsia"/>
                <w:color w:val="000000"/>
                <w:sz w:val="24"/>
                <w:szCs w:val="24"/>
              </w:rPr>
              <w:t>上課討論狀況</w:t>
            </w:r>
            <w:r w:rsidR="00775569"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 xml:space="preserve"> </w:t>
            </w:r>
            <w:r w:rsidR="00775569" w:rsidRPr="004742BA">
              <w:rPr>
                <w:rFonts w:asciiTheme="majorEastAsia" w:eastAsiaTheme="majorEastAsia" w:hAnsiTheme="majorEastAsia" w:cs="PMingLiU" w:hint="eastAsia"/>
                <w:color w:val="000000"/>
                <w:sz w:val="24"/>
                <w:szCs w:val="24"/>
              </w:rPr>
              <w:t>（含導讀）</w:t>
            </w:r>
            <w:r w:rsidR="00775569"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40</w:t>
            </w:r>
            <w:r w:rsidRPr="004742BA">
              <w:rPr>
                <w:rFonts w:asciiTheme="majorEastAsia" w:eastAsiaTheme="majorEastAsia" w:hAnsiTheme="majorEastAsia" w:cs="PMingLiU"/>
                <w:color w:val="000000"/>
                <w:sz w:val="24"/>
                <w:szCs w:val="24"/>
              </w:rPr>
              <w:t>%</w:t>
            </w:r>
          </w:p>
        </w:tc>
      </w:tr>
      <w:tr w:rsidR="00AE7515" w:rsidTr="00EB618A">
        <w:trPr>
          <w:trHeight w:val="538"/>
          <w:jc w:val="center"/>
        </w:trPr>
        <w:tc>
          <w:tcPr>
            <w:tcW w:w="9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bookmarkStart w:id="5" w:name="_tyjcwt" w:colFirst="0" w:colLast="0"/>
            <w:bookmarkEnd w:id="5"/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4. 教學資源：</w:t>
            </w:r>
            <w:r>
              <w:rPr>
                <w:rFonts w:ascii="PMingLiU" w:eastAsia="PMingLiU" w:hAnsi="PMingLiU" w:cs="PMingLiU"/>
                <w:noProof/>
                <w:color w:val="000000"/>
                <w:sz w:val="24"/>
                <w:szCs w:val="24"/>
              </w:rPr>
              <w:drawing>
                <wp:inline distT="0" distB="0" distL="114300" distR="114300">
                  <wp:extent cx="203200" cy="165100"/>
                  <wp:effectExtent l="0" t="0" r="0" b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課程網站</w:t>
            </w:r>
            <w:r w:rsidR="00E10E84" w:rsidRPr="00E10E84">
              <w:rPr>
                <w:rFonts w:eastAsia="PMingLiU"/>
                <w:noProof/>
                <w:color w:val="000000"/>
                <w:sz w:val="32"/>
                <w:szCs w:val="32"/>
              </w:rPr>
              <w:t>■</w:t>
            </w: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 xml:space="preserve">教材電子檔供下載 </w:t>
            </w:r>
            <w:r>
              <w:rPr>
                <w:rFonts w:ascii="PMingLiU" w:eastAsia="PMingLiU" w:hAnsi="PMingLiU" w:cs="PMingLiU"/>
                <w:noProof/>
                <w:color w:val="000000"/>
                <w:sz w:val="24"/>
                <w:szCs w:val="24"/>
              </w:rPr>
              <w:drawing>
                <wp:inline distT="0" distB="0" distL="114300" distR="114300">
                  <wp:extent cx="203200" cy="165100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 xml:space="preserve">實習網站 </w:t>
            </w:r>
          </w:p>
        </w:tc>
      </w:tr>
      <w:tr w:rsidR="00AE7515" w:rsidTr="00EB618A">
        <w:trPr>
          <w:trHeight w:val="360"/>
          <w:jc w:val="center"/>
        </w:trPr>
        <w:tc>
          <w:tcPr>
            <w:tcW w:w="9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Pr="00E10E84" w:rsidRDefault="009F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 xml:space="preserve">5. 教學相關配合事項： </w:t>
            </w:r>
          </w:p>
        </w:tc>
      </w:tr>
    </w:tbl>
    <w:tbl>
      <w:tblPr>
        <w:tblStyle w:val="10"/>
        <w:tblW w:w="994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45"/>
      </w:tblGrid>
      <w:tr w:rsidR="00AE7515" w:rsidTr="00EB618A">
        <w:trPr>
          <w:trHeight w:val="360"/>
          <w:jc w:val="center"/>
        </w:trPr>
        <w:tc>
          <w:tcPr>
            <w:tcW w:w="9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15" w:rsidRDefault="008E7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br w:type="page"/>
            </w:r>
            <w:r w:rsidR="009F3A28"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課程進度：（須含每週課程進度說明）</w:t>
            </w:r>
          </w:p>
        </w:tc>
      </w:tr>
      <w:tr w:rsidR="00AE7515" w:rsidTr="00EB618A">
        <w:trPr>
          <w:trHeight w:val="5400"/>
          <w:jc w:val="center"/>
        </w:trPr>
        <w:tc>
          <w:tcPr>
            <w:tcW w:w="9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第一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：課程介紹與導論</w:t>
            </w:r>
          </w:p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第二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594EC4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研究方法與文獻史料之介紹</w:t>
            </w:r>
          </w:p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第三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5C73D7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臺灣的藝文發展I文學</w:t>
            </w:r>
            <w:r w:rsidR="005C73D7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（1）：詩社、古典師與現代詩的發展</w:t>
            </w:r>
          </w:p>
          <w:p w:rsid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第四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5C73D7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臺灣的藝文發展I文學</w:t>
            </w:r>
            <w:r w:rsidR="005C73D7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（2）：類型小說的發展與出版</w:t>
            </w:r>
          </w:p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第五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5C73D7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臺灣的藝文發展II美術</w:t>
            </w:r>
            <w:r w:rsidR="005C73D7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（1）：</w:t>
            </w:r>
            <w:r w:rsidR="004B178F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傳統書畫</w:t>
            </w:r>
            <w:r w:rsidR="005C73D7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創作的延續</w:t>
            </w:r>
            <w:r w:rsidR="004B178F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與重生</w:t>
            </w:r>
          </w:p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第六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4B178F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臺灣的藝文發展II美術</w:t>
            </w:r>
            <w:r w:rsidR="004B178F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（2）：現代藝術的融入與發展</w:t>
            </w:r>
          </w:p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第七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4B178F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臺灣的藝文發展III音樂</w:t>
            </w:r>
            <w:r w:rsidR="004B178F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（1）：</w:t>
            </w:r>
            <w:r w:rsidR="00466962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歌頌中華到校園民歌</w:t>
            </w:r>
          </w:p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第八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4B178F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臺灣的藝文發展III音樂</w:t>
            </w:r>
            <w:r w:rsidR="004B178F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（2）：</w:t>
            </w:r>
            <w:r w:rsidR="00466962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解嚴後的流行音樂變遷</w:t>
            </w:r>
          </w:p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第九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6A21A1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臺灣的藝文發展IV電影</w:t>
            </w:r>
            <w:r w:rsidR="006A21A1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（1）：1949年到</w:t>
            </w:r>
            <w:proofErr w:type="gramStart"/>
            <w:r w:rsidR="006A21A1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1970</w:t>
            </w:r>
            <w:proofErr w:type="gramEnd"/>
            <w:r w:rsidR="006A21A1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年代</w:t>
            </w:r>
          </w:p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第十週：</w:t>
            </w:r>
            <w:r w:rsidR="006A21A1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臺灣的藝文發展IV電影</w:t>
            </w:r>
            <w:r w:rsidR="006A21A1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（2）：1</w:t>
            </w:r>
            <w:r w:rsidR="006A21A1">
              <w:rPr>
                <w:rFonts w:asciiTheme="minorEastAsia" w:hAnsiTheme="minorEastAsia" w:cs="華康中明體"/>
                <w:color w:val="000000"/>
                <w:sz w:val="24"/>
                <w:szCs w:val="24"/>
              </w:rPr>
              <w:t>980</w:t>
            </w:r>
            <w:r w:rsidR="006A21A1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年代新浪潮電影及其後</w:t>
            </w:r>
          </w:p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第十一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4B178F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臺灣的藝文發展V戲曲、劇團</w:t>
            </w:r>
            <w:r w:rsidR="004B178F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（1）：中國與本土戲劇</w:t>
            </w:r>
          </w:p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第十二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4B178F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臺灣的藝文發展V戲曲、劇團</w:t>
            </w:r>
            <w:r w:rsidR="004B178F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（2）：野台戲到多元展演的變遷</w:t>
            </w:r>
          </w:p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第十三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4B178F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臺灣的藝文發展VI</w:t>
            </w:r>
            <w:r w:rsidR="00F07A51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漫畫：休閒與政治性</w:t>
            </w:r>
          </w:p>
          <w:p w:rsidR="00257B6D" w:rsidRPr="004B178F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第十四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F07A51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臺灣的藝文發展V</w:t>
            </w:r>
            <w:r w:rsidR="00AE41F7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II</w:t>
            </w:r>
            <w:r w:rsidR="00F07A51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其他工藝活動</w:t>
            </w:r>
          </w:p>
          <w:p w:rsidR="00257B6D" w:rsidRPr="00274B9E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第十五週：</w:t>
            </w:r>
            <w:r w:rsidR="00274B9E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飲食</w:t>
            </w:r>
            <w:r w:rsidR="00274B9E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與</w:t>
            </w:r>
            <w:r w:rsidR="00274B9E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服飾</w:t>
            </w:r>
            <w:r w:rsidR="00274B9E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文化</w:t>
            </w:r>
            <w:bookmarkStart w:id="6" w:name="_GoBack"/>
            <w:bookmarkEnd w:id="6"/>
          </w:p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第十六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274B9E">
              <w:rPr>
                <w:rFonts w:asciiTheme="minorEastAsia" w:hAnsiTheme="minorEastAsia" w:cs="華康中明體" w:hint="eastAsia"/>
                <w:color w:val="000000"/>
                <w:sz w:val="24"/>
                <w:szCs w:val="24"/>
              </w:rPr>
              <w:t>其他</w:t>
            </w:r>
            <w:r w:rsidR="00274B9E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休閒流行文化</w:t>
            </w:r>
          </w:p>
          <w:p w:rsidR="00257B6D" w:rsidRPr="00257B6D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eastAsia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第十七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</w:t>
            </w:r>
            <w:r w:rsidR="004B178F"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學期報告</w:t>
            </w:r>
          </w:p>
          <w:p w:rsidR="00AE7515" w:rsidRPr="005F241A" w:rsidRDefault="00257B6D" w:rsidP="0047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華康中明體" w:hAnsi="華康中明體" w:cs="華康中明體"/>
                <w:color w:val="000000"/>
                <w:sz w:val="24"/>
                <w:szCs w:val="24"/>
              </w:rPr>
            </w:pPr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第十八</w:t>
            </w:r>
            <w:proofErr w:type="gramStart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257B6D">
              <w:rPr>
                <w:rFonts w:ascii="華康中明體" w:eastAsia="華康中明體" w:hAnsi="華康中明體" w:cs="華康中明體" w:hint="eastAsia"/>
                <w:color w:val="000000"/>
                <w:sz w:val="24"/>
                <w:szCs w:val="24"/>
              </w:rPr>
              <w:t>：學期報告與期末綜合討論</w:t>
            </w:r>
          </w:p>
        </w:tc>
      </w:tr>
    </w:tbl>
    <w:p w:rsidR="00C52221" w:rsidRDefault="00C52221" w:rsidP="009B5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C52221" w:rsidSect="004742BA">
      <w:footerReference w:type="default" r:id="rId9"/>
      <w:pgSz w:w="11906" w:h="16838"/>
      <w:pgMar w:top="907" w:right="907" w:bottom="907" w:left="907" w:header="851" w:footer="99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1D" w:rsidRDefault="00771F1D">
      <w:r>
        <w:separator/>
      </w:r>
    </w:p>
  </w:endnote>
  <w:endnote w:type="continuationSeparator" w:id="0">
    <w:p w:rsidR="00771F1D" w:rsidRDefault="0077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515" w:rsidRDefault="009F3A2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4742BA">
      <w:rPr>
        <w:rFonts w:eastAsia="Times New Roman"/>
        <w:noProof/>
        <w:color w:val="000000"/>
      </w:rPr>
      <w:t>2</w:t>
    </w:r>
    <w:r>
      <w:rPr>
        <w:color w:val="000000"/>
      </w:rPr>
      <w:fldChar w:fldCharType="end"/>
    </w:r>
  </w:p>
  <w:p w:rsidR="00AE7515" w:rsidRDefault="00AE751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1D" w:rsidRDefault="00771F1D">
      <w:r>
        <w:separator/>
      </w:r>
    </w:p>
  </w:footnote>
  <w:footnote w:type="continuationSeparator" w:id="0">
    <w:p w:rsidR="00771F1D" w:rsidRDefault="00771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831.75pt;height:675.75pt;visibility:visible;mso-wrap-style:square" o:bullet="t">
        <v:imagedata r:id="rId1" o:title=""/>
      </v:shape>
    </w:pict>
  </w:numPicBullet>
  <w:abstractNum w:abstractNumId="0">
    <w:nsid w:val="251A223F"/>
    <w:multiLevelType w:val="multilevel"/>
    <w:tmpl w:val="E8AA47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>
    <w:nsid w:val="481F0525"/>
    <w:multiLevelType w:val="multilevel"/>
    <w:tmpl w:val="31D2C16A"/>
    <w:lvl w:ilvl="0">
      <w:start w:val="1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>
    <w:nsid w:val="5A01120A"/>
    <w:multiLevelType w:val="multilevel"/>
    <w:tmpl w:val="77EAB302"/>
    <w:lvl w:ilvl="0">
      <w:start w:val="1"/>
      <w:numFmt w:val="decimal"/>
      <w:lvlText w:val="%1."/>
      <w:lvlJc w:val="left"/>
      <w:pPr>
        <w:ind w:left="12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3">
    <w:nsid w:val="5A181C9F"/>
    <w:multiLevelType w:val="multilevel"/>
    <w:tmpl w:val="807A681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666666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C862363"/>
    <w:multiLevelType w:val="multilevel"/>
    <w:tmpl w:val="B12C5A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15"/>
    <w:rsid w:val="00093AA9"/>
    <w:rsid w:val="000C65CE"/>
    <w:rsid w:val="000D051D"/>
    <w:rsid w:val="000E2C92"/>
    <w:rsid w:val="00103E64"/>
    <w:rsid w:val="001069A5"/>
    <w:rsid w:val="00195245"/>
    <w:rsid w:val="00232E03"/>
    <w:rsid w:val="00257B6D"/>
    <w:rsid w:val="00274B9E"/>
    <w:rsid w:val="002A661D"/>
    <w:rsid w:val="002F13D3"/>
    <w:rsid w:val="00327716"/>
    <w:rsid w:val="00330862"/>
    <w:rsid w:val="003816C6"/>
    <w:rsid w:val="00397253"/>
    <w:rsid w:val="003C043F"/>
    <w:rsid w:val="003D5EF5"/>
    <w:rsid w:val="00434333"/>
    <w:rsid w:val="00436D87"/>
    <w:rsid w:val="00466962"/>
    <w:rsid w:val="004742BA"/>
    <w:rsid w:val="00475591"/>
    <w:rsid w:val="004B178F"/>
    <w:rsid w:val="004B4BBA"/>
    <w:rsid w:val="004B7702"/>
    <w:rsid w:val="00590711"/>
    <w:rsid w:val="00594EC4"/>
    <w:rsid w:val="005975E2"/>
    <w:rsid w:val="005C73D7"/>
    <w:rsid w:val="005F241A"/>
    <w:rsid w:val="006A21A1"/>
    <w:rsid w:val="006F3FC1"/>
    <w:rsid w:val="00706773"/>
    <w:rsid w:val="00771F1D"/>
    <w:rsid w:val="00775569"/>
    <w:rsid w:val="00856B83"/>
    <w:rsid w:val="00895926"/>
    <w:rsid w:val="008A62F4"/>
    <w:rsid w:val="008C591F"/>
    <w:rsid w:val="008E721B"/>
    <w:rsid w:val="008F38AB"/>
    <w:rsid w:val="00984582"/>
    <w:rsid w:val="009B5B52"/>
    <w:rsid w:val="009D4FF0"/>
    <w:rsid w:val="009F3A28"/>
    <w:rsid w:val="00A2633C"/>
    <w:rsid w:val="00A62E21"/>
    <w:rsid w:val="00A73C25"/>
    <w:rsid w:val="00AE41F7"/>
    <w:rsid w:val="00AE7515"/>
    <w:rsid w:val="00B26754"/>
    <w:rsid w:val="00B57637"/>
    <w:rsid w:val="00B60A8A"/>
    <w:rsid w:val="00B777B1"/>
    <w:rsid w:val="00BB2066"/>
    <w:rsid w:val="00BE293E"/>
    <w:rsid w:val="00BF51A6"/>
    <w:rsid w:val="00BF7B59"/>
    <w:rsid w:val="00C20C28"/>
    <w:rsid w:val="00C51768"/>
    <w:rsid w:val="00C52221"/>
    <w:rsid w:val="00DC6783"/>
    <w:rsid w:val="00DE2F04"/>
    <w:rsid w:val="00E10E84"/>
    <w:rsid w:val="00E511AB"/>
    <w:rsid w:val="00EB618A"/>
    <w:rsid w:val="00EE704C"/>
    <w:rsid w:val="00F07A51"/>
    <w:rsid w:val="00F16181"/>
    <w:rsid w:val="00F7707F"/>
    <w:rsid w:val="00F77A98"/>
    <w:rsid w:val="00F8009E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8A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5">
    <w:name w:val="header"/>
    <w:basedOn w:val="a"/>
    <w:link w:val="a6"/>
    <w:uiPriority w:val="99"/>
    <w:unhideWhenUsed/>
    <w:rsid w:val="00F8009E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F8009E"/>
  </w:style>
  <w:style w:type="paragraph" w:styleId="a7">
    <w:name w:val="footer"/>
    <w:basedOn w:val="a"/>
    <w:link w:val="a8"/>
    <w:uiPriority w:val="99"/>
    <w:unhideWhenUsed/>
    <w:rsid w:val="00F8009E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F8009E"/>
  </w:style>
  <w:style w:type="paragraph" w:styleId="a9">
    <w:name w:val="Balloon Text"/>
    <w:basedOn w:val="a"/>
    <w:link w:val="aa"/>
    <w:uiPriority w:val="99"/>
    <w:semiHidden/>
    <w:unhideWhenUsed/>
    <w:rsid w:val="00474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742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5">
    <w:name w:val="header"/>
    <w:basedOn w:val="a"/>
    <w:link w:val="a6"/>
    <w:uiPriority w:val="99"/>
    <w:unhideWhenUsed/>
    <w:rsid w:val="00F8009E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F8009E"/>
  </w:style>
  <w:style w:type="paragraph" w:styleId="a7">
    <w:name w:val="footer"/>
    <w:basedOn w:val="a"/>
    <w:link w:val="a8"/>
    <w:uiPriority w:val="99"/>
    <w:unhideWhenUsed/>
    <w:rsid w:val="00F8009E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F8009E"/>
  </w:style>
  <w:style w:type="paragraph" w:styleId="a9">
    <w:name w:val="Balloon Text"/>
    <w:basedOn w:val="a"/>
    <w:link w:val="aa"/>
    <w:uiPriority w:val="99"/>
    <w:semiHidden/>
    <w:unhideWhenUsed/>
    <w:rsid w:val="00474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74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evien wu</dc:creator>
  <cp:keywords/>
  <dc:description/>
  <cp:lastModifiedBy>admmhl</cp:lastModifiedBy>
  <cp:revision>18</cp:revision>
  <dcterms:created xsi:type="dcterms:W3CDTF">2020-05-09T16:36:00Z</dcterms:created>
  <dcterms:modified xsi:type="dcterms:W3CDTF">2020-05-15T02:24:00Z</dcterms:modified>
</cp:coreProperties>
</file>