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A4" w:rsidRDefault="003154A4">
      <w:pPr>
        <w:rPr>
          <w:rFonts w:eastAsia="標楷體"/>
        </w:rPr>
      </w:pPr>
    </w:p>
    <w:p w:rsidR="003154A4" w:rsidRPr="00572C78" w:rsidRDefault="003154A4" w:rsidP="003154A4">
      <w:pPr>
        <w:spacing w:line="0" w:lineRule="atLeast"/>
        <w:jc w:val="center"/>
        <w:rPr>
          <w:rFonts w:eastAsia="標楷體"/>
          <w:sz w:val="20"/>
          <w:szCs w:val="20"/>
        </w:rPr>
      </w:pPr>
      <w:r w:rsidRPr="00572C78">
        <w:rPr>
          <w:rFonts w:eastAsia="標楷體" w:hAnsi="標楷體"/>
          <w:sz w:val="36"/>
          <w:szCs w:val="36"/>
        </w:rPr>
        <w:t>國立中正大學中國文學系教學大綱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3154A4" w:rsidRPr="00572C78" w:rsidTr="00A20B70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  <w:b/>
                <w:bCs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572C78">
              <w:rPr>
                <w:rFonts w:eastAsia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572C78" w:rsidRDefault="003154A4" w:rsidP="009A69C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109</w:t>
            </w:r>
            <w:r w:rsidRPr="00572C78">
              <w:rPr>
                <w:rFonts w:eastAsia="標楷體" w:hAnsi="標楷體"/>
              </w:rPr>
              <w:t>學年度第</w:t>
            </w:r>
            <w:r w:rsidR="009A69CB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3154A4" w:rsidRPr="00572C78" w:rsidTr="00A20B70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06580E" w:rsidRDefault="003154A4" w:rsidP="009A69CB">
            <w:pPr>
              <w:jc w:val="center"/>
              <w:rPr>
                <w:rFonts w:eastAsia="標楷體"/>
                <w:bCs/>
              </w:rPr>
            </w:pPr>
            <w:r w:rsidRPr="0006580E">
              <w:rPr>
                <w:rFonts w:ascii="標楷體" w:eastAsia="標楷體" w:hint="eastAsia"/>
              </w:rPr>
              <w:t>六朝志怪小說</w:t>
            </w:r>
          </w:p>
        </w:tc>
      </w:tr>
      <w:tr w:rsidR="003154A4" w:rsidRPr="00572C78" w:rsidTr="00A20B70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4C5D51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1778F6">
              <w:rPr>
                <w:color w:val="000000"/>
              </w:rPr>
              <w:t xml:space="preserve"> </w:t>
            </w:r>
            <w:r w:rsidRPr="001778F6">
              <w:rPr>
                <w:rFonts w:eastAsia="標楷體"/>
              </w:rPr>
              <w:t>Six</w:t>
            </w:r>
            <w:r w:rsidRPr="004C5D51">
              <w:rPr>
                <w:rFonts w:eastAsia="標楷體"/>
              </w:rPr>
              <w:t xml:space="preserve"> Dynasity Chih-kuai</w:t>
            </w:r>
          </w:p>
        </w:tc>
      </w:tr>
      <w:tr w:rsidR="003154A4" w:rsidRPr="00572C78" w:rsidTr="00A20B70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572C78" w:rsidRDefault="003154A4" w:rsidP="00206BE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206BEA">
              <w:rPr>
                <w:rFonts w:eastAsia="標楷體" w:hint="eastAsia"/>
              </w:rPr>
              <w:t>（學三）</w:t>
            </w:r>
          </w:p>
        </w:tc>
      </w:tr>
      <w:tr w:rsidR="003154A4" w:rsidRPr="00572C78" w:rsidTr="00A20B70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572C78">
              <w:rPr>
                <w:rFonts w:eastAsia="標楷體" w:hAnsi="標楷體"/>
              </w:rPr>
              <w:t>課堂上課</w:t>
            </w:r>
            <w:r w:rsidRPr="00572C78">
              <w:rPr>
                <w:rFonts w:eastAsia="標楷體"/>
              </w:rPr>
              <w:t xml:space="preserve">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網路教學</w:t>
            </w:r>
            <w:r w:rsidRPr="00572C78">
              <w:rPr>
                <w:rFonts w:eastAsia="標楷體"/>
              </w:rPr>
              <w:t xml:space="preserve"> 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其他</w:t>
            </w:r>
            <w:r w:rsidRPr="00572C78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3154A4" w:rsidRPr="00572C78" w:rsidTr="00A20B70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Default="003154A4" w:rsidP="00A20B70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5C3557" w:rsidRDefault="003154A4" w:rsidP="00A20B70">
            <w:pPr>
              <w:pStyle w:val="a5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無。</w:t>
            </w:r>
          </w:p>
        </w:tc>
      </w:tr>
      <w:tr w:rsidR="003154A4" w:rsidRPr="00572C78" w:rsidTr="00A20B70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0D2B22" w:rsidRDefault="003154A4" w:rsidP="00A20B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六朝志怪小說上承神話，下啟唐代小說，居於中國小說之樞鈕地位。本課程旨在講授該文類外在形式特點，並針對相關故事之內容解說，理解文本之內在意義，及其與後世小說之關連性。</w:t>
            </w:r>
          </w:p>
        </w:tc>
      </w:tr>
      <w:tr w:rsidR="003154A4" w:rsidRPr="00572C78" w:rsidTr="00A20B70">
        <w:trPr>
          <w:trHeight w:val="74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2135A8" w:rsidRDefault="003154A4" w:rsidP="00A20B70">
            <w:pPr>
              <w:widowControl/>
              <w:rPr>
                <w:rFonts w:ascii="標楷體" w:eastAsia="標楷體" w:hAnsi="標楷體"/>
                <w:color w:val="339966"/>
              </w:rPr>
            </w:pPr>
            <w:r>
              <w:rPr>
                <w:rFonts w:ascii="標楷體" w:eastAsia="標楷體" w:hint="eastAsia"/>
              </w:rPr>
              <w:t>此一課程，旨在通過「六朝志怪小說」這一文類之多方面向的檢討，使學者能夠清楚明白，中國古典小說之某一特殊類型之成書特性，及存在其中之意涵與其不足之處；並透過故事內容與情節之分析，使學者明白該文類在語言、文字上的若干特性，和創作者在創作過成中的某些得失與隱藏性之時代想法，並得以藉此所建立之視野，去閱讀其他中國之小說名著。</w:t>
            </w:r>
          </w:p>
        </w:tc>
      </w:tr>
      <w:tr w:rsidR="003154A4" w:rsidRPr="00572C78" w:rsidTr="00A20B70">
        <w:trPr>
          <w:trHeight w:val="124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8A634E" w:rsidRDefault="003154A4" w:rsidP="00A20B70">
            <w:pPr>
              <w:pStyle w:val="a5"/>
              <w:spacing w:line="240" w:lineRule="auto"/>
              <w:outlineLvl w:val="1"/>
              <w:rPr>
                <w:rFonts w:ascii="標楷體" w:eastAsia="標楷體" w:hAnsi="標楷體"/>
                <w:sz w:val="24"/>
                <w:szCs w:val="24"/>
              </w:rPr>
            </w:pPr>
            <w:r w:rsidRPr="008A634E">
              <w:rPr>
                <w:rFonts w:ascii="標楷體" w:eastAsia="標楷體" w:hAnsi="標楷體"/>
                <w:sz w:val="24"/>
                <w:szCs w:val="24"/>
              </w:rPr>
              <w:t>預定每週教學進度及內容</w:t>
            </w:r>
            <w:r>
              <w:rPr>
                <w:rFonts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 w:hAnsi="標楷體" w:hint="eastAsia"/>
                <w:sz w:val="24"/>
                <w:szCs w:val="24"/>
              </w:rPr>
              <w:t>上課時間及地點：週二</w:t>
            </w:r>
            <w:r w:rsidR="009A69CB">
              <w:rPr>
                <w:rFonts w:eastAsia="標楷體" w:hAnsi="標楷體" w:hint="eastAsia"/>
                <w:sz w:val="24"/>
                <w:szCs w:val="24"/>
              </w:rPr>
              <w:t>1</w:t>
            </w:r>
            <w:r w:rsidRPr="00CF23A3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eastAsia="標楷體" w:hAnsi="標楷體" w:hint="eastAsia"/>
                <w:sz w:val="24"/>
                <w:szCs w:val="24"/>
              </w:rPr>
              <w:t>10</w:t>
            </w:r>
            <w:r>
              <w:rPr>
                <w:rFonts w:eastAsia="標楷體" w:hAnsi="標楷體" w:hint="eastAsia"/>
                <w:sz w:val="24"/>
                <w:szCs w:val="24"/>
              </w:rPr>
              <w:t>至</w:t>
            </w:r>
            <w:r>
              <w:rPr>
                <w:rFonts w:eastAsia="標楷體" w:hAnsi="標楷體" w:hint="eastAsia"/>
                <w:sz w:val="24"/>
                <w:szCs w:val="24"/>
              </w:rPr>
              <w:t>1</w:t>
            </w:r>
            <w:r w:rsidR="009A69CB">
              <w:rPr>
                <w:rFonts w:eastAsia="標楷體" w:hAnsi="標楷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eastAsia="標楷體" w:hAnsi="標楷體" w:hint="eastAsia"/>
                <w:sz w:val="24"/>
                <w:szCs w:val="24"/>
              </w:rPr>
              <w:t>0</w:t>
            </w:r>
            <w:r w:rsidRPr="005A0879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>
              <w:rPr>
                <w:rFonts w:eastAsia="標楷體" w:hAnsi="標楷體" w:hint="eastAsia"/>
                <w:sz w:val="24"/>
                <w:szCs w:val="24"/>
              </w:rPr>
              <w:t>文</w:t>
            </w:r>
            <w:r w:rsidR="009A69CB">
              <w:rPr>
                <w:rFonts w:eastAsia="標楷體" w:hAnsi="標楷體" w:hint="eastAsia"/>
                <w:sz w:val="24"/>
                <w:szCs w:val="24"/>
              </w:rPr>
              <w:t>1</w:t>
            </w:r>
            <w:r>
              <w:rPr>
                <w:rFonts w:eastAsia="標楷體" w:hAnsi="標楷體" w:hint="eastAsia"/>
                <w:sz w:val="24"/>
                <w:szCs w:val="24"/>
              </w:rPr>
              <w:t>02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="009A69CB">
              <w:rPr>
                <w:rFonts w:ascii="標楷體" w:eastAsia="標楷體" w:hAnsi="標楷體" w:hint="eastAsia"/>
                <w:sz w:val="24"/>
                <w:szCs w:val="24"/>
              </w:rPr>
              <w:t>大三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385"/>
              <w:gridCol w:w="596"/>
              <w:gridCol w:w="5767"/>
            </w:tblGrid>
            <w:tr w:rsidR="00C8341D" w:rsidRPr="008A634E" w:rsidTr="00A20B70">
              <w:trPr>
                <w:trHeight w:val="28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  <w:t>期數(週)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9A69CB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9A69C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223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3154A4" w:rsidP="00A20B70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教學計畫及評量標準說明</w:t>
                  </w:r>
                </w:p>
              </w:tc>
            </w:tr>
            <w:tr w:rsidR="00C8341D" w:rsidRPr="008A634E" w:rsidTr="00A20B70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第2週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9A69C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30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8B482B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導論</w:t>
                  </w:r>
                  <w:r w:rsidR="005D2974">
                    <w:rPr>
                      <w:rFonts w:ascii="標楷體" w:eastAsia="標楷體" w:hint="eastAsia"/>
                    </w:rPr>
                    <w:t>篇（一）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3154A4" w:rsidRPr="008B482B">
                    <w:rPr>
                      <w:rFonts w:ascii="標楷體" w:eastAsia="標楷體" w:hint="eastAsia"/>
                    </w:rPr>
                    <w:t>六朝志怪小說概說</w:t>
                  </w:r>
                  <w:r w:rsidR="003154A4" w:rsidRPr="008B482B">
                    <w:rPr>
                      <w:rFonts w:ascii="標楷體" w:eastAsia="標楷體" w:hAnsi="標楷體" w:hint="eastAsia"/>
                    </w:rPr>
                    <w:t>（</w:t>
                  </w:r>
                  <w:r w:rsidR="005D2974">
                    <w:rPr>
                      <w:rFonts w:ascii="標楷體" w:eastAsia="標楷體" w:hAnsi="標楷體" w:hint="eastAsia"/>
                    </w:rPr>
                    <w:t>1</w:t>
                  </w:r>
                  <w:r w:rsidR="003154A4" w:rsidRPr="008B482B">
                    <w:rPr>
                      <w:rFonts w:ascii="標楷體" w:eastAsia="標楷體" w:hAnsi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第3週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9A69C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30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8B482B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導論</w:t>
                  </w:r>
                  <w:r w:rsidR="005D2974">
                    <w:rPr>
                      <w:rFonts w:ascii="標楷體" w:eastAsia="標楷體" w:hint="eastAsia"/>
                    </w:rPr>
                    <w:t>篇（一）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3154A4" w:rsidRPr="008B482B">
                    <w:rPr>
                      <w:rFonts w:ascii="標楷體" w:eastAsia="標楷體" w:hint="eastAsia"/>
                    </w:rPr>
                    <w:t>六朝志怪小說概說</w:t>
                  </w:r>
                  <w:r w:rsidR="003154A4" w:rsidRPr="008B482B">
                    <w:rPr>
                      <w:rFonts w:ascii="標楷體" w:eastAsia="標楷體" w:hAnsi="標楷體" w:hint="eastAsia"/>
                    </w:rPr>
                    <w:t>（</w:t>
                  </w:r>
                  <w:r w:rsidR="005D2974">
                    <w:rPr>
                      <w:rFonts w:ascii="標楷體" w:eastAsia="標楷體" w:hAnsi="標楷體" w:hint="eastAsia"/>
                    </w:rPr>
                    <w:t>2</w:t>
                  </w:r>
                  <w:r w:rsidR="003154A4" w:rsidRPr="008B482B">
                    <w:rPr>
                      <w:rFonts w:ascii="標楷體" w:eastAsia="標楷體" w:hAnsi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第4週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9A69C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31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導論</w:t>
                  </w:r>
                  <w:r w:rsidR="005D2974">
                    <w:rPr>
                      <w:rFonts w:ascii="標楷體" w:eastAsia="標楷體" w:hint="eastAsia"/>
                    </w:rPr>
                    <w:t>篇（二）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0F68A6" w:rsidRPr="00142576">
                    <w:rPr>
                      <w:rFonts w:ascii="標楷體" w:eastAsia="標楷體" w:hAnsi="標楷體" w:hint="eastAsia"/>
                    </w:rPr>
                    <w:t>六朝志怪小說「資料來源」</w:t>
                  </w:r>
                  <w:r w:rsidR="000F68A6" w:rsidRPr="008B482B">
                    <w:rPr>
                      <w:rFonts w:ascii="標楷體" w:eastAsia="標楷體" w:hint="eastAsia"/>
                    </w:rPr>
                    <w:t>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="000F68A6" w:rsidRPr="008B482B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第5週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9A69C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32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8B482B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導論</w:t>
                  </w:r>
                  <w:r w:rsidR="005D2974">
                    <w:rPr>
                      <w:rFonts w:ascii="標楷體" w:eastAsia="標楷體" w:hint="eastAsia"/>
                    </w:rPr>
                    <w:t>篇（二）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r w:rsidR="000F68A6" w:rsidRPr="00142576">
                    <w:rPr>
                      <w:rFonts w:ascii="標楷體" w:eastAsia="標楷體" w:hAnsi="標楷體" w:hint="eastAsia"/>
                    </w:rPr>
                    <w:t>六朝志怪小說「資料來源」（</w:t>
                  </w:r>
                  <w:r w:rsidR="005D2974">
                    <w:rPr>
                      <w:rFonts w:ascii="標楷體" w:eastAsia="標楷體" w:hAnsi="標楷體" w:hint="eastAsia"/>
                    </w:rPr>
                    <w:t>2</w:t>
                  </w:r>
                  <w:r w:rsidR="000F68A6" w:rsidRPr="00142576">
                    <w:rPr>
                      <w:rFonts w:ascii="標楷體" w:eastAsia="標楷體" w:hAnsi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第6週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03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30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142576" w:rsidRDefault="006D72E3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 w:hAnsi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（一）</w:t>
                  </w:r>
                  <w:r w:rsidRPr="0006580E">
                    <w:rPr>
                      <w:rFonts w:ascii="標楷體" w:eastAsia="標楷體" w:hint="eastAsia"/>
                    </w:rPr>
                    <w:t>：「王弼」故事（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6D72E3">
              <w:trPr>
                <w:trHeight w:val="37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第7週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9A69CB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040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72E3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927014">
                    <w:rPr>
                      <w:rFonts w:ascii="標楷體" w:eastAsia="標楷體" w:hAnsi="標楷體"/>
                      <w:color w:val="FF0000"/>
                    </w:rPr>
                    <w:t>校際活動（停課）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第8週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9A69CB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041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0F68A6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（一）</w:t>
                  </w:r>
                  <w:r w:rsidRPr="0006580E">
                    <w:rPr>
                      <w:rFonts w:ascii="標楷體" w:eastAsia="標楷體" w:hint="eastAsia"/>
                    </w:rPr>
                    <w:t>：「王弼」故事（</w:t>
                  </w:r>
                  <w:r w:rsidR="005D2974">
                    <w:rPr>
                      <w:rFonts w:ascii="標楷體" w:eastAsia="標楷體" w:hint="eastAsia"/>
                    </w:rPr>
                    <w:t>2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6D72E3">
              <w:trPr>
                <w:trHeight w:val="35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第9週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9A69CB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04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6D72E3" w:rsidRDefault="006D72E3" w:rsidP="006D72E3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 w:hAnsi="標楷體"/>
                    </w:rPr>
                  </w:pPr>
                  <w:r w:rsidRPr="00927014">
                    <w:rPr>
                      <w:rFonts w:ascii="標楷體" w:eastAsia="標楷體" w:hAnsi="標楷體"/>
                      <w:color w:val="FF0000"/>
                    </w:rPr>
                    <w:t>期中考試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第10週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9A69CB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042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0F68A6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（二）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 w:rsidRPr="002E4DE6">
                    <w:rPr>
                      <w:rFonts w:ascii="標楷體" w:eastAsia="標楷體" w:hAnsi="標楷體" w:hint="eastAsia"/>
                    </w:rPr>
                    <w:t>「</w:t>
                  </w:r>
                  <w:r>
                    <w:rPr>
                      <w:rFonts w:ascii="標楷體" w:eastAsia="標楷體" w:hAnsi="標楷體" w:hint="eastAsia"/>
                    </w:rPr>
                    <w:t>冥婚</w:t>
                  </w:r>
                  <w:r w:rsidRPr="0006580E">
                    <w:rPr>
                      <w:rFonts w:ascii="標楷體" w:eastAsia="標楷體" w:hint="eastAsia"/>
                    </w:rPr>
                    <w:t>」故事（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6D72E3">
              <w:trPr>
                <w:trHeight w:val="404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第11週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0504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0F68A6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（二）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 w:rsidRPr="002E4DE6">
                    <w:rPr>
                      <w:rFonts w:ascii="標楷體" w:eastAsia="標楷體" w:hAnsi="標楷體" w:hint="eastAsia"/>
                    </w:rPr>
                    <w:t>「</w:t>
                  </w:r>
                  <w:r>
                    <w:rPr>
                      <w:rFonts w:ascii="標楷體" w:eastAsia="標楷體" w:hAnsi="標楷體" w:hint="eastAsia"/>
                    </w:rPr>
                    <w:t>冥婚</w:t>
                  </w:r>
                  <w:r w:rsidRPr="0006580E">
                    <w:rPr>
                      <w:rFonts w:ascii="標楷體" w:eastAsia="標楷體" w:hint="eastAsia"/>
                    </w:rPr>
                    <w:t>」故事（</w:t>
                  </w:r>
                  <w:r w:rsidR="005D2974">
                    <w:rPr>
                      <w:rFonts w:ascii="標楷體" w:eastAsia="標楷體" w:hint="eastAsia"/>
                    </w:rPr>
                    <w:t>2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第12週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0511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（三）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>
                    <w:rPr>
                      <w:rFonts w:ascii="標楷體" w:eastAsia="標楷體" w:hint="eastAsia"/>
                    </w:rPr>
                    <w:t>文字遊戲</w:t>
                  </w:r>
                  <w:r w:rsidRPr="0006580E">
                    <w:rPr>
                      <w:rFonts w:ascii="標楷體" w:eastAsia="標楷體" w:hint="eastAsia"/>
                    </w:rPr>
                    <w:t>」</w:t>
                  </w:r>
                  <w:r w:rsidRPr="008B482B">
                    <w:rPr>
                      <w:rFonts w:ascii="標楷體" w:eastAsia="標楷體" w:hint="eastAsia"/>
                    </w:rPr>
                    <w:t>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Pr="008B482B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第13週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0518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（三）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>
                    <w:rPr>
                      <w:rFonts w:ascii="標楷體" w:eastAsia="標楷體" w:hint="eastAsia"/>
                    </w:rPr>
                    <w:t>文字遊戲</w:t>
                  </w:r>
                  <w:r w:rsidRPr="0006580E">
                    <w:rPr>
                      <w:rFonts w:ascii="標楷體" w:eastAsia="標楷體" w:hint="eastAsia"/>
                    </w:rPr>
                    <w:t>」</w:t>
                  </w:r>
                  <w:r w:rsidRPr="008B482B">
                    <w:rPr>
                      <w:rFonts w:ascii="標楷體" w:eastAsia="標楷體" w:hint="eastAsia"/>
                    </w:rPr>
                    <w:t>（</w:t>
                  </w:r>
                  <w:r w:rsidR="005D2974">
                    <w:rPr>
                      <w:rFonts w:ascii="標楷體" w:eastAsia="標楷體" w:hint="eastAsia"/>
                    </w:rPr>
                    <w:t>2</w:t>
                  </w:r>
                  <w:r w:rsidRPr="008B482B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第14週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0525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005364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（四）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 w:rsidR="007744C5">
                    <w:rPr>
                      <w:rFonts w:ascii="標楷體" w:eastAsia="標楷體" w:hint="eastAsia"/>
                    </w:rPr>
                    <w:t>山精</w:t>
                  </w:r>
                  <w:r w:rsidRPr="0006580E">
                    <w:rPr>
                      <w:rFonts w:ascii="標楷體" w:eastAsia="標楷體" w:hint="eastAsia"/>
                    </w:rPr>
                    <w:t>」故事（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lastRenderedPageBreak/>
                    <w:t>第15週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0601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72E3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（四）</w:t>
                  </w:r>
                  <w:r w:rsidRPr="0006580E">
                    <w:rPr>
                      <w:rFonts w:ascii="標楷體" w:eastAsia="標楷體" w:hint="eastAsia"/>
                    </w:rPr>
                    <w:t>：「</w:t>
                  </w:r>
                  <w:r>
                    <w:rPr>
                      <w:rFonts w:ascii="標楷體" w:eastAsia="標楷體" w:hint="eastAsia"/>
                    </w:rPr>
                    <w:t>山精</w:t>
                  </w:r>
                  <w:r w:rsidRPr="0006580E">
                    <w:rPr>
                      <w:rFonts w:ascii="標楷體" w:eastAsia="標楷體" w:hint="eastAsia"/>
                    </w:rPr>
                    <w:t>」故事（</w:t>
                  </w:r>
                  <w:r w:rsidR="005D2974">
                    <w:rPr>
                      <w:rFonts w:ascii="標楷體" w:eastAsia="標楷體" w:hint="eastAsia"/>
                    </w:rPr>
                    <w:t>2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6D72E3">
              <w:trPr>
                <w:trHeight w:val="381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第16週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0608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（五）</w:t>
                  </w:r>
                  <w:r w:rsidRPr="0006580E">
                    <w:rPr>
                      <w:rFonts w:ascii="標楷體" w:eastAsia="標楷體" w:hint="eastAsia"/>
                    </w:rPr>
                    <w:t>：「化胡」故事（</w:t>
                  </w:r>
                  <w:r w:rsidR="005D2974">
                    <w:rPr>
                      <w:rFonts w:ascii="標楷體" w:eastAsia="標楷體" w:hint="eastAsia"/>
                    </w:rPr>
                    <w:t>1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第17週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6D72E3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0615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8B482B" w:rsidRDefault="006D497F" w:rsidP="005D2974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06580E">
                    <w:rPr>
                      <w:rFonts w:ascii="標楷體" w:eastAsia="標楷體" w:hint="eastAsia"/>
                    </w:rPr>
                    <w:t>文本解讀示例</w:t>
                  </w:r>
                  <w:r w:rsidR="005D2974">
                    <w:rPr>
                      <w:rFonts w:ascii="標楷體" w:eastAsia="標楷體" w:hint="eastAsia"/>
                    </w:rPr>
                    <w:t>（五）</w:t>
                  </w:r>
                  <w:r w:rsidRPr="0006580E">
                    <w:rPr>
                      <w:rFonts w:ascii="標楷體" w:eastAsia="標楷體" w:hint="eastAsia"/>
                    </w:rPr>
                    <w:t>：「化胡」故事（</w:t>
                  </w:r>
                  <w:r w:rsidR="005D2974">
                    <w:rPr>
                      <w:rFonts w:ascii="標楷體" w:eastAsia="標楷體" w:hint="eastAsia"/>
                    </w:rPr>
                    <w:t>2</w:t>
                  </w:r>
                  <w:r w:rsidRPr="0006580E">
                    <w:rPr>
                      <w:rFonts w:ascii="標楷體" w:eastAsia="標楷體" w:hint="eastAsia"/>
                    </w:rPr>
                    <w:t>）</w:t>
                  </w:r>
                </w:p>
              </w:tc>
            </w:tr>
            <w:tr w:rsidR="00C8341D" w:rsidRPr="008A634E" w:rsidTr="00A20B70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A20B7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第18週</w:t>
                  </w:r>
                </w:p>
              </w:tc>
              <w:tc>
                <w:tcPr>
                  <w:tcW w:w="32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154A4" w:rsidRPr="008A634E" w:rsidRDefault="003154A4" w:rsidP="006D72E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0</w:t>
                  </w:r>
                  <w:r w:rsidR="006D72E3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622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154A4" w:rsidRPr="0006580E" w:rsidRDefault="006D72E3" w:rsidP="006D72E3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rFonts w:ascii="標楷體" w:eastAsia="標楷體"/>
                    </w:rPr>
                  </w:pPr>
                  <w:r w:rsidRPr="00927014">
                    <w:rPr>
                      <w:rFonts w:ascii="標楷體" w:eastAsia="標楷體" w:hAnsi="標楷體"/>
                      <w:color w:val="FF0000"/>
                    </w:rPr>
                    <w:t>期中考試</w:t>
                  </w:r>
                </w:p>
              </w:tc>
            </w:tr>
          </w:tbl>
          <w:p w:rsidR="003154A4" w:rsidRPr="008A634E" w:rsidRDefault="003154A4" w:rsidP="00A20B70">
            <w:pPr>
              <w:spacing w:line="480" w:lineRule="exact"/>
              <w:ind w:left="1440" w:firstLine="480"/>
              <w:rPr>
                <w:rFonts w:ascii="標楷體" w:eastAsia="標楷體" w:hAnsi="標楷體"/>
                <w:color w:val="000080"/>
              </w:rPr>
            </w:pPr>
          </w:p>
        </w:tc>
      </w:tr>
      <w:tr w:rsidR="003154A4" w:rsidRPr="00572C78" w:rsidTr="00A20B70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99281F" w:rsidRDefault="003154A4" w:rsidP="00A20B70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99281F">
              <w:rPr>
                <w:rFonts w:ascii="標楷體" w:eastAsia="標楷體" w:hAnsi="標楷體" w:hint="eastAsia"/>
              </w:rPr>
              <w:t>1王國良：《魏晉南北朝志怪小說研究》，文史哲出版社，1984。</w:t>
            </w:r>
          </w:p>
          <w:p w:rsidR="003154A4" w:rsidRPr="0099281F" w:rsidRDefault="003154A4" w:rsidP="00A20B70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99281F">
              <w:rPr>
                <w:rFonts w:ascii="標楷體" w:eastAsia="標楷體" w:hAnsi="標楷體" w:hint="eastAsia"/>
              </w:rPr>
              <w:t>2李劍國：《唐前志怪小說輯釋》，文史哲出版社，1986。</w:t>
            </w:r>
          </w:p>
          <w:p w:rsidR="003154A4" w:rsidRPr="0099281F" w:rsidRDefault="003154A4" w:rsidP="00A20B70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99281F">
              <w:rPr>
                <w:rFonts w:ascii="標楷體" w:eastAsia="標楷體" w:hAnsi="標楷體" w:hint="eastAsia"/>
              </w:rPr>
              <w:t>3謝明勳：《六朝志怪小說故事考論：「傳承」、「虛實」問題之考察與析論》，里仁書局，1999。</w:t>
            </w:r>
          </w:p>
          <w:p w:rsidR="003154A4" w:rsidRPr="0099281F" w:rsidRDefault="003154A4" w:rsidP="00A20B70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99281F">
              <w:rPr>
                <w:rFonts w:ascii="標楷體" w:eastAsia="標楷體" w:hAnsi="標楷體" w:hint="eastAsia"/>
              </w:rPr>
              <w:t>4劉苑如：《身體．性別．階級：六朝志怪的常異論述與小說美學》，中央研究院中國文哲研究所，2002。</w:t>
            </w:r>
          </w:p>
          <w:p w:rsidR="003154A4" w:rsidRDefault="003154A4" w:rsidP="00A20B7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  <w:r w:rsidRPr="0099281F">
              <w:rPr>
                <w:rFonts w:ascii="標楷體" w:eastAsia="標楷體" w:hAnsi="標楷體" w:hint="eastAsia"/>
              </w:rPr>
              <w:t>5謝明勳：《六朝志怪小說研究述論：回顧與論釋》，里仁書局，2011。</w:t>
            </w:r>
          </w:p>
          <w:p w:rsidR="003154A4" w:rsidRDefault="003154A4" w:rsidP="00A20B7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99281F">
              <w:rPr>
                <w:rFonts w:ascii="標楷體" w:eastAsia="標楷體" w:hAnsi="標楷體" w:hint="eastAsia"/>
              </w:rPr>
              <w:t>依上課指定閱讀相關之文本及專業論文。</w:t>
            </w:r>
          </w:p>
          <w:p w:rsidR="003154A4" w:rsidRPr="0006580E" w:rsidRDefault="003154A4" w:rsidP="00A20B70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28"/>
              </w:rPr>
            </w:pPr>
            <w:r w:rsidRPr="007F7FCC">
              <w:rPr>
                <w:rFonts w:ascii="標楷體" w:eastAsia="標楷體" w:hAnsi="標楷體" w:cs="Arial" w:hint="eastAsia"/>
                <w:b/>
                <w:bCs/>
                <w:color w:val="FF0000"/>
              </w:rPr>
              <w:t>請尊重智慧財產權，不得非法影印教師指定之教科書籍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</w:rPr>
              <w:t>。</w:t>
            </w:r>
          </w:p>
        </w:tc>
      </w:tr>
      <w:tr w:rsidR="003154A4" w:rsidRPr="00572C78" w:rsidTr="00A20B70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8A634E" w:rsidRDefault="003154A4" w:rsidP="00A20B7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8A634E">
              <w:rPr>
                <w:rFonts w:ascii="標楷體" w:eastAsia="標楷體" w:hAnsi="標楷體" w:hint="eastAsia"/>
              </w:rPr>
              <w:t>上課點名</w:t>
            </w:r>
            <w:r>
              <w:rPr>
                <w:rFonts w:ascii="標楷體" w:eastAsia="標楷體" w:hAnsi="標楷體" w:hint="eastAsia"/>
              </w:rPr>
              <w:t>10</w:t>
            </w:r>
            <w:r w:rsidRPr="008A634E">
              <w:rPr>
                <w:rFonts w:ascii="標楷體" w:eastAsia="標楷體" w:hAnsi="標楷體" w:hint="eastAsia"/>
              </w:rPr>
              <w:t xml:space="preserve">%  □小考0%  □作業0%  □程式實作0% </w:t>
            </w:r>
          </w:p>
          <w:p w:rsidR="003154A4" w:rsidRPr="008A634E" w:rsidRDefault="003154A4" w:rsidP="00A20B70">
            <w:pPr>
              <w:spacing w:line="480" w:lineRule="exact"/>
              <w:rPr>
                <w:rFonts w:ascii="標楷體" w:eastAsia="標楷體" w:hAnsi="標楷體"/>
              </w:rPr>
            </w:pPr>
            <w:r w:rsidRPr="008A634E">
              <w:rPr>
                <w:rFonts w:ascii="標楷體" w:eastAsia="標楷體" w:hAnsi="標楷體" w:hint="eastAsia"/>
              </w:rPr>
              <w:t xml:space="preserve">□實習報告0%  □專案0%  </w:t>
            </w:r>
            <w:r w:rsidR="006D497F" w:rsidRPr="008A634E">
              <w:rPr>
                <w:rFonts w:ascii="標楷體" w:eastAsia="標楷體" w:hAnsi="標楷體" w:hint="eastAsia"/>
              </w:rPr>
              <w:t>■</w:t>
            </w:r>
            <w:r w:rsidRPr="008A634E">
              <w:rPr>
                <w:rFonts w:ascii="標楷體" w:eastAsia="標楷體" w:hAnsi="標楷體" w:hint="eastAsia"/>
              </w:rPr>
              <w:t>期中考</w:t>
            </w:r>
            <w:r w:rsidR="006D497F">
              <w:rPr>
                <w:rFonts w:ascii="標楷體" w:eastAsia="標楷體" w:hAnsi="標楷體" w:hint="eastAsia"/>
              </w:rPr>
              <w:t>35</w:t>
            </w:r>
            <w:r w:rsidRPr="008A634E">
              <w:rPr>
                <w:rFonts w:ascii="標楷體" w:eastAsia="標楷體" w:hAnsi="標楷體" w:hint="eastAsia"/>
              </w:rPr>
              <w:t xml:space="preserve">% </w:t>
            </w:r>
            <w:r w:rsidR="006D497F" w:rsidRPr="008A634E">
              <w:rPr>
                <w:rFonts w:ascii="標楷體" w:eastAsia="標楷體" w:hAnsi="標楷體" w:hint="eastAsia"/>
              </w:rPr>
              <w:t>■</w:t>
            </w:r>
            <w:r w:rsidRPr="008A634E">
              <w:rPr>
                <w:rFonts w:ascii="標楷體" w:eastAsia="標楷體" w:hAnsi="標楷體" w:hint="eastAsia"/>
              </w:rPr>
              <w:t>期末考</w:t>
            </w:r>
            <w:r w:rsidR="006D497F">
              <w:rPr>
                <w:rFonts w:ascii="標楷體" w:eastAsia="標楷體" w:hAnsi="標楷體" w:hint="eastAsia"/>
              </w:rPr>
              <w:t>35</w:t>
            </w:r>
            <w:r w:rsidRPr="008A634E">
              <w:rPr>
                <w:rFonts w:ascii="標楷體" w:eastAsia="標楷體" w:hAnsi="標楷體" w:hint="eastAsia"/>
              </w:rPr>
              <w:t>%</w:t>
            </w:r>
          </w:p>
          <w:p w:rsidR="003154A4" w:rsidRPr="008A634E" w:rsidRDefault="006D497F" w:rsidP="006D497F">
            <w:pPr>
              <w:spacing w:line="480" w:lineRule="exact"/>
              <w:rPr>
                <w:rFonts w:ascii="標楷體" w:eastAsia="標楷體" w:hAnsi="標楷體"/>
              </w:rPr>
            </w:pPr>
            <w:r w:rsidRPr="008A634E">
              <w:rPr>
                <w:rFonts w:ascii="標楷體" w:eastAsia="標楷體" w:hAnsi="標楷體" w:hint="eastAsia"/>
              </w:rPr>
              <w:t>□</w:t>
            </w:r>
            <w:r w:rsidR="003154A4" w:rsidRPr="008A634E">
              <w:rPr>
                <w:rFonts w:ascii="標楷體" w:eastAsia="標楷體" w:hAnsi="標楷體" w:hint="eastAsia"/>
              </w:rPr>
              <w:t>期末報告</w:t>
            </w:r>
            <w:r w:rsidR="003154A4">
              <w:rPr>
                <w:rFonts w:ascii="標楷體" w:eastAsia="標楷體" w:hAnsi="標楷體" w:hint="eastAsia"/>
              </w:rPr>
              <w:t>5</w:t>
            </w:r>
            <w:r w:rsidR="003154A4" w:rsidRPr="008A634E">
              <w:rPr>
                <w:rFonts w:ascii="標楷體" w:eastAsia="標楷體" w:hAnsi="標楷體" w:hint="eastAsia"/>
              </w:rPr>
              <w:t xml:space="preserve">0%  </w:t>
            </w:r>
            <w:r w:rsidRPr="008A634E">
              <w:rPr>
                <w:rFonts w:ascii="標楷體" w:eastAsia="標楷體" w:hAnsi="標楷體" w:hint="eastAsia"/>
              </w:rPr>
              <w:t>□</w:t>
            </w:r>
            <w:r w:rsidR="003154A4">
              <w:rPr>
                <w:rFonts w:ascii="標楷體" w:eastAsia="標楷體" w:hAnsi="標楷體" w:hint="eastAsia"/>
              </w:rPr>
              <w:t>口頭報告3</w:t>
            </w:r>
            <w:r w:rsidR="003154A4" w:rsidRPr="008A634E">
              <w:rPr>
                <w:rFonts w:ascii="標楷體" w:eastAsia="標楷體" w:hAnsi="標楷體" w:hint="eastAsia"/>
              </w:rPr>
              <w:t>0%</w:t>
            </w:r>
            <w:r w:rsidR="003154A4">
              <w:rPr>
                <w:rFonts w:ascii="標楷體" w:eastAsia="標楷體" w:hAnsi="標楷體" w:hint="eastAsia"/>
              </w:rPr>
              <w:t xml:space="preserve">  </w:t>
            </w:r>
            <w:r w:rsidR="003154A4" w:rsidRPr="008A634E">
              <w:rPr>
                <w:rFonts w:ascii="標楷體" w:eastAsia="標楷體" w:hAnsi="標楷體" w:hint="eastAsia"/>
              </w:rPr>
              <w:t>■其它</w:t>
            </w:r>
            <w:r>
              <w:rPr>
                <w:rFonts w:ascii="標楷體" w:eastAsia="標楷體" w:hAnsi="標楷體" w:hint="eastAsia"/>
              </w:rPr>
              <w:t>2</w:t>
            </w:r>
            <w:r w:rsidR="003154A4" w:rsidRPr="008A634E">
              <w:rPr>
                <w:rFonts w:ascii="標楷體" w:eastAsia="標楷體" w:hAnsi="標楷體" w:hint="eastAsia"/>
              </w:rPr>
              <w:t>0%</w:t>
            </w:r>
            <w:r w:rsidR="00CD41CE">
              <w:rPr>
                <w:rFonts w:eastAsia="標楷體" w:hint="eastAsia"/>
              </w:rPr>
              <w:t>（綜合評量）</w:t>
            </w:r>
          </w:p>
        </w:tc>
      </w:tr>
      <w:tr w:rsidR="003154A4" w:rsidRPr="00572C78" w:rsidTr="00A20B70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AA7A2D" w:rsidRDefault="003154A4" w:rsidP="00A20B7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8A634E" w:rsidRDefault="007429E5" w:rsidP="007429E5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8A634E">
              <w:rPr>
                <w:rFonts w:ascii="標楷體" w:eastAsia="標楷體" w:hAnsi="標楷體" w:hint="eastAsia"/>
              </w:rPr>
              <w:t>■</w:t>
            </w:r>
            <w:r w:rsidR="003154A4" w:rsidRPr="008A634E">
              <w:rPr>
                <w:rFonts w:ascii="標楷體" w:eastAsia="標楷體" w:hAnsi="標楷體" w:hint="eastAsia"/>
              </w:rPr>
              <w:t xml:space="preserve">自編教材  </w:t>
            </w:r>
            <w:r w:rsidR="003154A4">
              <w:rPr>
                <w:rFonts w:ascii="標楷體" w:eastAsia="標楷體" w:hAnsi="標楷體" w:hint="eastAsia"/>
              </w:rPr>
              <w:t>□</w:t>
            </w:r>
            <w:r w:rsidR="003154A4" w:rsidRPr="008A634E">
              <w:rPr>
                <w:rFonts w:ascii="標楷體" w:eastAsia="標楷體" w:hAnsi="標楷體" w:hint="eastAsia"/>
              </w:rPr>
              <w:t>教科書作者提供</w:t>
            </w:r>
            <w:r w:rsidRPr="008A634E">
              <w:rPr>
                <w:rFonts w:ascii="標楷體" w:eastAsia="標楷體" w:hAnsi="標楷體" w:hint="eastAsia"/>
              </w:rPr>
              <w:t>□</w:t>
            </w:r>
            <w:r w:rsidR="003154A4" w:rsidRPr="008A634E">
              <w:rPr>
                <w:rFonts w:ascii="標楷體" w:eastAsia="標楷體" w:hAnsi="標楷體" w:hint="eastAsia"/>
              </w:rPr>
              <w:t>講義</w:t>
            </w:r>
            <w:bookmarkStart w:id="0" w:name="_GoBack"/>
            <w:bookmarkEnd w:id="0"/>
          </w:p>
        </w:tc>
      </w:tr>
      <w:tr w:rsidR="003154A4" w:rsidRPr="00572C78" w:rsidTr="00A20B70">
        <w:trPr>
          <w:trHeight w:val="62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AA7A2D" w:rsidRDefault="003154A4" w:rsidP="00A20B7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06580E" w:rsidRDefault="003154A4" w:rsidP="00A20B70">
            <w:pPr>
              <w:pStyle w:val="a4"/>
              <w:ind w:leftChars="-9" w:left="-22" w:firstLineChars="0" w:firstLine="0"/>
              <w:rPr>
                <w:sz w:val="24"/>
              </w:rPr>
            </w:pPr>
            <w:r w:rsidRPr="0006580E">
              <w:rPr>
                <w:rFonts w:hint="eastAsia"/>
                <w:sz w:val="24"/>
              </w:rPr>
              <w:t>上課講授以誘導及啟發為主，學者須於課前自行閱讀指定及相關之文獻資料，以彼此互動之雙軌並進方式進行，期能達到對六朝志怪小說有更為完整之瞭解，並以此為鑑去閱讀其他之中國小說，具備相關之能力。</w:t>
            </w:r>
          </w:p>
        </w:tc>
      </w:tr>
      <w:tr w:rsidR="003154A4" w:rsidRPr="00572C78" w:rsidTr="007443F4">
        <w:trPr>
          <w:trHeight w:val="90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AA7A2D" w:rsidRDefault="003154A4" w:rsidP="00A20B7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4A4" w:rsidRPr="008A634E" w:rsidRDefault="003154A4" w:rsidP="00A20B70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A634E">
              <w:rPr>
                <w:rFonts w:ascii="標楷體" w:eastAsia="標楷體" w:hAnsi="標楷體" w:hint="eastAsia"/>
              </w:rPr>
              <w:t xml:space="preserve">課程網站  </w:t>
            </w:r>
            <w:r>
              <w:rPr>
                <w:rFonts w:ascii="標楷體" w:eastAsia="標楷體" w:hAnsi="標楷體" w:hint="eastAsia"/>
              </w:rPr>
              <w:t>□</w:t>
            </w:r>
            <w:r w:rsidRPr="008A634E">
              <w:rPr>
                <w:rFonts w:ascii="標楷體" w:eastAsia="標楷體" w:hAnsi="標楷體" w:hint="eastAsia"/>
              </w:rPr>
              <w:t>教材電子檔供下載  □實習網站</w:t>
            </w:r>
          </w:p>
        </w:tc>
      </w:tr>
      <w:tr w:rsidR="003154A4" w:rsidRPr="00572C78" w:rsidTr="00A20B70">
        <w:trPr>
          <w:trHeight w:val="410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A4" w:rsidRPr="00AA7A2D" w:rsidRDefault="003154A4" w:rsidP="00A20B70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A4" w:rsidRPr="008A634E" w:rsidRDefault="003154A4" w:rsidP="00A20B70">
            <w:pPr>
              <w:spacing w:line="480" w:lineRule="exact"/>
              <w:ind w:left="691" w:hangingChars="288" w:hanging="691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jc w:val="distribute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sym w:font="Wingdings" w:char="F0FC"/>
                  </w:r>
                  <w:r w:rsidRPr="008A634E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  <w:r w:rsidRPr="008A634E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(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8A634E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(1)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ˇ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(2)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206BEA" w:rsidP="00A20B70">
                  <w:pPr>
                    <w:widowControl/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(3)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(4)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ind w:right="15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(5)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</w:p>
              </w:tc>
            </w:tr>
            <w:tr w:rsidR="003154A4" w:rsidRPr="008A634E" w:rsidTr="00206BEA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A634E">
                    <w:rPr>
                      <w:rFonts w:ascii="標楷體" w:eastAsia="標楷體" w:hAnsi="標楷體"/>
                      <w:color w:val="000000"/>
                      <w:kern w:val="0"/>
                    </w:rPr>
                    <w:t>(6)</w:t>
                  </w:r>
                  <w:r w:rsidRPr="008A634E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154A4" w:rsidRPr="008A634E" w:rsidRDefault="003154A4" w:rsidP="00A20B70">
                  <w:pPr>
                    <w:widowControl/>
                    <w:spacing w:line="24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</w:tc>
            </w:tr>
          </w:tbl>
          <w:p w:rsidR="003154A4" w:rsidRPr="008A634E" w:rsidRDefault="003154A4" w:rsidP="00A20B70">
            <w:pPr>
              <w:spacing w:line="480" w:lineRule="exact"/>
              <w:ind w:left="691" w:hangingChars="288" w:hanging="691"/>
              <w:rPr>
                <w:rFonts w:ascii="標楷體" w:eastAsia="標楷體" w:hAnsi="標楷體"/>
              </w:rPr>
            </w:pPr>
            <w:r w:rsidRPr="008A634E">
              <w:rPr>
                <w:rFonts w:ascii="標楷體" w:eastAsia="標楷體" w:hAnsi="標楷體"/>
                <w:color w:val="000000"/>
              </w:rPr>
              <w:t>說明：請依據課程內涵判定其符合程度。</w:t>
            </w:r>
          </w:p>
        </w:tc>
      </w:tr>
      <w:tr w:rsidR="003154A4" w:rsidRPr="00572C78" w:rsidTr="00A20B70">
        <w:trPr>
          <w:trHeight w:val="7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54A4" w:rsidRPr="00572C78" w:rsidRDefault="003154A4" w:rsidP="00A20B70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:rsidR="003154A4" w:rsidRPr="00572C78" w:rsidRDefault="003154A4" w:rsidP="00A20B70">
            <w:pPr>
              <w:spacing w:line="0" w:lineRule="atLeast"/>
              <w:rPr>
                <w:rFonts w:eastAsia="標楷體"/>
              </w:rPr>
            </w:pPr>
          </w:p>
        </w:tc>
      </w:tr>
    </w:tbl>
    <w:p w:rsidR="003154A4" w:rsidRPr="00572C78" w:rsidRDefault="003154A4" w:rsidP="00165241">
      <w:pPr>
        <w:rPr>
          <w:rFonts w:eastAsia="標楷體"/>
        </w:rPr>
      </w:pPr>
    </w:p>
    <w:sectPr w:rsidR="003154A4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E5" w:rsidRDefault="000D5AE5" w:rsidP="002B3E33">
      <w:r>
        <w:separator/>
      </w:r>
    </w:p>
  </w:endnote>
  <w:endnote w:type="continuationSeparator" w:id="0">
    <w:p w:rsidR="000D5AE5" w:rsidRDefault="000D5AE5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E5" w:rsidRDefault="000D5AE5" w:rsidP="002B3E33">
      <w:r>
        <w:separator/>
      </w:r>
    </w:p>
  </w:footnote>
  <w:footnote w:type="continuationSeparator" w:id="0">
    <w:p w:rsidR="000D5AE5" w:rsidRDefault="000D5AE5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7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8"/>
  </w:num>
  <w:num w:numId="15">
    <w:abstractNumId w:val="14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AA"/>
    <w:rsid w:val="00005364"/>
    <w:rsid w:val="00034742"/>
    <w:rsid w:val="00086D77"/>
    <w:rsid w:val="000D5AE5"/>
    <w:rsid w:val="000F3ECF"/>
    <w:rsid w:val="000F68A6"/>
    <w:rsid w:val="0015280C"/>
    <w:rsid w:val="00162363"/>
    <w:rsid w:val="00165241"/>
    <w:rsid w:val="001B34AB"/>
    <w:rsid w:val="001C1086"/>
    <w:rsid w:val="001D5288"/>
    <w:rsid w:val="001F3871"/>
    <w:rsid w:val="00205445"/>
    <w:rsid w:val="00206BEA"/>
    <w:rsid w:val="00220F38"/>
    <w:rsid w:val="00247EC9"/>
    <w:rsid w:val="00267ACA"/>
    <w:rsid w:val="00273AFF"/>
    <w:rsid w:val="002B3E33"/>
    <w:rsid w:val="002E7088"/>
    <w:rsid w:val="002F32DA"/>
    <w:rsid w:val="002F5C3D"/>
    <w:rsid w:val="003154A4"/>
    <w:rsid w:val="003576FE"/>
    <w:rsid w:val="00382327"/>
    <w:rsid w:val="00386288"/>
    <w:rsid w:val="003E1497"/>
    <w:rsid w:val="00411E04"/>
    <w:rsid w:val="0047489D"/>
    <w:rsid w:val="00497698"/>
    <w:rsid w:val="004B3BB8"/>
    <w:rsid w:val="005231E9"/>
    <w:rsid w:val="00535C2A"/>
    <w:rsid w:val="00546C4C"/>
    <w:rsid w:val="00546F76"/>
    <w:rsid w:val="00572C78"/>
    <w:rsid w:val="00593247"/>
    <w:rsid w:val="005B19BF"/>
    <w:rsid w:val="005C3510"/>
    <w:rsid w:val="005D2974"/>
    <w:rsid w:val="005F5315"/>
    <w:rsid w:val="0061389C"/>
    <w:rsid w:val="006438EF"/>
    <w:rsid w:val="006441FD"/>
    <w:rsid w:val="00647E2B"/>
    <w:rsid w:val="00671918"/>
    <w:rsid w:val="00683912"/>
    <w:rsid w:val="006A0006"/>
    <w:rsid w:val="006A4CEC"/>
    <w:rsid w:val="006D497F"/>
    <w:rsid w:val="006D72E3"/>
    <w:rsid w:val="006E59C8"/>
    <w:rsid w:val="007373C7"/>
    <w:rsid w:val="007429E5"/>
    <w:rsid w:val="007443F4"/>
    <w:rsid w:val="007542B3"/>
    <w:rsid w:val="007714C7"/>
    <w:rsid w:val="007744C5"/>
    <w:rsid w:val="007B13C4"/>
    <w:rsid w:val="007E4C10"/>
    <w:rsid w:val="00850C09"/>
    <w:rsid w:val="00884028"/>
    <w:rsid w:val="00895088"/>
    <w:rsid w:val="008B1AD3"/>
    <w:rsid w:val="00906BE9"/>
    <w:rsid w:val="009076C3"/>
    <w:rsid w:val="00927014"/>
    <w:rsid w:val="00946889"/>
    <w:rsid w:val="00955CE9"/>
    <w:rsid w:val="00970A65"/>
    <w:rsid w:val="009810AB"/>
    <w:rsid w:val="00995558"/>
    <w:rsid w:val="009A69CB"/>
    <w:rsid w:val="009B17A0"/>
    <w:rsid w:val="009D243A"/>
    <w:rsid w:val="00A241DC"/>
    <w:rsid w:val="00A80B72"/>
    <w:rsid w:val="00A81D3D"/>
    <w:rsid w:val="00A8376C"/>
    <w:rsid w:val="00AA7A2D"/>
    <w:rsid w:val="00AD3EF9"/>
    <w:rsid w:val="00B540B9"/>
    <w:rsid w:val="00B92869"/>
    <w:rsid w:val="00BF33E3"/>
    <w:rsid w:val="00C11CB8"/>
    <w:rsid w:val="00C45AE1"/>
    <w:rsid w:val="00C66C35"/>
    <w:rsid w:val="00C7194D"/>
    <w:rsid w:val="00C8341D"/>
    <w:rsid w:val="00CD41CE"/>
    <w:rsid w:val="00CF0F6B"/>
    <w:rsid w:val="00CF63F1"/>
    <w:rsid w:val="00D032AA"/>
    <w:rsid w:val="00D650C3"/>
    <w:rsid w:val="00D76E07"/>
    <w:rsid w:val="00D87DAA"/>
    <w:rsid w:val="00DA628B"/>
    <w:rsid w:val="00E20BE1"/>
    <w:rsid w:val="00E21FD9"/>
    <w:rsid w:val="00E4275D"/>
    <w:rsid w:val="00EA3C90"/>
    <w:rsid w:val="00EE222A"/>
    <w:rsid w:val="00F311F9"/>
    <w:rsid w:val="00F51800"/>
    <w:rsid w:val="00F725CF"/>
    <w:rsid w:val="00F96B30"/>
    <w:rsid w:val="00FB25D1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14D26A-3C8B-41CF-8221-6340F79B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1443</Characters>
  <Application>Microsoft Office Word</Application>
  <DocSecurity>0</DocSecurity>
  <Lines>12</Lines>
  <Paragraphs>3</Paragraphs>
  <ScaleCrop>false</ScaleCrop>
  <Company>CMT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user</cp:lastModifiedBy>
  <cp:revision>7</cp:revision>
  <cp:lastPrinted>2012-05-29T09:20:00Z</cp:lastPrinted>
  <dcterms:created xsi:type="dcterms:W3CDTF">2020-12-18T09:48:00Z</dcterms:created>
  <dcterms:modified xsi:type="dcterms:W3CDTF">2020-12-21T23:19:00Z</dcterms:modified>
</cp:coreProperties>
</file>