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54193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1"/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  <w:t>一、 課程概述 (Course Overview)</w:t>
      </w:r>
    </w:p>
    <w:p w14:paraId="267167B1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當前全球民主體制面臨嚴峻的「認識論危機」（epistemological crisis），假新聞、陰謀論、同溫層、資訊戰與民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粹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主義隨處可見，使公民難以對客觀事實及政治議題達成共識。當政治對立從「價值觀的分歧」演變為「對客觀現實與事實真相的根本分裂」時，民主運作的基礎便遭受深刻挑戰。</w:t>
      </w:r>
    </w:p>
    <w:p w14:paraId="67A3A91F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本課程以 Michael Hannon 與 Elise Woodard 於 2025 年出版的最新著作《政治認識論導論》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（</w:t>
      </w:r>
      <w:proofErr w:type="gramEnd"/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Political Epistemology: An Introduction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為核心教材，介紹政治知識論。政治認識論是位於政治哲學與認識論交會處的跨領域前沿學門。本課程聚焦於「政治的認識論面向」（The Political Is Epistemological），探索知識、真理、理性與信任如何形塑政治制度與公共生活。</w:t>
      </w:r>
    </w:p>
    <w:p w14:paraId="0C9BF078" w14:textId="321D2B21" w:rsid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全書共分十章，融貫政治思想與當代認識論、認知心理學及政治學實證研究。課程將帶領學生系統性探討真理在民主中的角色、認識論民主理論、政治無知與非理性、政治信念的社會功能、深層政治分歧、情感極化、專家權威危機，以及對民主制度的革新重構（如認識專制與抽籤民主）。</w:t>
      </w:r>
    </w:p>
    <w:p w14:paraId="240C4D75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 w:hint="eastAsia"/>
          <w:sz w:val="24"/>
          <w:szCs w:val="24"/>
          <w:lang w:eastAsia="zh-TW"/>
        </w:rPr>
      </w:pPr>
    </w:p>
    <w:p w14:paraId="5564D5C7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1"/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  <w:t>二、 學習目標 (Learning Objectives)</w:t>
      </w:r>
    </w:p>
    <w:p w14:paraId="186A1740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完成本課程後，學生將能夠：</w:t>
      </w:r>
    </w:p>
    <w:p w14:paraId="390AB191" w14:textId="77777777" w:rsidR="00A17D7E" w:rsidRPr="00A17D7E" w:rsidRDefault="00A17D7E" w:rsidP="00A17D7E">
      <w:pPr>
        <w:numPr>
          <w:ilvl w:val="0"/>
          <w:numId w:val="2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掌握政治認識論的核心概念與分析工具：理解政治認識論的兩大研究路徑，並能運用認識論的概念解析當代政治現象。</w:t>
      </w:r>
    </w:p>
    <w:p w14:paraId="6A4ACDCE" w14:textId="77777777" w:rsidR="00A17D7E" w:rsidRPr="00A17D7E" w:rsidRDefault="00A17D7E" w:rsidP="00A17D7E">
      <w:pPr>
        <w:numPr>
          <w:ilvl w:val="0"/>
          <w:numId w:val="2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批判性評估真理與民主正當性的關係：比較程序主義（Proceduralism）與工具主義/認識論（Instrumentalism/Epistemic）民主理論的優缺點。</w:t>
      </w:r>
    </w:p>
    <w:p w14:paraId="52C658A3" w14:textId="77777777" w:rsidR="00A17D7E" w:rsidRPr="00A17D7E" w:rsidRDefault="00A17D7E" w:rsidP="00A17D7E">
      <w:pPr>
        <w:numPr>
          <w:ilvl w:val="0"/>
          <w:numId w:val="2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分析公民認知缺陷對民主的挑戰：深入剖析理性無知（Rational Ignorance）、戰略無知（Strategic Ignorance）、黨派偏見（Partisan Bias）與理性的非理性（Rational Irrationality）的形成機制及其影響。</w:t>
      </w:r>
    </w:p>
    <w:p w14:paraId="1E434846" w14:textId="77777777" w:rsidR="00A17D7E" w:rsidRPr="00A17D7E" w:rsidRDefault="00A17D7E" w:rsidP="00A17D7E">
      <w:pPr>
        <w:numPr>
          <w:ilvl w:val="0"/>
          <w:numId w:val="2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剖析當代政治極化與信任危機：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釐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清情感極化（Affective Polarization）與群體極化的成因，並評估專家權威在民主社會中的正當性與侷限。</w:t>
      </w:r>
    </w:p>
    <w:p w14:paraId="16385DDB" w14:textId="07044B63" w:rsidR="00A17D7E" w:rsidRDefault="00A17D7E" w:rsidP="00A17D7E">
      <w:pPr>
        <w:numPr>
          <w:ilvl w:val="0"/>
          <w:numId w:val="2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前瞻民主體制的革新與替代方案：評估認識專制（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Epistocracy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）、抽籤制（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Lottocracy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/Sortition）及開放民主（Open Democracy）等革新方案的可行性與道德爭議。</w:t>
      </w:r>
    </w:p>
    <w:p w14:paraId="4ACCCC30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 w:hint="eastAsia"/>
          <w:sz w:val="24"/>
          <w:szCs w:val="24"/>
          <w:lang w:eastAsia="zh-TW"/>
        </w:rPr>
      </w:pPr>
    </w:p>
    <w:p w14:paraId="0B75456C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1"/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  <w:lastRenderedPageBreak/>
        <w:t>三、 課程進度 (16-Week Course Schedule)</w:t>
      </w:r>
    </w:p>
    <w:p w14:paraId="2CF4EFD1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2"/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第一階段：基礎概念與真理問題 (Weeks 1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–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3)</w:t>
      </w:r>
    </w:p>
    <w:p w14:paraId="4BA0E583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1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課程導論與政治認識論的興起</w:t>
      </w:r>
    </w:p>
    <w:p w14:paraId="7691C274" w14:textId="77777777" w:rsidR="00A17D7E" w:rsidRPr="00A17D7E" w:rsidRDefault="00A17D7E" w:rsidP="00A17D7E">
      <w:pPr>
        <w:numPr>
          <w:ilvl w:val="0"/>
          <w:numId w:val="3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主題：何謂政治認識論？民主的認識論危機</w:t>
      </w:r>
    </w:p>
    <w:p w14:paraId="50DDE39C" w14:textId="77777777" w:rsidR="00A17D7E" w:rsidRPr="00A17D7E" w:rsidRDefault="00A17D7E" w:rsidP="00A17D7E">
      <w:pPr>
        <w:numPr>
          <w:ilvl w:val="0"/>
          <w:numId w:val="3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核心內容：介紹政治認識論的定義與範疇；比較「政治中的認識論面向」（The Political Is Epistemological）與「認識論的政治面向」（The Epistemological Is Political）兩種路徑；當代公共領域中的後真理、同溫層與資訊危機。</w:t>
      </w:r>
    </w:p>
    <w:p w14:paraId="6B71C118" w14:textId="77777777" w:rsidR="00A17D7E" w:rsidRPr="00A17D7E" w:rsidRDefault="00A17D7E" w:rsidP="00A17D7E">
      <w:pPr>
        <w:numPr>
          <w:ilvl w:val="0"/>
          <w:numId w:val="3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Introduction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(pp. 1–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13)。</w:t>
      </w:r>
      <w:proofErr w:type="gramEnd"/>
    </w:p>
    <w:p w14:paraId="0609A55E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2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真理與政治（一）：真理對民主的價值</w:t>
      </w:r>
    </w:p>
    <w:p w14:paraId="3B19AD23" w14:textId="77777777" w:rsidR="00A17D7E" w:rsidRPr="00A17D7E" w:rsidRDefault="00A17D7E" w:rsidP="00A17D7E">
      <w:pPr>
        <w:numPr>
          <w:ilvl w:val="0"/>
          <w:numId w:val="4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主題：真理的哲學定義與民主社會對真理的需求</w:t>
      </w:r>
    </w:p>
    <w:p w14:paraId="6313F513" w14:textId="77777777" w:rsidR="00A17D7E" w:rsidRPr="00A17D7E" w:rsidRDefault="00A17D7E" w:rsidP="00A17D7E">
      <w:pPr>
        <w:numPr>
          <w:ilvl w:val="0"/>
          <w:numId w:val="4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核心內容：真理的哲學理論（對應論、融貫論、緊縮論、實用主義）；真理對民主的六大關鍵功能（知情選民、問責、防範暴政、公共審議、自由、正當性）；羅爾斯（John Rawls）的「公共理性」與對真理概念的趨避。</w:t>
      </w:r>
    </w:p>
    <w:p w14:paraId="0FADC02F" w14:textId="77777777" w:rsidR="00A17D7E" w:rsidRPr="00A17D7E" w:rsidRDefault="00A17D7E" w:rsidP="00A17D7E">
      <w:pPr>
        <w:numPr>
          <w:ilvl w:val="0"/>
          <w:numId w:val="4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1: Truth and Politics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(Sections 1–3, pp. 14–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23)。</w:t>
      </w:r>
      <w:proofErr w:type="gramEnd"/>
    </w:p>
    <w:p w14:paraId="17B27C3B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3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真理與政治（二）：真理的威脅與政治攻擊</w:t>
      </w:r>
    </w:p>
    <w:p w14:paraId="35549CE8" w14:textId="77777777" w:rsidR="00A17D7E" w:rsidRPr="00A17D7E" w:rsidRDefault="00A17D7E" w:rsidP="00A17D7E">
      <w:pPr>
        <w:numPr>
          <w:ilvl w:val="0"/>
          <w:numId w:val="5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主題：真理作為政治統治工具、資訊戰與後真理時代</w:t>
      </w:r>
    </w:p>
    <w:p w14:paraId="0A142FF9" w14:textId="77777777" w:rsidR="00A17D7E" w:rsidRPr="00A17D7E" w:rsidRDefault="00A17D7E" w:rsidP="00A17D7E">
      <w:pPr>
        <w:numPr>
          <w:ilvl w:val="0"/>
          <w:numId w:val="5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核心內容：真理主張被武器化的歷史警訊（如白人至上主義與極權宣傳）；政治攻擊真理的手段（廢話、宣傳、氣光燈效應、事實冷漠感）；鄂蘭（Hannah Arendt）對「事實真理」（Factual Truth）與「理性真理」（Rational Truth）的區分及其脆弱性；是否存在政治真理（非認知主義與弱認知主義）。</w:t>
      </w:r>
    </w:p>
    <w:p w14:paraId="43812612" w14:textId="2DC22242" w:rsidR="00A17D7E" w:rsidRDefault="00A17D7E" w:rsidP="00A17D7E">
      <w:pPr>
        <w:numPr>
          <w:ilvl w:val="0"/>
          <w:numId w:val="5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1: Truth and Politics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(Sections 4–9, pp. 23–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39)。</w:t>
      </w:r>
      <w:proofErr w:type="gramEnd"/>
    </w:p>
    <w:p w14:paraId="0BA90922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 w:hint="eastAsia"/>
          <w:sz w:val="24"/>
          <w:szCs w:val="24"/>
          <w:lang w:eastAsia="zh-TW"/>
        </w:rPr>
      </w:pPr>
    </w:p>
    <w:p w14:paraId="4C9E465F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2"/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第二階段：認識論民主理論及其反思 (Weeks 4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–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7)</w:t>
      </w:r>
    </w:p>
    <w:p w14:paraId="6EFE8F70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4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認識論民主（一）：歷史爭論與程序主義</w:t>
      </w:r>
    </w:p>
    <w:p w14:paraId="36D1AF3A" w14:textId="77777777" w:rsidR="00A17D7E" w:rsidRPr="00A17D7E" w:rsidRDefault="00A17D7E" w:rsidP="00A17D7E">
      <w:pPr>
        <w:numPr>
          <w:ilvl w:val="0"/>
          <w:numId w:val="6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lastRenderedPageBreak/>
        <w:t>主題：古希臘的民主哲學與正當性模型</w:t>
      </w:r>
    </w:p>
    <w:p w14:paraId="253C2182" w14:textId="77777777" w:rsidR="00A17D7E" w:rsidRPr="00A17D7E" w:rsidRDefault="00A17D7E" w:rsidP="00A17D7E">
      <w:pPr>
        <w:numPr>
          <w:ilvl w:val="0"/>
          <w:numId w:val="6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核心內容：柏拉圖對民主的認識論悲觀主義（「政治之船」隱喻與認識專制）；亞里斯多德的認識論樂觀主義（群眾智慧）；純粹程序主義（Pure Proceduralism）與程序公平性；程序性審議民主（Deliberative Democracy）及其批判。</w:t>
      </w:r>
    </w:p>
    <w:p w14:paraId="0EDE3F1D" w14:textId="77777777" w:rsidR="00A17D7E" w:rsidRPr="00A17D7E" w:rsidRDefault="00A17D7E" w:rsidP="00A17D7E">
      <w:pPr>
        <w:numPr>
          <w:ilvl w:val="0"/>
          <w:numId w:val="6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2: Epistemic Democracy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(Sections 1–2, pp. 40–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51)。</w:t>
      </w:r>
      <w:proofErr w:type="gramEnd"/>
    </w:p>
    <w:p w14:paraId="7F27E890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5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認識論民主（二）：集體智慧的數學與審議機制</w:t>
      </w:r>
    </w:p>
    <w:p w14:paraId="3911E2E2" w14:textId="77777777" w:rsidR="00A17D7E" w:rsidRPr="00A17D7E" w:rsidRDefault="00A17D7E" w:rsidP="00A17D7E">
      <w:pPr>
        <w:numPr>
          <w:ilvl w:val="0"/>
          <w:numId w:val="7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主題：聚合模型、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孔多塞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陪審員定理與審議的認識價值</w:t>
      </w:r>
    </w:p>
    <w:p w14:paraId="7E39DAA1" w14:textId="77777777" w:rsidR="00A17D7E" w:rsidRPr="00A17D7E" w:rsidRDefault="00A17D7E" w:rsidP="00A17D7E">
      <w:pPr>
        <w:numPr>
          <w:ilvl w:val="0"/>
          <w:numId w:val="7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核心內容：集體智慧模型：聚合奇蹟（Miracle of Aggregation）、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孔多塞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陪審員定理（Condorcet's Jury Theorem，能力與獨立性條件）、勝過能力的多元性定理（Diversity Trumps Ability Theorem）；公共審議的認識論益處與理想審議情境的現實挑戰。</w:t>
      </w:r>
    </w:p>
    <w:p w14:paraId="0C854D39" w14:textId="77777777" w:rsidR="00A17D7E" w:rsidRPr="00A17D7E" w:rsidRDefault="00A17D7E" w:rsidP="00A17D7E">
      <w:pPr>
        <w:numPr>
          <w:ilvl w:val="0"/>
          <w:numId w:val="7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2: Epistemic Democracy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(Sections 3–7, pp. 51–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72)。</w:t>
      </w:r>
      <w:proofErr w:type="gramEnd"/>
    </w:p>
    <w:p w14:paraId="70F04B90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6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反思認識論民主：權威困境與認識論賭博</w:t>
      </w:r>
    </w:p>
    <w:p w14:paraId="4D8FB492" w14:textId="77777777" w:rsidR="00A17D7E" w:rsidRPr="00A17D7E" w:rsidRDefault="00A17D7E" w:rsidP="00A17D7E">
      <w:pPr>
        <w:numPr>
          <w:ilvl w:val="0"/>
          <w:numId w:val="8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主題：認識論民主的理論難題</w:t>
      </w:r>
    </w:p>
    <w:p w14:paraId="1D0F1630" w14:textId="77777777" w:rsidR="00A17D7E" w:rsidRPr="00A17D7E" w:rsidRDefault="00A17D7E" w:rsidP="00A17D7E">
      <w:pPr>
        <w:numPr>
          <w:ilvl w:val="0"/>
          <w:numId w:val="8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核心內容：彼得（Fabienne Peter）的「權威困境」（Authority Dilemma）：認識論民主是否自我挫敗？；迴避困境的三大策略（校準、微型公眾、改善現狀）；「認識論賭博」（Epistemological Gamble）：將民主正當性押注於認識能力是否過於冒險？。</w:t>
      </w:r>
    </w:p>
    <w:p w14:paraId="66D2FE69" w14:textId="77777777" w:rsidR="00A17D7E" w:rsidRPr="00A17D7E" w:rsidRDefault="00A17D7E" w:rsidP="00A17D7E">
      <w:pPr>
        <w:numPr>
          <w:ilvl w:val="0"/>
          <w:numId w:val="8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3: Epistemic Democracy Reconsidered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(Sections 1–4, pp. 73–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86)。</w:t>
      </w:r>
      <w:proofErr w:type="gramEnd"/>
    </w:p>
    <w:p w14:paraId="4776ED38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7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超越真理的認識論民主：混合與替代路徑</w:t>
      </w:r>
    </w:p>
    <w:p w14:paraId="38774679" w14:textId="77777777" w:rsidR="00A17D7E" w:rsidRPr="00A17D7E" w:rsidRDefault="00A17D7E" w:rsidP="00A17D7E">
      <w:pPr>
        <w:numPr>
          <w:ilvl w:val="0"/>
          <w:numId w:val="9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主題：認識程序主義、實用主義與非真理導向的認識目標</w:t>
      </w:r>
    </w:p>
    <w:p w14:paraId="52D77496" w14:textId="77777777" w:rsidR="00A17D7E" w:rsidRPr="00A17D7E" w:rsidRDefault="00A17D7E" w:rsidP="00A17D7E">
      <w:pPr>
        <w:numPr>
          <w:ilvl w:val="0"/>
          <w:numId w:val="9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核心內容：埃斯特倫德（David 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Estlund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）的「認識程序主義」（Epistemic Proceduralism）與陪審團類比；彼得的「純粹認識程序主義」（Pure Epistemic Proceduralism）與同儕分歧；米薩克（Cheryl 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Misak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）與塔利斯（Robert 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Talisse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）的實用主義認識論辯護；非真理導向的認識目標（合理信念、同理理解、避免錯誤）。</w:t>
      </w:r>
    </w:p>
    <w:p w14:paraId="2EA07629" w14:textId="11EB9305" w:rsidR="00A17D7E" w:rsidRDefault="00A17D7E" w:rsidP="00A17D7E">
      <w:pPr>
        <w:numPr>
          <w:ilvl w:val="0"/>
          <w:numId w:val="9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3: Epistemic Democracy Reconsidered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(Sections 5–9, pp. 86–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101)。</w:t>
      </w:r>
      <w:proofErr w:type="gramEnd"/>
    </w:p>
    <w:p w14:paraId="1573D2E1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 w:hint="eastAsia"/>
          <w:sz w:val="24"/>
          <w:szCs w:val="24"/>
          <w:lang w:eastAsia="zh-TW"/>
        </w:rPr>
      </w:pPr>
    </w:p>
    <w:p w14:paraId="5CE1CA4D" w14:textId="6ED017F1" w:rsid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lastRenderedPageBreak/>
        <w:t xml:space="preserve">第 8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期中考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</w:p>
    <w:p w14:paraId="40337A67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 w:hint="eastAsia"/>
          <w:b/>
          <w:bCs/>
          <w:sz w:val="24"/>
          <w:szCs w:val="24"/>
          <w:lang w:eastAsia="zh-TW"/>
        </w:rPr>
      </w:pPr>
    </w:p>
    <w:p w14:paraId="5D1AC9C8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2"/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第三階段：選民認知缺陷與認知動力學 (Weeks 9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–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11)</w:t>
      </w:r>
    </w:p>
    <w:p w14:paraId="67BBE761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9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政治無知：理性無知、戰略無知與能力原則</w:t>
      </w:r>
    </w:p>
    <w:p w14:paraId="2EA85965" w14:textId="77777777" w:rsidR="00A17D7E" w:rsidRPr="00A17D7E" w:rsidRDefault="00A17D7E" w:rsidP="00A17D7E">
      <w:pPr>
        <w:numPr>
          <w:ilvl w:val="0"/>
          <w:numId w:val="10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主題：選民無知的實證現況與理論解釋</w:t>
      </w:r>
    </w:p>
    <w:p w14:paraId="0B7A336A" w14:textId="77777777" w:rsidR="00A17D7E" w:rsidRPr="00A17D7E" w:rsidRDefault="00A17D7E" w:rsidP="00A17D7E">
      <w:pPr>
        <w:numPr>
          <w:ilvl w:val="0"/>
          <w:numId w:val="10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核心內容：選民政治知識實證調查（知情、不知情與被誤導選民的區分）；「理性無知」（Rational Ignorance）理論與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投票悖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論；弗里德曼（Jeffrey Friedman）的「激進無知」（Radical Ignorance）與天真現實主義；威廉斯（Daniel Williams）的「戰略無知」（Strategic Ignorance）與珍視信念；布倫南（Jason Brennan）的「能力原則」（Competence Principle）。</w:t>
      </w:r>
    </w:p>
    <w:p w14:paraId="6A131411" w14:textId="77777777" w:rsidR="00A17D7E" w:rsidRPr="00A17D7E" w:rsidRDefault="00A17D7E" w:rsidP="00A17D7E">
      <w:pPr>
        <w:numPr>
          <w:ilvl w:val="0"/>
          <w:numId w:val="10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4: Political Ignorance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(pp. 102–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134)。</w:t>
      </w:r>
      <w:proofErr w:type="gramEnd"/>
    </w:p>
    <w:p w14:paraId="78F5B09B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10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非理性與黨派偏見：動機推理與理性的非理性</w:t>
      </w:r>
    </w:p>
    <w:p w14:paraId="048521C0" w14:textId="77777777" w:rsidR="00A17D7E" w:rsidRPr="00A17D7E" w:rsidRDefault="00A17D7E" w:rsidP="00A17D7E">
      <w:pPr>
        <w:numPr>
          <w:ilvl w:val="0"/>
          <w:numId w:val="11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主題：政治如何腐化理性思考</w:t>
      </w:r>
    </w:p>
    <w:p w14:paraId="026C648C" w14:textId="77777777" w:rsidR="00A17D7E" w:rsidRPr="00A17D7E" w:rsidRDefault="00A17D7E" w:rsidP="00A17D7E">
      <w:pPr>
        <w:numPr>
          <w:ilvl w:val="0"/>
          <w:numId w:val="11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核心內容：黨派動機推理（Motivated Reasoning）、選擇性接觸與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確認偏誤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；武器化知識（Weaponized Knowledge）：知識與智商高者為何偏見更深？；卡普蘭（Bryan Caplan）的「理性的非理性」（Rational Irrationality）理論；資訊差異觀（Different Information View）與信任差異觀（Differential Trust View）；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左右翼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的認知對稱性爭議。</w:t>
      </w:r>
    </w:p>
    <w:p w14:paraId="1359FF44" w14:textId="77777777" w:rsidR="00A17D7E" w:rsidRPr="00A17D7E" w:rsidRDefault="00A17D7E" w:rsidP="00A17D7E">
      <w:pPr>
        <w:numPr>
          <w:ilvl w:val="0"/>
          <w:numId w:val="11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5: Irrationality and Bias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(pp. 135–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160)。</w:t>
      </w:r>
      <w:proofErr w:type="gramEnd"/>
    </w:p>
    <w:p w14:paraId="7EA29437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11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政治信念的本質：社會適應、信條與表達性回應</w:t>
      </w:r>
    </w:p>
    <w:p w14:paraId="3E1D01E2" w14:textId="77777777" w:rsidR="00A17D7E" w:rsidRPr="00A17D7E" w:rsidRDefault="00A17D7E" w:rsidP="00A17D7E">
      <w:pPr>
        <w:numPr>
          <w:ilvl w:val="0"/>
          <w:numId w:val="12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主題：政治信念是否以真理為目標？</w:t>
      </w:r>
    </w:p>
    <w:p w14:paraId="79DE1756" w14:textId="77777777" w:rsidR="00A17D7E" w:rsidRPr="00A17D7E" w:rsidRDefault="00A17D7E" w:rsidP="00A17D7E">
      <w:pPr>
        <w:numPr>
          <w:ilvl w:val="0"/>
          <w:numId w:val="12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核心內容：民間民主理論（Folk Theory of Democracy）的四大假設及其困境；政治信念作為「社會適應性信念」（Socially Adaptive Beliefs）與社會信號；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范·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里文（Neil Van Leeuwen）的「政治信條」（Political 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Credences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）概念；表達性回應（Expressive Responding / Partisan Cheerleading）；康弗斯（Philip Converse）的意識形態無辜性（Ideological Innocence）與即興構建信念。</w:t>
      </w:r>
    </w:p>
    <w:p w14:paraId="58322F15" w14:textId="176DADB9" w:rsidR="00A17D7E" w:rsidRDefault="00A17D7E" w:rsidP="00A17D7E">
      <w:pPr>
        <w:numPr>
          <w:ilvl w:val="0"/>
          <w:numId w:val="12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6: Political Belief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(pp. 161–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182)。</w:t>
      </w:r>
      <w:proofErr w:type="gramEnd"/>
    </w:p>
    <w:p w14:paraId="65AE5D95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 w:hint="eastAsia"/>
          <w:sz w:val="24"/>
          <w:szCs w:val="24"/>
          <w:lang w:eastAsia="zh-TW"/>
        </w:rPr>
      </w:pPr>
    </w:p>
    <w:p w14:paraId="184527C0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2"/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第四階段：社會分歧、極化與信任危機 (Weeks 12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–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14)</w:t>
      </w:r>
    </w:p>
    <w:p w14:paraId="3012B28A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lastRenderedPageBreak/>
        <w:t xml:space="preserve">第 12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政治分歧：深層分歧與同儕分歧</w:t>
      </w:r>
    </w:p>
    <w:p w14:paraId="58581E0A" w14:textId="77777777" w:rsidR="00A17D7E" w:rsidRPr="00A17D7E" w:rsidRDefault="00A17D7E" w:rsidP="00A17D7E">
      <w:pPr>
        <w:numPr>
          <w:ilvl w:val="0"/>
          <w:numId w:val="13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主題：政治分歧的特徵、成因與理性回應</w:t>
      </w:r>
    </w:p>
    <w:p w14:paraId="47855188" w14:textId="77777777" w:rsidR="00A17D7E" w:rsidRPr="00A17D7E" w:rsidRDefault="00A17D7E" w:rsidP="00A17D7E">
      <w:pPr>
        <w:numPr>
          <w:ilvl w:val="0"/>
          <w:numId w:val="13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核心內容：政治分歧的五大特徵（廣泛、擴散、持久、叢集、敵對）；傳統解釋（價值觀與事實分歧）及其缺陷；「黨派優先」（Partisan-First）模型；福格林（Robert 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Fogelin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）的「深層分歧」（Deep Disagreements）與非理性說服；認識論同儕分歧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（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堅守 vs. 妥協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與政黨敵手的降級。</w:t>
      </w:r>
    </w:p>
    <w:p w14:paraId="60959776" w14:textId="77777777" w:rsidR="00A17D7E" w:rsidRPr="00A17D7E" w:rsidRDefault="00A17D7E" w:rsidP="00A17D7E">
      <w:pPr>
        <w:numPr>
          <w:ilvl w:val="0"/>
          <w:numId w:val="13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7: Political Disagreement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(pp. 183–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210)。</w:t>
      </w:r>
      <w:proofErr w:type="gramEnd"/>
    </w:p>
    <w:p w14:paraId="65E06787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13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極化與黨派之爭：感情極化與群體極化</w:t>
      </w:r>
    </w:p>
    <w:p w14:paraId="6CF081D4" w14:textId="77777777" w:rsidR="00A17D7E" w:rsidRPr="00A17D7E" w:rsidRDefault="00A17D7E" w:rsidP="00A17D7E">
      <w:pPr>
        <w:numPr>
          <w:ilvl w:val="0"/>
          <w:numId w:val="14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主題：政治極化的多維面向與成因</w:t>
      </w:r>
    </w:p>
    <w:p w14:paraId="61B18F69" w14:textId="77777777" w:rsidR="00A17D7E" w:rsidRPr="00A17D7E" w:rsidRDefault="00A17D7E" w:rsidP="00A17D7E">
      <w:pPr>
        <w:numPr>
          <w:ilvl w:val="0"/>
          <w:numId w:val="14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核心內容：極化的維度：意識形態極化 vs. 情感極化（Affective Polarization）、負面黨派意識（Negative Partisanship）；群體極化（Group Polarization）與信念極化；成因：黨派媒體與同溫層、政治精英引導、黨派/社會/地理歸類（Sorting &amp; Mega-identity）；極化是否理性？；極化的社會危害（不寬容、暴力、僵局、民主倒退）。</w:t>
      </w:r>
    </w:p>
    <w:p w14:paraId="73D79079" w14:textId="77777777" w:rsidR="00A17D7E" w:rsidRPr="00A17D7E" w:rsidRDefault="00A17D7E" w:rsidP="00A17D7E">
      <w:pPr>
        <w:numPr>
          <w:ilvl w:val="0"/>
          <w:numId w:val="14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8: Polarization and Partisanship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(pp. 211–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244)。</w:t>
      </w:r>
      <w:proofErr w:type="gramEnd"/>
    </w:p>
    <w:p w14:paraId="2FCE704A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14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信任與專業知識：專家危機與黨派認識論</w:t>
      </w:r>
    </w:p>
    <w:p w14:paraId="1DB683F4" w14:textId="77777777" w:rsidR="00A17D7E" w:rsidRPr="00A17D7E" w:rsidRDefault="00A17D7E" w:rsidP="00A17D7E">
      <w:pPr>
        <w:numPr>
          <w:ilvl w:val="0"/>
          <w:numId w:val="15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主題：專家信任危機與民主體制的緊張關係</w:t>
      </w:r>
    </w:p>
    <w:p w14:paraId="7DF0DC89" w14:textId="77777777" w:rsidR="00A17D7E" w:rsidRPr="00A17D7E" w:rsidRDefault="00A17D7E" w:rsidP="00A17D7E">
      <w:pPr>
        <w:numPr>
          <w:ilvl w:val="0"/>
          <w:numId w:val="15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核心內容：媒體、政府與科學家的信任危機；民主與專業知識（Expertise）的內在緊張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（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平等 vs. 獨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佔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/等級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；調和策略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（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分工模型：目標 vs. 手段、專家作為顧問而非權威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；專業知識的定義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（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認識論理論 vs. 社會地位理論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；新手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–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專家難題（Novice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–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Expert Problem）與識別標準；技術官僚悲觀論（Friedman）；民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粹</w:t>
      </w:r>
      <w:proofErr w:type="gram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主義認識論（Populist Epistemology）；「自行研究」（DYOR）的認識論風險。</w:t>
      </w:r>
    </w:p>
    <w:p w14:paraId="1C497D1E" w14:textId="77777777" w:rsidR="00A17D7E" w:rsidRPr="00A17D7E" w:rsidRDefault="00A17D7E" w:rsidP="00A17D7E">
      <w:pPr>
        <w:numPr>
          <w:ilvl w:val="0"/>
          <w:numId w:val="15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9: Trust and Expertise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(pp. 245–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280)。</w:t>
      </w:r>
      <w:proofErr w:type="gramEnd"/>
    </w:p>
    <w:p w14:paraId="4A51996D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2"/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第五階段：重構民主與制度前瞻 (Weeks 15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–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7"/>
          <w:szCs w:val="27"/>
          <w:lang w:eastAsia="zh-TW"/>
        </w:rPr>
        <w:t>16)</w:t>
      </w:r>
    </w:p>
    <w:p w14:paraId="3777C6E9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15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重構民主：認識專制與抽籤民主的爭辯</w:t>
      </w:r>
    </w:p>
    <w:p w14:paraId="0916AA18" w14:textId="77777777" w:rsidR="00A17D7E" w:rsidRPr="00A17D7E" w:rsidRDefault="00A17D7E" w:rsidP="00A17D7E">
      <w:pPr>
        <w:numPr>
          <w:ilvl w:val="0"/>
          <w:numId w:val="16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主題：超越傳統選舉民主的治理方案</w:t>
      </w:r>
    </w:p>
    <w:p w14:paraId="45881F34" w14:textId="77777777" w:rsidR="00A17D7E" w:rsidRPr="00A17D7E" w:rsidRDefault="00A17D7E" w:rsidP="00A17D7E">
      <w:pPr>
        <w:numPr>
          <w:ilvl w:val="0"/>
          <w:numId w:val="16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核心內容：民主悲觀主義 vs. 民主樂觀主義；認識專制（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Epistocracy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）的五種模式：選民資格考試、複數投票制（Plural Voting）、參政權彩券（Enfranchisement Lottery）、認識論否決權、啟蒙偏好投票（Enlightened Preference Voting）；認識專制的總體批判（合理分歧、濫用風險、選擇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lastRenderedPageBreak/>
        <w:t>性偏誤、正當性危機）；抽籤民主（Sortition）方案：葛雷羅（Alexander Guerrero）的「抽籤制」（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Lottocracy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/SILLs） 與蘭德摩爾（Hélène </w:t>
      </w: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Landemore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）的「開放民主」（Open Democracy/Open Mini-publics）；盲目服從與民主自決的反思。</w:t>
      </w:r>
    </w:p>
    <w:p w14:paraId="1221E87B" w14:textId="77777777" w:rsidR="00A17D7E" w:rsidRPr="00A17D7E" w:rsidRDefault="00A17D7E" w:rsidP="00A17D7E">
      <w:pPr>
        <w:numPr>
          <w:ilvl w:val="0"/>
          <w:numId w:val="16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指定閱讀：Textbook,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Chapter 10: Rethinking Democracy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 (pp. 281–</w:t>
      </w:r>
      <w:proofErr w:type="gram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322)。</w:t>
      </w:r>
      <w:proofErr w:type="gramEnd"/>
    </w:p>
    <w:p w14:paraId="39E08150" w14:textId="6D4912FD" w:rsid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第 16 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 xml:space="preserve"> 期末考</w:t>
      </w:r>
      <w:proofErr w:type="gramStart"/>
      <w:r w:rsidRPr="00A17D7E">
        <w:rPr>
          <w:rFonts w:asciiTheme="minorEastAsia" w:eastAsiaTheme="minorEastAsia" w:hAnsiTheme="minorEastAsia" w:cs="新細明體"/>
          <w:b/>
          <w:bCs/>
          <w:sz w:val="24"/>
          <w:szCs w:val="24"/>
          <w:lang w:eastAsia="zh-TW"/>
        </w:rPr>
        <w:t>週</w:t>
      </w:r>
      <w:proofErr w:type="gramEnd"/>
    </w:p>
    <w:p w14:paraId="276A6966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3"/>
        <w:rPr>
          <w:rFonts w:asciiTheme="minorEastAsia" w:eastAsiaTheme="minorEastAsia" w:hAnsiTheme="minorEastAsia" w:cs="新細明體" w:hint="eastAsia"/>
          <w:b/>
          <w:bCs/>
          <w:sz w:val="24"/>
          <w:szCs w:val="24"/>
          <w:lang w:eastAsia="zh-TW"/>
        </w:rPr>
      </w:pPr>
    </w:p>
    <w:p w14:paraId="74CDB09A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1"/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  <w:t>教科書</w:t>
      </w:r>
    </w:p>
    <w:p w14:paraId="11FCFC49" w14:textId="385A40B4" w:rsid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Michael Hannon &amp; Elise Woodard (</w:t>
      </w:r>
      <w:hyperlink r:id="rId5" w:history="1">
        <w:r w:rsidRPr="00A17D7E">
          <w:rPr>
            <w:rFonts w:asciiTheme="minorEastAsia" w:eastAsiaTheme="minorEastAsia" w:hAnsiTheme="minorEastAsia" w:cs="新細明體"/>
            <w:color w:val="0000FF"/>
            <w:sz w:val="24"/>
            <w:szCs w:val="24"/>
            <w:u w:val="single"/>
            <w:lang w:eastAsia="zh-TW"/>
          </w:rPr>
          <w:t>2025</w:t>
        </w:r>
      </w:hyperlink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).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Political Epistemology: An Introduction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. Routledge.</w:t>
      </w:r>
    </w:p>
    <w:p w14:paraId="7970FA46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</w:p>
    <w:p w14:paraId="31672535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1"/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  <w:t>參考書</w:t>
      </w:r>
    </w:p>
    <w:p w14:paraId="5D0B2DEE" w14:textId="77777777" w:rsidR="00A17D7E" w:rsidRPr="00A17D7E" w:rsidRDefault="00A17D7E" w:rsidP="00A17D7E">
      <w:pPr>
        <w:numPr>
          <w:ilvl w:val="0"/>
          <w:numId w:val="17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Hannon, M., &amp; Ridder, J. de. (</w:t>
      </w:r>
      <w:hyperlink r:id="rId6" w:history="1">
        <w:r w:rsidRPr="00A17D7E">
          <w:rPr>
            <w:rFonts w:asciiTheme="minorEastAsia" w:eastAsiaTheme="minorEastAsia" w:hAnsiTheme="minorEastAsia" w:cs="新細明體"/>
            <w:color w:val="0000FF"/>
            <w:sz w:val="24"/>
            <w:szCs w:val="24"/>
            <w:u w:val="single"/>
            <w:lang w:eastAsia="zh-TW"/>
          </w:rPr>
          <w:t>2021</w:t>
        </w:r>
      </w:hyperlink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).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The Routledge Handbook of Political Epistemology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. Routledge.</w:t>
      </w:r>
    </w:p>
    <w:p w14:paraId="10EDEED6" w14:textId="7E3E5B2B" w:rsidR="00A17D7E" w:rsidRDefault="00A17D7E" w:rsidP="00A17D7E">
      <w:pPr>
        <w:numPr>
          <w:ilvl w:val="0"/>
          <w:numId w:val="17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proofErr w:type="spellStart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Edenberg</w:t>
      </w:r>
      <w:proofErr w:type="spellEnd"/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, E., &amp; Hannon, M. (</w:t>
      </w:r>
      <w:hyperlink r:id="rId7" w:history="1">
        <w:r w:rsidRPr="00A17D7E">
          <w:rPr>
            <w:rFonts w:asciiTheme="minorEastAsia" w:eastAsiaTheme="minorEastAsia" w:hAnsiTheme="minorEastAsia" w:cs="新細明體"/>
            <w:color w:val="0000FF"/>
            <w:sz w:val="24"/>
            <w:szCs w:val="24"/>
            <w:u w:val="single"/>
            <w:lang w:eastAsia="zh-TW"/>
          </w:rPr>
          <w:t>2021</w:t>
        </w:r>
      </w:hyperlink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 xml:space="preserve">). </w:t>
      </w:r>
      <w:r w:rsidRPr="00A17D7E">
        <w:rPr>
          <w:rFonts w:asciiTheme="minorEastAsia" w:eastAsiaTheme="minorEastAsia" w:hAnsiTheme="minorEastAsia" w:cs="新細明體"/>
          <w:i/>
          <w:iCs/>
          <w:sz w:val="24"/>
          <w:szCs w:val="24"/>
          <w:lang w:eastAsia="zh-TW"/>
        </w:rPr>
        <w:t>Political Epistemology</w:t>
      </w: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. Oxford University Press.</w:t>
      </w:r>
    </w:p>
    <w:p w14:paraId="393C77AF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 w:hint="eastAsia"/>
          <w:sz w:val="24"/>
          <w:szCs w:val="24"/>
          <w:lang w:eastAsia="zh-TW"/>
        </w:rPr>
      </w:pPr>
    </w:p>
    <w:p w14:paraId="12F04663" w14:textId="77777777" w:rsidR="00A17D7E" w:rsidRPr="00A17D7E" w:rsidRDefault="00A17D7E" w:rsidP="00A17D7E">
      <w:pPr>
        <w:snapToGrid/>
        <w:spacing w:before="100" w:beforeAutospacing="1" w:after="100" w:afterAutospacing="1" w:line="240" w:lineRule="auto"/>
        <w:outlineLvl w:val="1"/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</w:pPr>
      <w:r w:rsidRPr="00A17D7E">
        <w:rPr>
          <w:rFonts w:asciiTheme="minorEastAsia" w:eastAsiaTheme="minorEastAsia" w:hAnsiTheme="minorEastAsia" w:cs="新細明體"/>
          <w:b/>
          <w:bCs/>
          <w:sz w:val="36"/>
          <w:szCs w:val="36"/>
          <w:lang w:eastAsia="zh-TW"/>
        </w:rPr>
        <w:t>課程要求</w:t>
      </w:r>
    </w:p>
    <w:p w14:paraId="26C8F1BF" w14:textId="77777777" w:rsidR="00A17D7E" w:rsidRPr="00A17D7E" w:rsidRDefault="00A17D7E" w:rsidP="00A17D7E">
      <w:pPr>
        <w:numPr>
          <w:ilvl w:val="0"/>
          <w:numId w:val="18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期中考：35%</w:t>
      </w:r>
    </w:p>
    <w:p w14:paraId="05EF058E" w14:textId="77777777" w:rsidR="00A17D7E" w:rsidRPr="00A17D7E" w:rsidRDefault="00A17D7E" w:rsidP="00A17D7E">
      <w:pPr>
        <w:numPr>
          <w:ilvl w:val="0"/>
          <w:numId w:val="18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期末考：35%</w:t>
      </w:r>
    </w:p>
    <w:p w14:paraId="3DB4D1E8" w14:textId="77777777" w:rsidR="00A17D7E" w:rsidRPr="00A17D7E" w:rsidRDefault="00A17D7E" w:rsidP="00A17D7E">
      <w:pPr>
        <w:numPr>
          <w:ilvl w:val="0"/>
          <w:numId w:val="18"/>
        </w:numPr>
        <w:snapToGrid/>
        <w:spacing w:before="100" w:beforeAutospacing="1" w:after="100" w:afterAutospacing="1" w:line="240" w:lineRule="auto"/>
        <w:rPr>
          <w:rFonts w:asciiTheme="minorEastAsia" w:eastAsiaTheme="minorEastAsia" w:hAnsiTheme="minorEastAsia" w:cs="新細明體"/>
          <w:sz w:val="24"/>
          <w:szCs w:val="24"/>
          <w:lang w:eastAsia="zh-TW"/>
        </w:rPr>
      </w:pPr>
      <w:r w:rsidRPr="00A17D7E">
        <w:rPr>
          <w:rFonts w:asciiTheme="minorEastAsia" w:eastAsiaTheme="minorEastAsia" w:hAnsiTheme="minorEastAsia" w:cs="新細明體"/>
          <w:sz w:val="24"/>
          <w:szCs w:val="24"/>
          <w:lang w:eastAsia="zh-TW"/>
        </w:rPr>
        <w:t>平時成績：30%</w:t>
      </w:r>
    </w:p>
    <w:p w14:paraId="1C97DABB" w14:textId="67CFDFB0" w:rsidR="00E30A46" w:rsidRPr="00A17D7E" w:rsidRDefault="00E30A46" w:rsidP="00A17D7E">
      <w:pPr>
        <w:rPr>
          <w:rFonts w:asciiTheme="minorEastAsia" w:eastAsiaTheme="minorEastAsia" w:hAnsiTheme="minorEastAsia"/>
        </w:rPr>
      </w:pPr>
    </w:p>
    <w:sectPr w:rsidR="00E30A46" w:rsidRPr="00A17D7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77A1"/>
    <w:multiLevelType w:val="multilevel"/>
    <w:tmpl w:val="59663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81ECC"/>
    <w:multiLevelType w:val="multilevel"/>
    <w:tmpl w:val="735C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7296E"/>
    <w:multiLevelType w:val="multilevel"/>
    <w:tmpl w:val="1582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4542D"/>
    <w:multiLevelType w:val="multilevel"/>
    <w:tmpl w:val="2DAE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5E62EF"/>
    <w:multiLevelType w:val="multilevel"/>
    <w:tmpl w:val="7C5E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40ECD"/>
    <w:multiLevelType w:val="multilevel"/>
    <w:tmpl w:val="FF40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A7B55"/>
    <w:multiLevelType w:val="multilevel"/>
    <w:tmpl w:val="6BB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4253B"/>
    <w:multiLevelType w:val="multilevel"/>
    <w:tmpl w:val="F3884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AA072C"/>
    <w:multiLevelType w:val="multilevel"/>
    <w:tmpl w:val="9A0E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F6967"/>
    <w:multiLevelType w:val="multilevel"/>
    <w:tmpl w:val="ACF6D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51C63"/>
    <w:multiLevelType w:val="multilevel"/>
    <w:tmpl w:val="4D64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B36633"/>
    <w:multiLevelType w:val="multilevel"/>
    <w:tmpl w:val="F4A4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27BE6"/>
    <w:multiLevelType w:val="multilevel"/>
    <w:tmpl w:val="11C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EB0E58"/>
    <w:multiLevelType w:val="multilevel"/>
    <w:tmpl w:val="DDF24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CD03CE"/>
    <w:multiLevelType w:val="multilevel"/>
    <w:tmpl w:val="518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95D1E"/>
    <w:multiLevelType w:val="multilevel"/>
    <w:tmpl w:val="2DC0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A40457"/>
    <w:multiLevelType w:val="multilevel"/>
    <w:tmpl w:val="55283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710D81"/>
    <w:multiLevelType w:val="multilevel"/>
    <w:tmpl w:val="99E6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14"/>
  </w:num>
  <w:num w:numId="5">
    <w:abstractNumId w:val="11"/>
  </w:num>
  <w:num w:numId="6">
    <w:abstractNumId w:val="3"/>
  </w:num>
  <w:num w:numId="7">
    <w:abstractNumId w:val="2"/>
  </w:num>
  <w:num w:numId="8">
    <w:abstractNumId w:val="13"/>
  </w:num>
  <w:num w:numId="9">
    <w:abstractNumId w:val="8"/>
  </w:num>
  <w:num w:numId="10">
    <w:abstractNumId w:val="7"/>
  </w:num>
  <w:num w:numId="11">
    <w:abstractNumId w:val="12"/>
  </w:num>
  <w:num w:numId="12">
    <w:abstractNumId w:val="17"/>
  </w:num>
  <w:num w:numId="13">
    <w:abstractNumId w:val="10"/>
  </w:num>
  <w:num w:numId="14">
    <w:abstractNumId w:val="6"/>
  </w:num>
  <w:num w:numId="15">
    <w:abstractNumId w:val="5"/>
  </w:num>
  <w:num w:numId="16">
    <w:abstractNumId w:val="16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A46"/>
    <w:rsid w:val="0005176F"/>
    <w:rsid w:val="000B66CB"/>
    <w:rsid w:val="0012149B"/>
    <w:rsid w:val="00166AC0"/>
    <w:rsid w:val="00200EF3"/>
    <w:rsid w:val="00241B08"/>
    <w:rsid w:val="0032024C"/>
    <w:rsid w:val="003C11E6"/>
    <w:rsid w:val="0047179A"/>
    <w:rsid w:val="00541360"/>
    <w:rsid w:val="00780086"/>
    <w:rsid w:val="00817659"/>
    <w:rsid w:val="00940895"/>
    <w:rsid w:val="00982CB8"/>
    <w:rsid w:val="00A17D7E"/>
    <w:rsid w:val="00A8028D"/>
    <w:rsid w:val="00A8063C"/>
    <w:rsid w:val="00DB463A"/>
    <w:rsid w:val="00DD5E16"/>
    <w:rsid w:val="00E30A46"/>
    <w:rsid w:val="00E7163E"/>
    <w:rsid w:val="00EA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8FF7"/>
  <w15:chartTrackingRefBased/>
  <w15:docId w15:val="{9FC884E1-19CF-4D0F-B99B-A1CB41BE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895"/>
    <w:pPr>
      <w:snapToGrid w:val="0"/>
      <w:spacing w:line="324" w:lineRule="auto"/>
    </w:pPr>
    <w:rPr>
      <w:rFonts w:ascii="Segoe UI" w:eastAsia="新細明體" w:hAnsi="Segoe UI" w:cs="Times New Roman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66AC0"/>
    <w:pPr>
      <w:widowControl w:val="0"/>
      <w:spacing w:before="100" w:beforeAutospacing="1" w:after="100" w:afterAutospacing="1"/>
      <w:contextualSpacing/>
      <w:jc w:val="center"/>
      <w:outlineLvl w:val="0"/>
    </w:pPr>
    <w:rPr>
      <w:rFonts w:asciiTheme="majorHAnsi" w:eastAsia="標楷體" w:hAnsiTheme="majorHAnsi" w:cstheme="majorBidi"/>
      <w:bCs/>
      <w:sz w:val="26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40895"/>
    <w:pPr>
      <w:widowControl w:val="0"/>
      <w:spacing w:before="100" w:beforeAutospacing="1" w:after="100" w:afterAutospacing="1"/>
      <w:jc w:val="center"/>
      <w:outlineLvl w:val="1"/>
    </w:pPr>
    <w:rPr>
      <w:rFonts w:ascii="Segoe UI Semibold" w:eastAsiaTheme="majorEastAsia" w:hAnsi="Segoe UI Semibold" w:cstheme="majorBidi"/>
      <w:bCs/>
      <w:kern w:val="2"/>
      <w:sz w:val="24"/>
      <w:szCs w:val="26"/>
      <w:lang w:eastAsia="zh-TW"/>
    </w:rPr>
  </w:style>
  <w:style w:type="paragraph" w:styleId="3">
    <w:name w:val="heading 3"/>
    <w:basedOn w:val="a"/>
    <w:next w:val="a"/>
    <w:link w:val="30"/>
    <w:uiPriority w:val="9"/>
    <w:unhideWhenUsed/>
    <w:qFormat/>
    <w:rsid w:val="00166AC0"/>
    <w:pPr>
      <w:widowControl w:val="0"/>
      <w:spacing w:before="100" w:beforeAutospacing="1" w:after="100" w:afterAutospacing="1" w:line="271" w:lineRule="auto"/>
      <w:jc w:val="center"/>
      <w:outlineLvl w:val="2"/>
    </w:pPr>
    <w:rPr>
      <w:rFonts w:asciiTheme="majorHAnsi" w:eastAsiaTheme="majorEastAsia" w:hAnsiTheme="majorHAnsi" w:cstheme="majorBidi"/>
      <w:bCs/>
      <w:kern w:val="2"/>
    </w:rPr>
  </w:style>
  <w:style w:type="paragraph" w:styleId="4">
    <w:name w:val="heading 4"/>
    <w:basedOn w:val="a"/>
    <w:next w:val="a"/>
    <w:link w:val="40"/>
    <w:uiPriority w:val="9"/>
    <w:unhideWhenUsed/>
    <w:qFormat/>
    <w:rsid w:val="00166AC0"/>
    <w:pPr>
      <w:widowControl w:val="0"/>
      <w:spacing w:before="100" w:beforeAutospacing="1" w:after="100" w:afterAutospacing="1"/>
      <w:jc w:val="center"/>
      <w:outlineLvl w:val="3"/>
    </w:pPr>
    <w:rPr>
      <w:rFonts w:eastAsiaTheme="minorEastAsia" w:cstheme="majorBidi"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166AC0"/>
    <w:pPr>
      <w:spacing w:before="20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166AC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AC0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AC0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AC0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sid w:val="00166AC0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166AC0"/>
    <w:pPr>
      <w:spacing w:after="100" w:afterAutospacing="1"/>
    </w:pPr>
    <w:rPr>
      <w:rFonts w:ascii="Arial" w:hAnsi="Arial" w:cs="Arial"/>
      <w:color w:val="333333"/>
      <w:sz w:val="17"/>
      <w:szCs w:val="17"/>
    </w:rPr>
  </w:style>
  <w:style w:type="paragraph" w:styleId="a4">
    <w:name w:val="Normal Indent"/>
    <w:basedOn w:val="a"/>
    <w:uiPriority w:val="99"/>
    <w:rsid w:val="00166AC0"/>
    <w:pPr>
      <w:ind w:leftChars="200" w:left="480"/>
    </w:pPr>
  </w:style>
  <w:style w:type="paragraph" w:styleId="a5">
    <w:name w:val="Quote"/>
    <w:basedOn w:val="a"/>
    <w:next w:val="a"/>
    <w:link w:val="a6"/>
    <w:uiPriority w:val="29"/>
    <w:qFormat/>
    <w:rsid w:val="00166AC0"/>
    <w:pPr>
      <w:spacing w:before="100" w:beforeAutospacing="1" w:after="100" w:afterAutospacing="1"/>
      <w:ind w:leftChars="300" w:left="300"/>
      <w:jc w:val="both"/>
    </w:pPr>
    <w:rPr>
      <w:iCs/>
      <w:kern w:val="2"/>
      <w:sz w:val="20"/>
    </w:rPr>
  </w:style>
  <w:style w:type="character" w:customStyle="1" w:styleId="a6">
    <w:name w:val="引文 字元"/>
    <w:basedOn w:val="a0"/>
    <w:link w:val="a5"/>
    <w:uiPriority w:val="29"/>
    <w:rsid w:val="00166AC0"/>
    <w:rPr>
      <w:rFonts w:eastAsia="新細明體" w:cs="Times New Roman"/>
      <w:iCs/>
      <w:sz w:val="20"/>
      <w:lang w:eastAsia="en-US"/>
    </w:rPr>
  </w:style>
  <w:style w:type="paragraph" w:customStyle="1" w:styleId="a7">
    <w:name w:val="引文次段"/>
    <w:basedOn w:val="a5"/>
    <w:qFormat/>
    <w:rsid w:val="00166AC0"/>
    <w:pPr>
      <w:adjustRightInd w:val="0"/>
      <w:ind w:leftChars="100" w:left="100" w:firstLineChars="200" w:firstLine="200"/>
    </w:pPr>
    <w:rPr>
      <w:snapToGrid w:val="0"/>
      <w:szCs w:val="24"/>
    </w:rPr>
  </w:style>
  <w:style w:type="paragraph" w:customStyle="1" w:styleId="a8">
    <w:name w:val="引文首段"/>
    <w:basedOn w:val="a7"/>
    <w:next w:val="a7"/>
    <w:link w:val="a9"/>
    <w:qFormat/>
    <w:rsid w:val="00166AC0"/>
    <w:pPr>
      <w:spacing w:beforeAutospacing="0" w:afterAutospacing="0"/>
      <w:ind w:leftChars="193" w:left="193" w:firstLineChars="0" w:firstLine="0"/>
    </w:pPr>
    <w:rPr>
      <w:snapToGrid/>
      <w:szCs w:val="22"/>
    </w:rPr>
  </w:style>
  <w:style w:type="character" w:customStyle="1" w:styleId="a9">
    <w:name w:val="引文首段 字元"/>
    <w:link w:val="a8"/>
    <w:rsid w:val="00166AC0"/>
    <w:rPr>
      <w:rFonts w:eastAsia="新細明體" w:cs="Times New Roman"/>
      <w:iCs/>
      <w:sz w:val="20"/>
      <w:lang w:eastAsia="en-US"/>
    </w:rPr>
  </w:style>
  <w:style w:type="paragraph" w:customStyle="1" w:styleId="aa">
    <w:name w:val="正文首段"/>
    <w:basedOn w:val="a"/>
    <w:next w:val="a"/>
    <w:rsid w:val="00166AC0"/>
    <w:pPr>
      <w:spacing w:before="100" w:beforeAutospacing="1" w:after="100" w:afterAutospacing="1"/>
      <w:jc w:val="both"/>
    </w:pPr>
    <w:rPr>
      <w:rFonts w:eastAsiaTheme="minorEastAsia"/>
    </w:rPr>
  </w:style>
  <w:style w:type="paragraph" w:customStyle="1" w:styleId="ab">
    <w:name w:val="正文次段"/>
    <w:basedOn w:val="aa"/>
    <w:qFormat/>
    <w:rsid w:val="00166AC0"/>
    <w:pPr>
      <w:ind w:firstLineChars="200" w:firstLine="200"/>
    </w:pPr>
  </w:style>
  <w:style w:type="paragraph" w:customStyle="1" w:styleId="ac">
    <w:name w:val="正文命題"/>
    <w:basedOn w:val="ab"/>
    <w:rsid w:val="00166AC0"/>
    <w:pPr>
      <w:adjustRightInd w:val="0"/>
      <w:spacing w:before="50"/>
      <w:ind w:leftChars="200" w:left="200" w:firstLineChars="0" w:firstLine="0"/>
      <w:contextualSpacing/>
    </w:pPr>
  </w:style>
  <w:style w:type="paragraph" w:customStyle="1" w:styleId="ad">
    <w:name w:val="正文編號"/>
    <w:basedOn w:val="ac"/>
    <w:qFormat/>
    <w:rsid w:val="00166AC0"/>
    <w:pPr>
      <w:spacing w:before="100"/>
      <w:ind w:leftChars="0" w:left="0"/>
    </w:pPr>
    <w:rPr>
      <w:rFonts w:ascii="Calibri" w:hAnsi="Calibri"/>
      <w:snapToGrid w:val="0"/>
    </w:rPr>
  </w:style>
  <w:style w:type="paragraph" w:styleId="11">
    <w:name w:val="toc 1"/>
    <w:basedOn w:val="a"/>
    <w:next w:val="a"/>
    <w:autoRedefine/>
    <w:uiPriority w:val="39"/>
    <w:unhideWhenUsed/>
    <w:rsid w:val="00166AC0"/>
    <w:pPr>
      <w:spacing w:beforeLines="75"/>
    </w:pPr>
  </w:style>
  <w:style w:type="paragraph" w:styleId="21">
    <w:name w:val="toc 2"/>
    <w:basedOn w:val="a"/>
    <w:next w:val="a"/>
    <w:autoRedefine/>
    <w:uiPriority w:val="39"/>
    <w:unhideWhenUsed/>
    <w:rsid w:val="00166AC0"/>
    <w:pPr>
      <w:spacing w:beforeLines="25"/>
      <w:ind w:leftChars="200" w:left="200"/>
    </w:pPr>
  </w:style>
  <w:style w:type="paragraph" w:styleId="31">
    <w:name w:val="toc 3"/>
    <w:basedOn w:val="a"/>
    <w:next w:val="a"/>
    <w:autoRedefine/>
    <w:uiPriority w:val="39"/>
    <w:rsid w:val="00166AC0"/>
    <w:pPr>
      <w:spacing w:beforeLines="25"/>
      <w:ind w:leftChars="400" w:left="400"/>
      <w:contextualSpacing/>
    </w:pPr>
  </w:style>
  <w:style w:type="paragraph" w:styleId="41">
    <w:name w:val="toc 4"/>
    <w:basedOn w:val="a"/>
    <w:next w:val="a"/>
    <w:autoRedefine/>
    <w:uiPriority w:val="39"/>
    <w:unhideWhenUsed/>
    <w:rsid w:val="00166AC0"/>
    <w:pPr>
      <w:ind w:leftChars="600" w:left="800" w:hangingChars="200" w:hanging="200"/>
    </w:pPr>
  </w:style>
  <w:style w:type="paragraph" w:styleId="51">
    <w:name w:val="toc 5"/>
    <w:basedOn w:val="a"/>
    <w:next w:val="a"/>
    <w:autoRedefine/>
    <w:uiPriority w:val="39"/>
    <w:unhideWhenUsed/>
    <w:rsid w:val="00166AC0"/>
    <w:pPr>
      <w:ind w:leftChars="800" w:left="800"/>
    </w:pPr>
  </w:style>
  <w:style w:type="paragraph" w:styleId="61">
    <w:name w:val="toc 6"/>
    <w:basedOn w:val="a"/>
    <w:next w:val="a"/>
    <w:autoRedefine/>
    <w:uiPriority w:val="39"/>
    <w:rsid w:val="00166AC0"/>
    <w:pPr>
      <w:ind w:leftChars="1000" w:left="1200" w:hangingChars="200" w:hanging="200"/>
    </w:pPr>
  </w:style>
  <w:style w:type="paragraph" w:styleId="71">
    <w:name w:val="toc 7"/>
    <w:basedOn w:val="a"/>
    <w:next w:val="a"/>
    <w:autoRedefine/>
    <w:uiPriority w:val="39"/>
    <w:rsid w:val="00166AC0"/>
    <w:pPr>
      <w:ind w:leftChars="1200" w:left="1400" w:hangingChars="200" w:hanging="200"/>
    </w:pPr>
  </w:style>
  <w:style w:type="paragraph" w:styleId="81">
    <w:name w:val="toc 8"/>
    <w:basedOn w:val="a"/>
    <w:next w:val="a"/>
    <w:autoRedefine/>
    <w:rsid w:val="00166AC0"/>
    <w:pPr>
      <w:ind w:leftChars="1400" w:left="1600" w:hangingChars="200" w:hanging="200"/>
    </w:pPr>
  </w:style>
  <w:style w:type="paragraph" w:styleId="91">
    <w:name w:val="toc 9"/>
    <w:basedOn w:val="a"/>
    <w:next w:val="a"/>
    <w:autoRedefine/>
    <w:rsid w:val="00166AC0"/>
    <w:pPr>
      <w:ind w:leftChars="1600" w:left="1800" w:hangingChars="200" w:hanging="200"/>
    </w:pPr>
  </w:style>
  <w:style w:type="character" w:customStyle="1" w:styleId="10">
    <w:name w:val="標題 1 字元"/>
    <w:basedOn w:val="a0"/>
    <w:link w:val="1"/>
    <w:uiPriority w:val="9"/>
    <w:rsid w:val="00166AC0"/>
    <w:rPr>
      <w:rFonts w:asciiTheme="majorHAnsi" w:eastAsia="標楷體" w:hAnsiTheme="majorHAnsi" w:cstheme="majorBidi"/>
      <w:bCs/>
      <w:kern w:val="0"/>
      <w:sz w:val="26"/>
      <w:szCs w:val="28"/>
      <w:lang w:eastAsia="en-US"/>
    </w:rPr>
  </w:style>
  <w:style w:type="paragraph" w:styleId="ae">
    <w:name w:val="TOC Heading"/>
    <w:basedOn w:val="1"/>
    <w:next w:val="a"/>
    <w:uiPriority w:val="39"/>
    <w:unhideWhenUsed/>
    <w:rsid w:val="00166AC0"/>
    <w:pPr>
      <w:outlineLvl w:val="9"/>
    </w:pPr>
  </w:style>
  <w:style w:type="paragraph" w:customStyle="1" w:styleId="af">
    <w:name w:val="表列命題"/>
    <w:basedOn w:val="ac"/>
    <w:rsid w:val="00166AC0"/>
  </w:style>
  <w:style w:type="paragraph" w:styleId="af0">
    <w:name w:val="footer"/>
    <w:basedOn w:val="a"/>
    <w:link w:val="af1"/>
    <w:uiPriority w:val="99"/>
    <w:unhideWhenUsed/>
    <w:rsid w:val="00166AC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66AC0"/>
    <w:rPr>
      <w:rFonts w:eastAsia="新細明體" w:cs="Times New Roman"/>
      <w:kern w:val="0"/>
      <w:sz w:val="20"/>
      <w:szCs w:val="20"/>
      <w:lang w:eastAsia="en-US"/>
    </w:rPr>
  </w:style>
  <w:style w:type="paragraph" w:styleId="af2">
    <w:name w:val="header"/>
    <w:basedOn w:val="a"/>
    <w:link w:val="af3"/>
    <w:uiPriority w:val="99"/>
    <w:unhideWhenUsed/>
    <w:rsid w:val="00166AC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166AC0"/>
    <w:rPr>
      <w:rFonts w:eastAsia="新細明體" w:cs="Times New Roman"/>
      <w:kern w:val="0"/>
      <w:sz w:val="20"/>
      <w:szCs w:val="20"/>
      <w:lang w:eastAsia="en-US"/>
    </w:rPr>
  </w:style>
  <w:style w:type="character" w:styleId="af4">
    <w:name w:val="page number"/>
    <w:basedOn w:val="a0"/>
    <w:rsid w:val="00166AC0"/>
  </w:style>
  <w:style w:type="paragraph" w:styleId="af5">
    <w:name w:val="Bibliography"/>
    <w:basedOn w:val="a"/>
    <w:next w:val="a"/>
    <w:uiPriority w:val="37"/>
    <w:unhideWhenUsed/>
    <w:qFormat/>
    <w:rsid w:val="00166AC0"/>
    <w:pPr>
      <w:ind w:left="200" w:hangingChars="200" w:hanging="200"/>
      <w:contextualSpacing/>
    </w:pPr>
    <w:rPr>
      <w:szCs w:val="24"/>
    </w:rPr>
  </w:style>
  <w:style w:type="character" w:styleId="af6">
    <w:name w:val="Book Title"/>
    <w:uiPriority w:val="33"/>
    <w:rsid w:val="00166AC0"/>
    <w:rPr>
      <w:i/>
      <w:iCs/>
      <w:smallCaps/>
      <w:spacing w:val="5"/>
    </w:rPr>
  </w:style>
  <w:style w:type="paragraph" w:styleId="af7">
    <w:name w:val="Subtitle"/>
    <w:basedOn w:val="a"/>
    <w:next w:val="a"/>
    <w:link w:val="af8"/>
    <w:uiPriority w:val="11"/>
    <w:qFormat/>
    <w:rsid w:val="00166A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f8">
    <w:name w:val="副標題 字元"/>
    <w:basedOn w:val="a0"/>
    <w:link w:val="af7"/>
    <w:uiPriority w:val="11"/>
    <w:rsid w:val="00166AC0"/>
    <w:rPr>
      <w:rFonts w:asciiTheme="majorHAnsi" w:eastAsiaTheme="majorEastAsia" w:hAnsiTheme="majorHAnsi" w:cstheme="majorBidi"/>
      <w:i/>
      <w:iCs/>
      <w:spacing w:val="13"/>
      <w:kern w:val="0"/>
      <w:szCs w:val="24"/>
      <w:lang w:eastAsia="en-US"/>
    </w:rPr>
  </w:style>
  <w:style w:type="character" w:styleId="af9">
    <w:name w:val="Subtle Reference"/>
    <w:uiPriority w:val="31"/>
    <w:rsid w:val="00166AC0"/>
    <w:rPr>
      <w:smallCaps/>
    </w:rPr>
  </w:style>
  <w:style w:type="character" w:styleId="afa">
    <w:name w:val="Subtle Emphasis"/>
    <w:uiPriority w:val="19"/>
    <w:rsid w:val="00166AC0"/>
    <w:rPr>
      <w:i/>
      <w:iCs/>
    </w:rPr>
  </w:style>
  <w:style w:type="character" w:styleId="afb">
    <w:name w:val="Emphasis"/>
    <w:uiPriority w:val="20"/>
    <w:qFormat/>
    <w:rsid w:val="00166AC0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afc">
    <w:name w:val="Strong"/>
    <w:uiPriority w:val="22"/>
    <w:qFormat/>
    <w:rsid w:val="00166AC0"/>
    <w:rPr>
      <w:b/>
      <w:bCs/>
    </w:rPr>
  </w:style>
  <w:style w:type="paragraph" w:styleId="afd">
    <w:name w:val="List Paragraph"/>
    <w:basedOn w:val="a"/>
    <w:uiPriority w:val="34"/>
    <w:rsid w:val="00166AC0"/>
    <w:pPr>
      <w:ind w:left="720"/>
      <w:contextualSpacing/>
    </w:pPr>
  </w:style>
  <w:style w:type="paragraph" w:customStyle="1" w:styleId="afe">
    <w:name w:val="章節註解"/>
    <w:basedOn w:val="ad"/>
    <w:qFormat/>
    <w:rsid w:val="00166AC0"/>
    <w:pPr>
      <w:spacing w:line="25" w:lineRule="atLeast"/>
    </w:pPr>
    <w:rPr>
      <w:rFonts w:asciiTheme="minorHAnsi" w:hAnsiTheme="minorHAnsi" w:cs="Arial"/>
      <w:kern w:val="2"/>
      <w:sz w:val="20"/>
      <w:szCs w:val="20"/>
    </w:rPr>
  </w:style>
  <w:style w:type="paragraph" w:styleId="aff">
    <w:name w:val="No Spacing"/>
    <w:basedOn w:val="a"/>
    <w:uiPriority w:val="1"/>
    <w:rsid w:val="00166AC0"/>
  </w:style>
  <w:style w:type="paragraph" w:styleId="aff0">
    <w:name w:val="footnote text"/>
    <w:basedOn w:val="a"/>
    <w:link w:val="aff1"/>
    <w:uiPriority w:val="99"/>
    <w:unhideWhenUsed/>
    <w:qFormat/>
    <w:rsid w:val="00166AC0"/>
    <w:pPr>
      <w:spacing w:before="100" w:beforeAutospacing="1" w:after="100" w:afterAutospacing="1" w:line="240" w:lineRule="auto"/>
      <w:ind w:left="119" w:hanging="221"/>
      <w:contextualSpacing/>
      <w:jc w:val="both"/>
    </w:pPr>
    <w:rPr>
      <w:snapToGrid w:val="0"/>
      <w:sz w:val="20"/>
      <w:szCs w:val="20"/>
    </w:rPr>
  </w:style>
  <w:style w:type="character" w:customStyle="1" w:styleId="aff1">
    <w:name w:val="註腳文字 字元"/>
    <w:basedOn w:val="a0"/>
    <w:link w:val="aff0"/>
    <w:uiPriority w:val="99"/>
    <w:rsid w:val="00166AC0"/>
    <w:rPr>
      <w:rFonts w:eastAsia="新細明體" w:cs="Times New Roman"/>
      <w:snapToGrid w:val="0"/>
      <w:kern w:val="0"/>
      <w:sz w:val="20"/>
      <w:szCs w:val="20"/>
      <w:lang w:eastAsia="en-US"/>
    </w:rPr>
  </w:style>
  <w:style w:type="paragraph" w:customStyle="1" w:styleId="aff2">
    <w:name w:val="註腳次段"/>
    <w:basedOn w:val="aff0"/>
    <w:qFormat/>
    <w:rsid w:val="00166AC0"/>
    <w:pPr>
      <w:spacing w:before="180" w:after="180"/>
      <w:ind w:leftChars="83" w:left="183" w:firstLineChars="131" w:firstLine="241"/>
    </w:pPr>
    <w:rPr>
      <w:color w:val="000000"/>
      <w:spacing w:val="-3"/>
    </w:rPr>
  </w:style>
  <w:style w:type="character" w:styleId="aff3">
    <w:name w:val="footnote reference"/>
    <w:basedOn w:val="a0"/>
    <w:rsid w:val="00166AC0"/>
    <w:rPr>
      <w:vertAlign w:val="superscript"/>
    </w:rPr>
  </w:style>
  <w:style w:type="paragraph" w:styleId="aff4">
    <w:name w:val="annotation text"/>
    <w:basedOn w:val="a"/>
    <w:link w:val="aff5"/>
    <w:uiPriority w:val="99"/>
    <w:semiHidden/>
    <w:unhideWhenUsed/>
    <w:rsid w:val="00166AC0"/>
  </w:style>
  <w:style w:type="character" w:customStyle="1" w:styleId="aff5">
    <w:name w:val="註解文字 字元"/>
    <w:basedOn w:val="a0"/>
    <w:link w:val="aff4"/>
    <w:uiPriority w:val="99"/>
    <w:semiHidden/>
    <w:rsid w:val="00166AC0"/>
    <w:rPr>
      <w:rFonts w:eastAsia="新細明體" w:cs="Times New Roman"/>
      <w:kern w:val="0"/>
      <w:sz w:val="22"/>
      <w:lang w:eastAsia="en-US"/>
    </w:rPr>
  </w:style>
  <w:style w:type="paragraph" w:styleId="aff6">
    <w:name w:val="Balloon Text"/>
    <w:basedOn w:val="a"/>
    <w:link w:val="aff7"/>
    <w:uiPriority w:val="99"/>
    <w:unhideWhenUsed/>
    <w:rsid w:val="00166A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7">
    <w:name w:val="註解方塊文字 字元"/>
    <w:basedOn w:val="a0"/>
    <w:link w:val="aff6"/>
    <w:uiPriority w:val="99"/>
    <w:rsid w:val="00166AC0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ff8">
    <w:name w:val="annotation subject"/>
    <w:basedOn w:val="aff4"/>
    <w:next w:val="aff4"/>
    <w:link w:val="aff9"/>
    <w:uiPriority w:val="99"/>
    <w:semiHidden/>
    <w:unhideWhenUsed/>
    <w:rsid w:val="00166AC0"/>
    <w:rPr>
      <w:b/>
      <w:bCs/>
    </w:rPr>
  </w:style>
  <w:style w:type="character" w:customStyle="1" w:styleId="aff9">
    <w:name w:val="註解主旨 字元"/>
    <w:basedOn w:val="aff5"/>
    <w:link w:val="aff8"/>
    <w:uiPriority w:val="99"/>
    <w:semiHidden/>
    <w:rsid w:val="00166AC0"/>
    <w:rPr>
      <w:rFonts w:eastAsia="新細明體" w:cs="Times New Roman"/>
      <w:b/>
      <w:bCs/>
      <w:kern w:val="0"/>
      <w:sz w:val="22"/>
      <w:lang w:eastAsia="en-US"/>
    </w:rPr>
  </w:style>
  <w:style w:type="character" w:styleId="affa">
    <w:name w:val="annotation reference"/>
    <w:basedOn w:val="a0"/>
    <w:uiPriority w:val="99"/>
    <w:semiHidden/>
    <w:unhideWhenUsed/>
    <w:rsid w:val="00166AC0"/>
    <w:rPr>
      <w:sz w:val="18"/>
      <w:szCs w:val="18"/>
    </w:rPr>
  </w:style>
  <w:style w:type="character" w:styleId="affb">
    <w:name w:val="Hyperlink"/>
    <w:basedOn w:val="a0"/>
    <w:uiPriority w:val="99"/>
    <w:unhideWhenUsed/>
    <w:rsid w:val="00166AC0"/>
    <w:rPr>
      <w:color w:val="0563C1" w:themeColor="hyperlink"/>
      <w:u w:val="none"/>
    </w:rPr>
  </w:style>
  <w:style w:type="character" w:styleId="affc">
    <w:name w:val="Placeholder Text"/>
    <w:basedOn w:val="a0"/>
    <w:uiPriority w:val="99"/>
    <w:semiHidden/>
    <w:rsid w:val="00166AC0"/>
    <w:rPr>
      <w:color w:val="808080"/>
    </w:rPr>
  </w:style>
  <w:style w:type="paragraph" w:styleId="affd">
    <w:name w:val="caption"/>
    <w:basedOn w:val="a"/>
    <w:next w:val="a"/>
    <w:uiPriority w:val="35"/>
    <w:semiHidden/>
    <w:unhideWhenUsed/>
    <w:rsid w:val="00166AC0"/>
    <w:rPr>
      <w:caps/>
      <w:spacing w:val="10"/>
      <w:sz w:val="18"/>
      <w:szCs w:val="18"/>
    </w:rPr>
  </w:style>
  <w:style w:type="paragraph" w:styleId="affe">
    <w:name w:val="Title"/>
    <w:basedOn w:val="a"/>
    <w:next w:val="a"/>
    <w:link w:val="afff"/>
    <w:uiPriority w:val="10"/>
    <w:rsid w:val="00166AC0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fff">
    <w:name w:val="標題 字元"/>
    <w:basedOn w:val="a0"/>
    <w:link w:val="affe"/>
    <w:uiPriority w:val="10"/>
    <w:rsid w:val="00166AC0"/>
    <w:rPr>
      <w:rFonts w:asciiTheme="majorHAnsi" w:eastAsiaTheme="majorEastAsia" w:hAnsiTheme="majorHAnsi" w:cstheme="majorBidi"/>
      <w:spacing w:val="5"/>
      <w:kern w:val="0"/>
      <w:sz w:val="52"/>
      <w:szCs w:val="52"/>
      <w:lang w:eastAsia="en-US"/>
    </w:rPr>
  </w:style>
  <w:style w:type="character" w:customStyle="1" w:styleId="20">
    <w:name w:val="標題 2 字元"/>
    <w:basedOn w:val="a0"/>
    <w:link w:val="2"/>
    <w:uiPriority w:val="9"/>
    <w:rsid w:val="00940895"/>
    <w:rPr>
      <w:rFonts w:ascii="Segoe UI Semibold" w:eastAsiaTheme="majorEastAsia" w:hAnsi="Segoe UI Semibold" w:cstheme="majorBidi"/>
      <w:bCs/>
      <w:szCs w:val="26"/>
    </w:rPr>
  </w:style>
  <w:style w:type="character" w:customStyle="1" w:styleId="30">
    <w:name w:val="標題 3 字元"/>
    <w:basedOn w:val="a0"/>
    <w:link w:val="3"/>
    <w:uiPriority w:val="9"/>
    <w:rsid w:val="00166AC0"/>
    <w:rPr>
      <w:rFonts w:asciiTheme="majorHAnsi" w:eastAsiaTheme="majorEastAsia" w:hAnsiTheme="majorHAnsi" w:cstheme="majorBidi"/>
      <w:bCs/>
      <w:sz w:val="22"/>
      <w:lang w:eastAsia="en-US"/>
    </w:rPr>
  </w:style>
  <w:style w:type="character" w:customStyle="1" w:styleId="40">
    <w:name w:val="標題 4 字元"/>
    <w:basedOn w:val="a0"/>
    <w:link w:val="4"/>
    <w:uiPriority w:val="9"/>
    <w:rsid w:val="00166AC0"/>
    <w:rPr>
      <w:rFonts w:cstheme="majorBidi"/>
      <w:bCs/>
      <w:i/>
      <w:iCs/>
      <w:kern w:val="0"/>
      <w:sz w:val="22"/>
      <w:lang w:eastAsia="en-US"/>
    </w:rPr>
  </w:style>
  <w:style w:type="character" w:customStyle="1" w:styleId="50">
    <w:name w:val="標題 5 字元"/>
    <w:basedOn w:val="a0"/>
    <w:link w:val="5"/>
    <w:uiPriority w:val="9"/>
    <w:rsid w:val="00166AC0"/>
    <w:rPr>
      <w:rFonts w:asciiTheme="majorHAnsi" w:eastAsiaTheme="majorEastAsia" w:hAnsiTheme="majorHAnsi" w:cstheme="majorBidi"/>
      <w:b/>
      <w:bCs/>
      <w:kern w:val="0"/>
      <w:sz w:val="22"/>
      <w:lang w:eastAsia="en-US"/>
    </w:rPr>
  </w:style>
  <w:style w:type="character" w:customStyle="1" w:styleId="60">
    <w:name w:val="標題 6 字元"/>
    <w:basedOn w:val="a0"/>
    <w:link w:val="6"/>
    <w:uiPriority w:val="9"/>
    <w:rsid w:val="00166AC0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0"/>
      <w:sz w:val="22"/>
      <w:lang w:eastAsia="en-US"/>
    </w:rPr>
  </w:style>
  <w:style w:type="character" w:customStyle="1" w:styleId="70">
    <w:name w:val="標題 7 字元"/>
    <w:basedOn w:val="a0"/>
    <w:link w:val="7"/>
    <w:uiPriority w:val="9"/>
    <w:semiHidden/>
    <w:rsid w:val="00166AC0"/>
    <w:rPr>
      <w:rFonts w:asciiTheme="majorHAnsi" w:eastAsiaTheme="majorEastAsia" w:hAnsiTheme="majorHAnsi" w:cstheme="majorBidi"/>
      <w:i/>
      <w:iCs/>
      <w:kern w:val="0"/>
      <w:sz w:val="22"/>
      <w:lang w:eastAsia="en-US"/>
    </w:rPr>
  </w:style>
  <w:style w:type="character" w:customStyle="1" w:styleId="80">
    <w:name w:val="標題 8 字元"/>
    <w:basedOn w:val="a0"/>
    <w:link w:val="8"/>
    <w:uiPriority w:val="9"/>
    <w:semiHidden/>
    <w:rsid w:val="00166AC0"/>
    <w:rPr>
      <w:rFonts w:asciiTheme="majorHAnsi" w:eastAsiaTheme="majorEastAsia" w:hAnsiTheme="majorHAnsi" w:cstheme="majorBidi"/>
      <w:kern w:val="0"/>
      <w:sz w:val="20"/>
      <w:szCs w:val="20"/>
      <w:lang w:eastAsia="en-US"/>
    </w:rPr>
  </w:style>
  <w:style w:type="character" w:customStyle="1" w:styleId="90">
    <w:name w:val="標題 9 字元"/>
    <w:basedOn w:val="a0"/>
    <w:link w:val="9"/>
    <w:uiPriority w:val="9"/>
    <w:semiHidden/>
    <w:rsid w:val="00166AC0"/>
    <w:rPr>
      <w:rFonts w:asciiTheme="majorHAnsi" w:eastAsiaTheme="majorEastAsia" w:hAnsiTheme="majorHAnsi" w:cstheme="majorBidi"/>
      <w:i/>
      <w:iCs/>
      <w:spacing w:val="5"/>
      <w:kern w:val="0"/>
      <w:sz w:val="20"/>
      <w:szCs w:val="20"/>
      <w:lang w:eastAsia="en-US"/>
    </w:rPr>
  </w:style>
  <w:style w:type="paragraph" w:customStyle="1" w:styleId="12">
    <w:name w:val="標題1"/>
    <w:basedOn w:val="a"/>
    <w:rsid w:val="00166AC0"/>
    <w:pPr>
      <w:spacing w:after="100" w:afterAutospacing="1"/>
    </w:pPr>
    <w:rPr>
      <w:rFonts w:ascii="Arial" w:hAnsi="Arial" w:cs="Arial"/>
      <w:color w:val="333333"/>
      <w:sz w:val="17"/>
      <w:szCs w:val="17"/>
    </w:rPr>
  </w:style>
  <w:style w:type="paragraph" w:styleId="afff0">
    <w:name w:val="Intense Quote"/>
    <w:basedOn w:val="a"/>
    <w:next w:val="a"/>
    <w:link w:val="afff1"/>
    <w:uiPriority w:val="30"/>
    <w:rsid w:val="00166A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ff1">
    <w:name w:val="鮮明引文 字元"/>
    <w:basedOn w:val="a0"/>
    <w:link w:val="afff0"/>
    <w:uiPriority w:val="30"/>
    <w:rsid w:val="00166AC0"/>
    <w:rPr>
      <w:rFonts w:eastAsia="新細明體" w:cs="Times New Roman"/>
      <w:b/>
      <w:bCs/>
      <w:i/>
      <w:iCs/>
      <w:kern w:val="0"/>
      <w:sz w:val="22"/>
      <w:lang w:eastAsia="en-US"/>
    </w:rPr>
  </w:style>
  <w:style w:type="character" w:styleId="afff2">
    <w:name w:val="Intense Reference"/>
    <w:uiPriority w:val="32"/>
    <w:rsid w:val="00166AC0"/>
    <w:rPr>
      <w:smallCaps/>
      <w:spacing w:val="5"/>
      <w:u w:val="single"/>
    </w:rPr>
  </w:style>
  <w:style w:type="character" w:styleId="afff3">
    <w:name w:val="Intense Emphasis"/>
    <w:uiPriority w:val="21"/>
    <w:rsid w:val="00166AC0"/>
    <w:rPr>
      <w:b/>
      <w:bCs/>
    </w:rPr>
  </w:style>
  <w:style w:type="character" w:styleId="HTML">
    <w:name w:val="HTML Cite"/>
    <w:basedOn w:val="a0"/>
    <w:uiPriority w:val="99"/>
    <w:semiHidden/>
    <w:unhideWhenUsed/>
    <w:rsid w:val="00166AC0"/>
    <w:rPr>
      <w:i/>
      <w:iCs/>
    </w:rPr>
  </w:style>
  <w:style w:type="paragraph" w:styleId="HTML0">
    <w:name w:val="HTML Address"/>
    <w:basedOn w:val="a"/>
    <w:link w:val="HTML1"/>
    <w:uiPriority w:val="99"/>
    <w:semiHidden/>
    <w:unhideWhenUsed/>
    <w:rsid w:val="00166AC0"/>
    <w:rPr>
      <w:rFonts w:ascii="新細明體" w:hAnsi="新細明體" w:cs="新細明體"/>
      <w:i/>
      <w:iCs/>
      <w:sz w:val="24"/>
      <w:szCs w:val="24"/>
    </w:rPr>
  </w:style>
  <w:style w:type="character" w:customStyle="1" w:styleId="HTML1">
    <w:name w:val="HTML 位址 字元"/>
    <w:basedOn w:val="a0"/>
    <w:link w:val="HTML0"/>
    <w:uiPriority w:val="99"/>
    <w:semiHidden/>
    <w:rsid w:val="00166AC0"/>
    <w:rPr>
      <w:rFonts w:ascii="新細明體" w:eastAsia="新細明體" w:hAnsi="新細明體" w:cs="新細明體"/>
      <w:i/>
      <w:iCs/>
      <w:kern w:val="0"/>
      <w:szCs w:val="24"/>
      <w:lang w:eastAsia="en-US"/>
    </w:rPr>
  </w:style>
  <w:style w:type="character" w:styleId="afff4">
    <w:name w:val="Unresolved Mention"/>
    <w:basedOn w:val="a0"/>
    <w:uiPriority w:val="99"/>
    <w:semiHidden/>
    <w:unhideWhenUsed/>
    <w:rsid w:val="00166AC0"/>
    <w:rPr>
      <w:color w:val="605E5C"/>
      <w:shd w:val="clear" w:color="auto" w:fill="E1DFDD"/>
    </w:rPr>
  </w:style>
  <w:style w:type="paragraph" w:styleId="afff5">
    <w:name w:val="Plain Text"/>
    <w:basedOn w:val="a"/>
    <w:link w:val="afff6"/>
    <w:uiPriority w:val="99"/>
    <w:unhideWhenUsed/>
    <w:rsid w:val="00166AC0"/>
    <w:rPr>
      <w:rFonts w:ascii="細明體" w:eastAsia="細明體" w:hAnsi="Courier New" w:cs="Courier New"/>
    </w:rPr>
  </w:style>
  <w:style w:type="character" w:customStyle="1" w:styleId="afff6">
    <w:name w:val="純文字 字元"/>
    <w:basedOn w:val="a0"/>
    <w:link w:val="afff5"/>
    <w:uiPriority w:val="99"/>
    <w:rsid w:val="00166AC0"/>
    <w:rPr>
      <w:rFonts w:ascii="細明體" w:eastAsia="細明體" w:hAnsi="Courier New" w:cs="Courier New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66AC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66AC0"/>
  </w:style>
  <w:style w:type="paragraph" w:styleId="afff7">
    <w:name w:val="Body Text"/>
    <w:basedOn w:val="a"/>
    <w:link w:val="afff8"/>
    <w:uiPriority w:val="1"/>
    <w:qFormat/>
    <w:rsid w:val="00940895"/>
    <w:rPr>
      <w:rFonts w:asciiTheme="minorHAnsi" w:eastAsiaTheme="minorEastAsia" w:hAnsiTheme="minorHAnsi" w:cstheme="minorBidi"/>
      <w:kern w:val="2"/>
      <w:sz w:val="24"/>
      <w:lang w:eastAsia="zh-TW"/>
    </w:rPr>
  </w:style>
  <w:style w:type="character" w:customStyle="1" w:styleId="afff8">
    <w:name w:val="本文 字元"/>
    <w:basedOn w:val="a0"/>
    <w:link w:val="afff7"/>
    <w:uiPriority w:val="1"/>
    <w:rsid w:val="00940895"/>
  </w:style>
  <w:style w:type="paragraph" w:styleId="HTML2">
    <w:name w:val="HTML Preformatted"/>
    <w:basedOn w:val="a"/>
    <w:link w:val="HTML3"/>
    <w:uiPriority w:val="99"/>
    <w:semiHidden/>
    <w:unhideWhenUsed/>
    <w:rsid w:val="00E30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  <w:spacing w:line="240" w:lineRule="auto"/>
    </w:pPr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HTML3">
    <w:name w:val="HTML 預設格式 字元"/>
    <w:basedOn w:val="a0"/>
    <w:link w:val="HTML2"/>
    <w:uiPriority w:val="99"/>
    <w:semiHidden/>
    <w:rsid w:val="00E30A46"/>
    <w:rPr>
      <w:rFonts w:ascii="細明體" w:eastAsia="細明體" w:hAnsi="細明體" w:cs="細明體"/>
      <w:kern w:val="0"/>
      <w:szCs w:val="24"/>
    </w:rPr>
  </w:style>
  <w:style w:type="character" w:styleId="HTML4">
    <w:name w:val="HTML Code"/>
    <w:basedOn w:val="a0"/>
    <w:uiPriority w:val="99"/>
    <w:semiHidden/>
    <w:unhideWhenUsed/>
    <w:rsid w:val="00E30A46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9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@Edenberg.Hannon2021%20Political%20Epistemolog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@Hannon.Ridder2021%20Michael%20Hannon,%20Jeroen%20de%20Ridder%20(2021)%20The%20Routledge%20Handbook%20of%20Political%20Epistemology" TargetMode="External"/><Relationship Id="rId5" Type="http://schemas.openxmlformats.org/officeDocument/2006/relationships/hyperlink" Target="@Hannon.Woodard2025%20Political%20Epistemology_%20An%20Introductio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897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Chung-Hung Chang</dc:creator>
  <cp:keywords/>
  <dc:description/>
  <cp:lastModifiedBy>Chung-Hung Chang</cp:lastModifiedBy>
  <cp:revision>3</cp:revision>
  <dcterms:created xsi:type="dcterms:W3CDTF">2026-09-09T13:33:00Z</dcterms:created>
  <dcterms:modified xsi:type="dcterms:W3CDTF">2026-09-09T13:36:00Z</dcterms:modified>
</cp:coreProperties>
</file>