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71BF8" w14:textId="77777777" w:rsidR="00C24B12" w:rsidRPr="008D1672" w:rsidRDefault="005A3BE0">
      <w:pPr>
        <w:spacing w:before="480" w:after="80"/>
        <w:jc w:val="center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888888"/>
          <w:spacing w:val="200"/>
          <w:sz w:val="24"/>
          <w:szCs w:val="24"/>
        </w:rPr>
        <w:t>COURSE SYLLABUS</w:t>
      </w:r>
    </w:p>
    <w:p w14:paraId="4A28F7DF" w14:textId="77777777" w:rsidR="00C24B12" w:rsidRPr="008D1672" w:rsidRDefault="005A3BE0">
      <w:pPr>
        <w:spacing w:before="80" w:after="80"/>
        <w:jc w:val="center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1F4E79"/>
          <w:sz w:val="24"/>
          <w:szCs w:val="24"/>
        </w:rPr>
        <w:t>Indo-Pacific Strategy:</w:t>
      </w:r>
    </w:p>
    <w:p w14:paraId="20BA0CBE" w14:textId="77777777" w:rsidR="00C24B12" w:rsidRPr="008D1672" w:rsidRDefault="005A3BE0">
      <w:pPr>
        <w:spacing w:after="80"/>
        <w:jc w:val="center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2E75B6"/>
          <w:sz w:val="24"/>
          <w:szCs w:val="24"/>
        </w:rPr>
        <w:t>Alliances, Security Architecture,</w:t>
      </w:r>
    </w:p>
    <w:p w14:paraId="1C8789A0" w14:textId="5951CC9A" w:rsidR="00C24B12" w:rsidRPr="008D1672" w:rsidRDefault="005A3BE0">
      <w:pPr>
        <w:spacing w:after="200"/>
        <w:jc w:val="center"/>
        <w:rPr>
          <w:rFonts w:ascii="Georgia" w:eastAsia="Arial" w:hAnsi="Georgia"/>
          <w:b/>
          <w:bCs/>
          <w:color w:val="2E75B6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2E75B6"/>
          <w:sz w:val="24"/>
          <w:szCs w:val="24"/>
        </w:rPr>
        <w:t>and Great Power Competition</w:t>
      </w:r>
    </w:p>
    <w:p w14:paraId="3223218A" w14:textId="19C94963" w:rsidR="00834193" w:rsidRPr="008D1672" w:rsidRDefault="00834193" w:rsidP="00834193">
      <w:pPr>
        <w:jc w:val="center"/>
        <w:rPr>
          <w:rFonts w:ascii="Georgia" w:hAnsi="Georgia"/>
          <w:b/>
          <w:bCs/>
          <w:color w:val="2E75B6"/>
          <w:sz w:val="24"/>
          <w:szCs w:val="24"/>
        </w:rPr>
      </w:pPr>
      <w:r w:rsidRPr="008D1672">
        <w:rPr>
          <w:rFonts w:ascii="Georgia" w:hAnsi="Georgia"/>
          <w:b/>
          <w:bCs/>
          <w:color w:val="2E75B6"/>
          <w:sz w:val="24"/>
          <w:szCs w:val="24"/>
        </w:rPr>
        <w:t>Jung-hsiang, Tsai</w:t>
      </w:r>
    </w:p>
    <w:p w14:paraId="5A112D16" w14:textId="48107F0E" w:rsidR="00834193" w:rsidRPr="008D1672" w:rsidRDefault="00834193" w:rsidP="00834193">
      <w:pPr>
        <w:jc w:val="center"/>
        <w:rPr>
          <w:rFonts w:ascii="Georgia" w:hAnsi="Georgia"/>
          <w:b/>
          <w:bCs/>
          <w:color w:val="2E75B6"/>
          <w:sz w:val="24"/>
          <w:szCs w:val="24"/>
        </w:rPr>
      </w:pPr>
      <w:r w:rsidRPr="008D1672">
        <w:rPr>
          <w:rFonts w:ascii="Georgia" w:hAnsi="Georgia"/>
          <w:b/>
          <w:bCs/>
          <w:color w:val="2E75B6"/>
          <w:sz w:val="24"/>
          <w:szCs w:val="24"/>
        </w:rPr>
        <w:t>Professor of Political Science</w:t>
      </w:r>
    </w:p>
    <w:p w14:paraId="3BE71D45" w14:textId="08A26CED" w:rsidR="00834193" w:rsidRPr="008D1672" w:rsidRDefault="00834193" w:rsidP="00834193">
      <w:pPr>
        <w:jc w:val="center"/>
        <w:rPr>
          <w:rFonts w:ascii="Georgia" w:hAnsi="Georgia"/>
          <w:b/>
          <w:bCs/>
          <w:color w:val="2E75B6"/>
          <w:sz w:val="24"/>
          <w:szCs w:val="24"/>
        </w:rPr>
      </w:pPr>
      <w:r w:rsidRPr="008D1672">
        <w:rPr>
          <w:rFonts w:ascii="Georgia" w:hAnsi="Georgia"/>
          <w:b/>
          <w:bCs/>
          <w:color w:val="2E75B6"/>
          <w:sz w:val="24"/>
          <w:szCs w:val="24"/>
        </w:rPr>
        <w:t>Room: TBA</w:t>
      </w:r>
    </w:p>
    <w:p w14:paraId="5A3969C2" w14:textId="0D45CD44" w:rsidR="00834193" w:rsidRPr="008D1672" w:rsidRDefault="00834193" w:rsidP="00834193">
      <w:pPr>
        <w:jc w:val="center"/>
        <w:rPr>
          <w:rFonts w:ascii="Georgia" w:hAnsi="Georgia"/>
          <w:sz w:val="24"/>
          <w:szCs w:val="24"/>
        </w:rPr>
      </w:pPr>
      <w:r w:rsidRPr="008D1672">
        <w:rPr>
          <w:rFonts w:ascii="Georgia" w:hAnsi="Georgia"/>
          <w:b/>
          <w:bCs/>
          <w:color w:val="2E75B6"/>
          <w:sz w:val="24"/>
          <w:szCs w:val="24"/>
        </w:rPr>
        <w:t>Time: 10:10-13:00</w:t>
      </w:r>
    </w:p>
    <w:p w14:paraId="16B7863C" w14:textId="77777777" w:rsidR="00C24B12" w:rsidRPr="008D1672" w:rsidRDefault="00C24B12">
      <w:pPr>
        <w:pBdr>
          <w:bottom w:val="single" w:sz="4" w:space="1" w:color="2E75B6"/>
        </w:pBdr>
        <w:spacing w:before="120" w:after="12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C24B12" w:rsidRPr="008D1672" w14:paraId="2652DDBC" w14:textId="77777777"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56DBD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Course Duration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F9923" w14:textId="0656F7F8" w:rsidR="00C24B12" w:rsidRPr="008D1672" w:rsidRDefault="005A3BE0">
            <w:pPr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sz w:val="24"/>
                <w:szCs w:val="24"/>
              </w:rPr>
              <w:t xml:space="preserve">16 Weeks </w:t>
            </w:r>
          </w:p>
        </w:tc>
      </w:tr>
      <w:tr w:rsidR="00C24B12" w:rsidRPr="008D1672" w14:paraId="06A5D58A" w14:textId="77777777"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13F40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Credit Hours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45ECE" w14:textId="77777777" w:rsidR="00C24B12" w:rsidRPr="008D1672" w:rsidRDefault="005A3BE0">
            <w:pPr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sz w:val="24"/>
                <w:szCs w:val="24"/>
              </w:rPr>
              <w:t>3 Credits</w:t>
            </w:r>
          </w:p>
        </w:tc>
      </w:tr>
      <w:tr w:rsidR="00C24B12" w:rsidRPr="008D1672" w14:paraId="1F9A843E" w14:textId="77777777"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DB44D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Level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AA50B" w14:textId="2314DAA1" w:rsidR="00C24B12" w:rsidRPr="008D1672" w:rsidRDefault="005A3BE0">
            <w:pPr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sz w:val="24"/>
                <w:szCs w:val="24"/>
              </w:rPr>
              <w:t>Undergraduate / Graduate</w:t>
            </w:r>
            <w:r w:rsidR="008D1672" w:rsidRPr="008D1672">
              <w:rPr>
                <w:rFonts w:ascii="Georgia" w:hAnsi="Georgia" w:cs="Times New Roman"/>
                <w:sz w:val="24"/>
                <w:szCs w:val="24"/>
              </w:rPr>
              <w:t xml:space="preserve"> Students</w:t>
            </w:r>
          </w:p>
        </w:tc>
      </w:tr>
      <w:tr w:rsidR="00C24B12" w:rsidRPr="008D1672" w14:paraId="577C9814" w14:textId="77777777"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01213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Language of Instruction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20453" w14:textId="54AD8A10" w:rsidR="00C24B12" w:rsidRPr="008D1672" w:rsidRDefault="00EB20B3">
            <w:pPr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hAnsi="Georgia" w:cs="Times New Roman"/>
                <w:sz w:val="24"/>
                <w:szCs w:val="24"/>
              </w:rPr>
              <w:t>Chinese</w:t>
            </w:r>
            <w:r w:rsidR="005A3BE0" w:rsidRPr="008D1672">
              <w:rPr>
                <w:rFonts w:ascii="Georgia" w:eastAsia="Arial" w:hAnsi="Georgia" w:cs="Times New Roman"/>
                <w:sz w:val="24"/>
                <w:szCs w:val="24"/>
              </w:rPr>
              <w:t xml:space="preserve"> (</w:t>
            </w:r>
            <w:r w:rsidRPr="008D1672">
              <w:rPr>
                <w:rFonts w:ascii="Georgia" w:hAnsi="Georgia" w:cs="Times New Roman"/>
                <w:sz w:val="24"/>
                <w:szCs w:val="24"/>
              </w:rPr>
              <w:t xml:space="preserve">English </w:t>
            </w:r>
            <w:r w:rsidR="005A3BE0" w:rsidRPr="008D1672">
              <w:rPr>
                <w:rFonts w:ascii="Georgia" w:eastAsia="Arial" w:hAnsi="Georgia" w:cs="Times New Roman"/>
                <w:sz w:val="24"/>
                <w:szCs w:val="24"/>
              </w:rPr>
              <w:t>supplementary materials available)</w:t>
            </w:r>
          </w:p>
        </w:tc>
      </w:tr>
      <w:tr w:rsidR="00C24B12" w:rsidRPr="008D1672" w14:paraId="7B8EDAF5" w14:textId="77777777"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30C62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Key Themes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EF2A0" w14:textId="77777777" w:rsidR="00C24B12" w:rsidRPr="008D1672" w:rsidRDefault="005A3BE0">
            <w:pPr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sz w:val="24"/>
                <w:szCs w:val="24"/>
              </w:rPr>
              <w:t>US Alliance Management · Regional Security Architecture · Great Power Competition</w:t>
            </w:r>
          </w:p>
        </w:tc>
      </w:tr>
    </w:tbl>
    <w:p w14:paraId="3272EC5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7DE22291" w14:textId="77777777" w:rsidR="00C24B12" w:rsidRPr="008D1672" w:rsidRDefault="005A3BE0">
      <w:pPr>
        <w:spacing w:before="200" w:after="8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1F4E79"/>
          <w:sz w:val="24"/>
          <w:szCs w:val="24"/>
        </w:rPr>
        <w:t>Course Description</w:t>
      </w:r>
    </w:p>
    <w:p w14:paraId="675507C3" w14:textId="77777777" w:rsidR="00C24B12" w:rsidRPr="008D1672" w:rsidRDefault="005A3BE0" w:rsidP="008D1672">
      <w:pPr>
        <w:spacing w:before="60" w:after="120"/>
        <w:jc w:val="both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This course examines the strategic landscape of the Indo-Pacific region, with a focus on US bilateral alliances and multilateral security frameworks. Students will analyze the US-Japan, US-ROK, US-Philippines, and US-Taiwan relationships, as well as the AUKUS security partnership, within the broader context of Sino-American great power competition. The course draws on international relations theory, strategic studies, and policy analysis to equip students with analytical tools for understanding the region's most pressing security challenges.</w:t>
      </w:r>
    </w:p>
    <w:p w14:paraId="4417C40B" w14:textId="77777777" w:rsidR="00C24B12" w:rsidRPr="008D1672" w:rsidRDefault="00C24B12">
      <w:pPr>
        <w:pBdr>
          <w:bottom w:val="single" w:sz="4" w:space="1" w:color="2E75B6"/>
        </w:pBdr>
        <w:spacing w:before="120" w:after="120"/>
        <w:rPr>
          <w:rFonts w:ascii="Georgia" w:hAnsi="Georgia"/>
          <w:sz w:val="24"/>
          <w:szCs w:val="24"/>
        </w:rPr>
      </w:pPr>
    </w:p>
    <w:p w14:paraId="5EC8ABAB" w14:textId="77777777" w:rsidR="00C24B12" w:rsidRPr="008D1672" w:rsidRDefault="005A3BE0">
      <w:pPr>
        <w:spacing w:before="160" w:after="8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1F4E79"/>
          <w:sz w:val="24"/>
          <w:szCs w:val="24"/>
        </w:rPr>
        <w:t>Learning Outcomes</w:t>
      </w:r>
    </w:p>
    <w:p w14:paraId="536E9882" w14:textId="77777777" w:rsidR="00C24B12" w:rsidRPr="008D1672" w:rsidRDefault="005A3BE0">
      <w:pPr>
        <w:pStyle w:val="a4"/>
        <w:numPr>
          <w:ilvl w:val="0"/>
          <w:numId w:val="2"/>
        </w:numPr>
        <w:spacing w:before="40" w:after="4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Evaluate the strategic rationale and operational dynamics of US alliances in the Indo-Pacific</w:t>
      </w:r>
    </w:p>
    <w:p w14:paraId="54DDA7D0" w14:textId="689A1468" w:rsidR="00C24B12" w:rsidRPr="008D1672" w:rsidRDefault="005A3BE0">
      <w:pPr>
        <w:pStyle w:val="a4"/>
        <w:numPr>
          <w:ilvl w:val="0"/>
          <w:numId w:val="2"/>
        </w:numPr>
        <w:spacing w:before="40" w:after="4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Analyze China</w:t>
      </w:r>
      <w:r w:rsidR="008D1672" w:rsidRPr="008D1672">
        <w:rPr>
          <w:rFonts w:ascii="Georgia" w:eastAsia="Arial" w:hAnsi="Georgia"/>
          <w:sz w:val="24"/>
          <w:szCs w:val="24"/>
        </w:rPr>
        <w:t>’</w:t>
      </w:r>
      <w:r w:rsidRPr="008D1672">
        <w:rPr>
          <w:rFonts w:ascii="Georgia" w:eastAsia="Arial" w:hAnsi="Georgia"/>
          <w:sz w:val="24"/>
          <w:szCs w:val="24"/>
        </w:rPr>
        <w:t>s grand strategy and its implications for regional security order</w:t>
      </w:r>
    </w:p>
    <w:p w14:paraId="567BC8AD" w14:textId="77777777" w:rsidR="00C24B12" w:rsidRPr="008D1672" w:rsidRDefault="005A3BE0">
      <w:pPr>
        <w:pStyle w:val="a4"/>
        <w:numPr>
          <w:ilvl w:val="0"/>
          <w:numId w:val="2"/>
        </w:numPr>
        <w:spacing w:before="40" w:after="4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Compare the structure, commitments, and credibility of bilateral and multilateral security arrangements</w:t>
      </w:r>
    </w:p>
    <w:p w14:paraId="65CE8730" w14:textId="77777777" w:rsidR="00C24B12" w:rsidRPr="008D1672" w:rsidRDefault="005A3BE0">
      <w:pPr>
        <w:pStyle w:val="a4"/>
        <w:numPr>
          <w:ilvl w:val="0"/>
          <w:numId w:val="2"/>
        </w:numPr>
        <w:spacing w:before="40" w:after="4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Apply theoretical frameworks (deterrence theory, alliance theory, power transition theory) to policy cases</w:t>
      </w:r>
    </w:p>
    <w:p w14:paraId="3F251D52" w14:textId="77777777" w:rsidR="00C24B12" w:rsidRPr="008D1672" w:rsidRDefault="005A3BE0">
      <w:pPr>
        <w:pStyle w:val="a4"/>
        <w:numPr>
          <w:ilvl w:val="0"/>
          <w:numId w:val="2"/>
        </w:numPr>
        <w:spacing w:before="40" w:after="4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sz w:val="24"/>
          <w:szCs w:val="24"/>
        </w:rPr>
        <w:t>Produce professional-quality policy analysis and strategic assessments</w:t>
      </w:r>
    </w:p>
    <w:p w14:paraId="0DE2A750" w14:textId="7A0DD808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0025AD96" w14:textId="4080FE94" w:rsidR="008D1672" w:rsidRPr="008D1672" w:rsidRDefault="008D1672">
      <w:pPr>
        <w:spacing w:before="80" w:after="80"/>
        <w:rPr>
          <w:rFonts w:ascii="Georgia" w:hAnsi="Georgia"/>
          <w:sz w:val="24"/>
          <w:szCs w:val="24"/>
        </w:rPr>
      </w:pPr>
    </w:p>
    <w:p w14:paraId="2FB33841" w14:textId="0981D83A" w:rsidR="008D1672" w:rsidRPr="008D1672" w:rsidRDefault="008D1672">
      <w:pPr>
        <w:spacing w:before="80" w:after="80"/>
        <w:rPr>
          <w:rFonts w:ascii="Georgia" w:hAnsi="Georgia"/>
          <w:sz w:val="24"/>
          <w:szCs w:val="24"/>
        </w:rPr>
      </w:pPr>
    </w:p>
    <w:p w14:paraId="5550EEE7" w14:textId="77777777" w:rsidR="008D1672" w:rsidRPr="008D1672" w:rsidRDefault="008D1672">
      <w:pPr>
        <w:spacing w:before="80" w:after="80"/>
        <w:rPr>
          <w:rFonts w:ascii="Georgia" w:hAnsi="Georgia"/>
          <w:sz w:val="24"/>
          <w:szCs w:val="24"/>
        </w:rPr>
      </w:pPr>
    </w:p>
    <w:p w14:paraId="4B395758" w14:textId="77777777" w:rsidR="00C24B12" w:rsidRPr="008D1672" w:rsidRDefault="005A3BE0">
      <w:pPr>
        <w:spacing w:before="160" w:after="8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1F4E79"/>
          <w:sz w:val="24"/>
          <w:szCs w:val="24"/>
        </w:rPr>
        <w:lastRenderedPageBreak/>
        <w:t>Assessment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0"/>
        <w:gridCol w:w="2000"/>
        <w:gridCol w:w="2000"/>
      </w:tblGrid>
      <w:tr w:rsidR="00C24B12" w:rsidRPr="008D1672" w14:paraId="51105391" w14:textId="77777777"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8960B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Assessment Component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1245A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Weight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DC4A04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Due</w:t>
            </w:r>
          </w:p>
        </w:tc>
      </w:tr>
      <w:tr w:rsidR="00C24B12" w:rsidRPr="008D1672" w14:paraId="1F6D842F" w14:textId="77777777"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2D2E4" w14:textId="77777777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sz w:val="24"/>
                <w:szCs w:val="24"/>
              </w:rPr>
              <w:t>Weekly Reading Responses (12 x 1%)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16047" w14:textId="2858DA6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1</w:t>
            </w:r>
            <w:r w:rsidR="00834193"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0</w:t>
            </w: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%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7498D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sz w:val="24"/>
                <w:szCs w:val="24"/>
              </w:rPr>
              <w:t>Weekly</w:t>
            </w:r>
          </w:p>
        </w:tc>
      </w:tr>
      <w:tr w:rsidR="00C24B12" w:rsidRPr="008D1672" w14:paraId="5FDA4EDF" w14:textId="77777777"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1EEF1" w14:textId="5E70700A" w:rsidR="00C24B12" w:rsidRPr="008D1672" w:rsidRDefault="00834193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hAnsi="Georgia"/>
                <w:sz w:val="24"/>
                <w:szCs w:val="24"/>
              </w:rPr>
              <w:t>Midterm Exam</w:t>
            </w:r>
            <w:r w:rsidRPr="008D1672">
              <w:rPr>
                <w:rFonts w:ascii="Georgia" w:eastAsia="Arial" w:hAnsi="Georgia"/>
                <w:sz w:val="24"/>
                <w:szCs w:val="24"/>
              </w:rPr>
              <w:t>(3 hours)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86A52" w14:textId="0BD698AA" w:rsidR="00C24B12" w:rsidRPr="008D1672" w:rsidRDefault="00834193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45</w:t>
            </w:r>
            <w:r w:rsidR="005A3BE0"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%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38C4E" w14:textId="2C7BAC04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sz w:val="24"/>
                <w:szCs w:val="24"/>
              </w:rPr>
              <w:t xml:space="preserve">Week </w:t>
            </w:r>
            <w:r w:rsidR="008D1672" w:rsidRPr="008D1672">
              <w:rPr>
                <w:rFonts w:ascii="Georgia" w:eastAsia="Arial" w:hAnsi="Georgia"/>
                <w:sz w:val="24"/>
                <w:szCs w:val="24"/>
              </w:rPr>
              <w:t>8</w:t>
            </w:r>
          </w:p>
        </w:tc>
      </w:tr>
      <w:tr w:rsidR="00C24B12" w:rsidRPr="008D1672" w14:paraId="477830C1" w14:textId="77777777"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0A63D" w14:textId="35213DD5" w:rsidR="00C24B12" w:rsidRPr="008D1672" w:rsidRDefault="005A3BE0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sz w:val="24"/>
                <w:szCs w:val="24"/>
              </w:rPr>
              <w:t>Final Exam (</w:t>
            </w:r>
            <w:r w:rsidR="00834193" w:rsidRPr="008D1672">
              <w:rPr>
                <w:rFonts w:ascii="Georgia" w:eastAsia="Arial" w:hAnsi="Georgia"/>
                <w:sz w:val="24"/>
                <w:szCs w:val="24"/>
              </w:rPr>
              <w:t>3</w:t>
            </w:r>
            <w:r w:rsidRPr="008D1672">
              <w:rPr>
                <w:rFonts w:ascii="Georgia" w:eastAsia="Arial" w:hAnsi="Georgia"/>
                <w:sz w:val="24"/>
                <w:szCs w:val="24"/>
              </w:rPr>
              <w:t xml:space="preserve"> hours)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65B35" w14:textId="58E28E7D" w:rsidR="00C24B12" w:rsidRPr="008D1672" w:rsidRDefault="00834193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45</w:t>
            </w:r>
            <w:r w:rsidR="005A3BE0"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>%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A5F36C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sz w:val="24"/>
                <w:szCs w:val="24"/>
              </w:rPr>
              <w:t>Week 16</w:t>
            </w:r>
          </w:p>
        </w:tc>
      </w:tr>
    </w:tbl>
    <w:p w14:paraId="68F330A1" w14:textId="77777777" w:rsidR="00C24B12" w:rsidRPr="008D1672" w:rsidRDefault="00C24B12">
      <w:pPr>
        <w:pBdr>
          <w:bottom w:val="single" w:sz="4" w:space="1" w:color="2E75B6"/>
        </w:pBdr>
        <w:spacing w:before="120" w:after="120"/>
        <w:rPr>
          <w:rFonts w:ascii="Georgia" w:hAnsi="Georgia"/>
          <w:sz w:val="24"/>
          <w:szCs w:val="24"/>
        </w:rPr>
      </w:pPr>
    </w:p>
    <w:p w14:paraId="549D8C7E" w14:textId="77777777" w:rsidR="00C24B12" w:rsidRPr="008D1672" w:rsidRDefault="005A3BE0">
      <w:pPr>
        <w:spacing w:before="240" w:after="160"/>
        <w:jc w:val="center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1F4E79"/>
          <w:spacing w:val="100"/>
          <w:sz w:val="24"/>
          <w:szCs w:val="24"/>
        </w:rPr>
        <w:t>WEEKLY COURSE SCHEDULE</w:t>
      </w:r>
    </w:p>
    <w:p w14:paraId="3B23AF37" w14:textId="77777777" w:rsidR="00C24B12" w:rsidRPr="008D1672" w:rsidRDefault="005A3BE0">
      <w:pPr>
        <w:shd w:val="clear" w:color="auto" w:fill="1F4E79"/>
        <w:spacing w:before="200" w:after="10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FFFFFF"/>
          <w:sz w:val="24"/>
          <w:szCs w:val="24"/>
        </w:rPr>
        <w:t xml:space="preserve">  MODULE I: FOUNDATIONS &amp; STRATEGIC CONTEXT  (Weeks 1–3)</w:t>
      </w:r>
    </w:p>
    <w:p w14:paraId="6305AAF8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6007EC0C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7CCBB3" w14:textId="77777777" w:rsidR="00C24B12" w:rsidRPr="008D1672" w:rsidRDefault="005A3BE0">
            <w:pPr>
              <w:jc w:val="center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2D9F898A" w14:textId="77777777" w:rsidR="00C24B12" w:rsidRPr="008D1672" w:rsidRDefault="005A3BE0">
            <w:pPr>
              <w:jc w:val="center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5C6C422E" w14:textId="77777777" w:rsidR="00C24B12" w:rsidRPr="008D1672" w:rsidRDefault="005A3BE0">
            <w:pPr>
              <w:spacing w:after="4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1F4E79"/>
                <w:sz w:val="24"/>
                <w:szCs w:val="24"/>
              </w:rPr>
              <w:t>Introduction: What Is the Indo-Pacific?</w:t>
            </w:r>
          </w:p>
          <w:p w14:paraId="4033D0C1" w14:textId="77777777" w:rsidR="00C24B12" w:rsidRPr="008D1672" w:rsidRDefault="005A3BE0">
            <w:pPr>
              <w:spacing w:after="6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 w:cs="Times New Roman"/>
                <w:color w:val="444444"/>
                <w:sz w:val="24"/>
                <w:szCs w:val="24"/>
              </w:rPr>
              <w:t>Conceptual Foundations &amp; Historical Context</w:t>
            </w:r>
          </w:p>
          <w:p w14:paraId="1EDC4120" w14:textId="77777777" w:rsidR="00C24B12" w:rsidRPr="008D1672" w:rsidRDefault="005A3BE0">
            <w:pPr>
              <w:spacing w:after="3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02BB2745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Defining the Indo-Pacific: geography, geopolitics, and strategy</w:t>
            </w:r>
          </w:p>
          <w:p w14:paraId="60DE2FD9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Historical evolution from Asia-Pacific to Indo-Pacific</w:t>
            </w:r>
          </w:p>
          <w:p w14:paraId="46DE710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Key actors: US, China, India, Japan, ASEAN</w:t>
            </w:r>
          </w:p>
          <w:p w14:paraId="5EA1DD52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Overview of the US Free and Open Indo-Pacific (FOIP) Strategy</w:t>
            </w:r>
          </w:p>
          <w:p w14:paraId="02B48835" w14:textId="1F82CE67" w:rsidR="00C24B12" w:rsidRPr="008D1672" w:rsidRDefault="005A3BE0" w:rsidP="008D1672">
            <w:pPr>
              <w:spacing w:before="80" w:after="20"/>
              <w:jc w:val="both"/>
              <w:rPr>
                <w:rFonts w:ascii="Georgia" w:hAnsi="Georgia" w:cs="Times New Roman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Rory Medcalf, Indo-Pacific Empire: China, America</w:t>
            </w:r>
            <w:r w:rsidR="008D1672"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,</w:t>
            </w: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 xml:space="preserve"> and the Contest for the World</w:t>
            </w:r>
            <w:r w:rsidR="00EB20B3" w:rsidRPr="008D1672">
              <w:rPr>
                <w:rFonts w:ascii="Georgia" w:hAnsi="Georgia" w:cs="Times New Roman"/>
                <w:color w:val="333333"/>
                <w:sz w:val="24"/>
                <w:szCs w:val="24"/>
              </w:rPr>
              <w:t>'</w:t>
            </w:r>
            <w:r w:rsidRPr="008D1672">
              <w:rPr>
                <w:rFonts w:ascii="Georgia" w:eastAsia="Arial" w:hAnsi="Georgia" w:cs="Times New Roman"/>
                <w:color w:val="333333"/>
                <w:sz w:val="24"/>
                <w:szCs w:val="24"/>
              </w:rPr>
              <w:t>s Pivotal Region (2020)</w:t>
            </w:r>
          </w:p>
          <w:p w14:paraId="2A8AC446" w14:textId="77777777" w:rsidR="00C24B12" w:rsidRDefault="005A3BE0" w:rsidP="008D1672">
            <w:pPr>
              <w:spacing w:after="40"/>
              <w:jc w:val="both"/>
              <w:rPr>
                <w:rFonts w:ascii="Georgia" w:eastAsia="新細明體" w:hAnsi="Georgia" w:cs="Times New Roman"/>
                <w:color w:val="666666"/>
                <w:sz w:val="24"/>
                <w:szCs w:val="24"/>
              </w:rPr>
            </w:pPr>
            <w:r w:rsidRPr="008D1672">
              <w:rPr>
                <w:rFonts w:ascii="Georgia" w:eastAsia="Arial" w:hAnsi="Georgia" w:cs="Times New Roman"/>
                <w:color w:val="666666"/>
                <w:sz w:val="24"/>
                <w:szCs w:val="24"/>
              </w:rPr>
              <w:t xml:space="preserve">Manchester University Press | Ch. </w:t>
            </w:r>
            <w:r w:rsidR="00EB20B3" w:rsidRPr="008D1672">
              <w:rPr>
                <w:rFonts w:ascii="Georgia" w:eastAsia="新細明體" w:hAnsi="Georgia" w:cs="Times New Roman"/>
                <w:color w:val="666666"/>
                <w:sz w:val="24"/>
                <w:szCs w:val="24"/>
              </w:rPr>
              <w:t>1</w:t>
            </w:r>
          </w:p>
          <w:p w14:paraId="62D9FE91" w14:textId="5CD3204B" w:rsidR="00763683" w:rsidRPr="008D1672" w:rsidRDefault="00763683" w:rsidP="008D1672">
            <w:pPr>
              <w:spacing w:after="40"/>
              <w:jc w:val="both"/>
              <w:rPr>
                <w:rFonts w:ascii="Georgia" w:hAnsi="Georgia" w:cs="Times New Roman"/>
                <w:sz w:val="24"/>
                <w:szCs w:val="24"/>
              </w:rPr>
            </w:pPr>
          </w:p>
        </w:tc>
      </w:tr>
    </w:tbl>
    <w:p w14:paraId="2AF7845E" w14:textId="77777777" w:rsidR="00C24B12" w:rsidRPr="008D1672" w:rsidRDefault="00C24B12">
      <w:pPr>
        <w:spacing w:before="80" w:after="80"/>
        <w:rPr>
          <w:rFonts w:ascii="Georgia" w:hAnsi="Georgia" w:cs="Times New Roman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353DB6E4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2E75B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DD539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6609EC0F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5B1DB22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US Grand Strategy in the Indo-Pacific</w:t>
            </w:r>
          </w:p>
          <w:p w14:paraId="33307F78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American Strategic Interests &amp; Policy Frameworks</w:t>
            </w:r>
          </w:p>
          <w:p w14:paraId="6696E972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4686A5DC" w14:textId="55A1F733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US National Security Strategy (202</w:t>
            </w:r>
            <w:r w:rsidR="008D1672"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6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 xml:space="preserve">) </w:t>
            </w:r>
          </w:p>
          <w:p w14:paraId="3695D4E5" w14:textId="7B1CF9EB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Pivot/rebalance to Asia under Obama,Trump, Biden, and beyond</w:t>
            </w:r>
          </w:p>
          <w:p w14:paraId="2D152537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The role of alliances, partnerships, and deterrence</w:t>
            </w:r>
          </w:p>
          <w:p w14:paraId="1F418886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Integrated deterrence and multi-domain competition</w:t>
            </w:r>
          </w:p>
          <w:p w14:paraId="301F327B" w14:textId="6B5ED14F" w:rsidR="00763683" w:rsidRDefault="005A3BE0" w:rsidP="00763683">
            <w:pPr>
              <w:spacing w:before="80" w:after="20"/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</w:p>
          <w:p w14:paraId="37E05C32" w14:textId="7B9A1485" w:rsidR="00C24B12" w:rsidRPr="00763683" w:rsidRDefault="00763683" w:rsidP="00763683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Michael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Mastanduno,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2023.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“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Realist Theories and US Foreign Policy in the </w:t>
            </w:r>
            <w:r>
              <w:rPr>
                <w:rFonts w:ascii="Georgia" w:hAnsi="Georgia"/>
                <w:sz w:val="24"/>
                <w:szCs w:val="24"/>
              </w:rPr>
              <w:t>Indo-Pacific.”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in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Oliver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Turner,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Nicola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Nymalm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and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Wali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Aslam,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eds.,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The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Routledge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Handbook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of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US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Foreign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Policy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in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the</w:t>
            </w:r>
            <w:r w:rsidRPr="00763683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763683">
              <w:rPr>
                <w:rFonts w:ascii="Georgia" w:hAnsi="Georgia"/>
                <w:i/>
                <w:iCs/>
                <w:sz w:val="24"/>
                <w:szCs w:val="24"/>
              </w:rPr>
              <w:t>Indo-Pacific</w:t>
            </w:r>
            <w:r>
              <w:rPr>
                <w:rFonts w:ascii="Georgia" w:hAnsi="Georgia"/>
                <w:sz w:val="24"/>
                <w:szCs w:val="24"/>
              </w:rPr>
              <w:t>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London: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Routledge,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pp.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152-165.</w:t>
            </w:r>
          </w:p>
        </w:tc>
      </w:tr>
    </w:tbl>
    <w:p w14:paraId="1B9E22A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0175A7E6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A4CBCC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792B0422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24A80F2" w14:textId="18980D89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China</w:t>
            </w:r>
            <w:r w:rsidR="008D1672"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s Rise and Regional Ambitions</w:t>
            </w:r>
          </w:p>
          <w:p w14:paraId="7F41694D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The China Challenge</w:t>
            </w:r>
          </w:p>
          <w:p w14:paraId="0B71A152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21467206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lastRenderedPageBreak/>
              <w:t>Chinese Communist Party (CCP) strategic objectives</w:t>
            </w:r>
          </w:p>
          <w:p w14:paraId="2691229A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Belt and Road Initiative (BRI) and debt-trap diplomacy debates</w:t>
            </w:r>
          </w:p>
          <w:p w14:paraId="28E9404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Military modernization: PLA Navy, A2/AD, and power projection</w:t>
            </w:r>
          </w:p>
          <w:p w14:paraId="175448A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Taiwan, South China Sea, and East China Sea disputes</w:t>
            </w:r>
          </w:p>
          <w:p w14:paraId="4B4D5375" w14:textId="77777777" w:rsidR="00763683" w:rsidRDefault="005A3BE0">
            <w:pPr>
              <w:spacing w:before="80" w:after="20"/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</w:p>
          <w:p w14:paraId="1772F1A0" w14:textId="71C26FF1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Rush Doshi, The Long Game: China</w:t>
            </w:r>
            <w:r w:rsidR="008D1672"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 Grand Strategy to Displace American Order (2021)</w:t>
            </w:r>
          </w:p>
          <w:p w14:paraId="30E58F97" w14:textId="77777777" w:rsidR="00C24B12" w:rsidRPr="00ED3EFA" w:rsidRDefault="005A3BE0">
            <w:pPr>
              <w:spacing w:after="40"/>
              <w:rPr>
                <w:rFonts w:ascii="Georgia" w:eastAsia="Arial" w:hAnsi="Georgia"/>
                <w:b/>
                <w:bCs/>
                <w:color w:val="666666"/>
                <w:sz w:val="24"/>
                <w:szCs w:val="24"/>
              </w:rPr>
            </w:pPr>
            <w:r w:rsidRPr="00ED3EFA">
              <w:rPr>
                <w:rFonts w:ascii="Georgia" w:eastAsia="Arial" w:hAnsi="Georgia"/>
                <w:b/>
                <w:bCs/>
                <w:color w:val="666666"/>
                <w:sz w:val="24"/>
                <w:szCs w:val="24"/>
              </w:rPr>
              <w:t>Oxford University Press | Ch. 1, 5–8 recommended</w:t>
            </w:r>
          </w:p>
          <w:p w14:paraId="2FAC5640" w14:textId="22A95B63" w:rsidR="00763683" w:rsidRPr="008D1672" w:rsidRDefault="00763683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C</w:t>
            </w:r>
            <w:r>
              <w:rPr>
                <w:rFonts w:ascii="Georgia" w:hAnsi="Georgia"/>
                <w:sz w:val="24"/>
                <w:szCs w:val="24"/>
              </w:rPr>
              <w:t>hang,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Ketian.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2025.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“China.”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in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Ramon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Pacheco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Pardo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and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Jun,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H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Pak,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eds.,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East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Asia’s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Grand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Strategies: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A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Twelve-Case</w:t>
            </w:r>
            <w:r w:rsidRPr="00ED3EFA">
              <w:rPr>
                <w:rFonts w:ascii="Georgia" w:hAnsi="Georgia" w:hint="eastAsia"/>
                <w:i/>
                <w:iCs/>
                <w:sz w:val="24"/>
                <w:szCs w:val="24"/>
              </w:rPr>
              <w:t xml:space="preserve"> </w:t>
            </w:r>
            <w:r w:rsidRPr="00ED3EFA">
              <w:rPr>
                <w:rFonts w:ascii="Georgia" w:hAnsi="Georgia"/>
                <w:i/>
                <w:iCs/>
                <w:sz w:val="24"/>
                <w:szCs w:val="24"/>
              </w:rPr>
              <w:t>Comparison</w:t>
            </w:r>
            <w:r>
              <w:rPr>
                <w:rFonts w:ascii="Georgia" w:hAnsi="Georgia"/>
                <w:sz w:val="24"/>
                <w:szCs w:val="24"/>
              </w:rPr>
              <w:t>.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D.C.:</w:t>
            </w:r>
            <w:r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="00ED3EFA">
              <w:rPr>
                <w:rFonts w:ascii="Georgia" w:hAnsi="Georgia"/>
                <w:sz w:val="24"/>
                <w:szCs w:val="24"/>
              </w:rPr>
              <w:t>Georgetown</w:t>
            </w:r>
            <w:r w:rsidR="00ED3EFA"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="00ED3EFA">
              <w:rPr>
                <w:rFonts w:ascii="Georgia" w:hAnsi="Georgia"/>
                <w:sz w:val="24"/>
                <w:szCs w:val="24"/>
              </w:rPr>
              <w:t>University</w:t>
            </w:r>
            <w:r w:rsidR="00ED3EFA"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="00ED3EFA">
              <w:rPr>
                <w:rFonts w:ascii="Georgia" w:hAnsi="Georgia"/>
                <w:sz w:val="24"/>
                <w:szCs w:val="24"/>
              </w:rPr>
              <w:t>Press,</w:t>
            </w:r>
            <w:r w:rsidR="00ED3EFA"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="00ED3EFA">
              <w:rPr>
                <w:rFonts w:ascii="Georgia" w:hAnsi="Georgia"/>
                <w:sz w:val="24"/>
                <w:szCs w:val="24"/>
              </w:rPr>
              <w:t>chapter</w:t>
            </w:r>
            <w:r w:rsidR="00ED3EFA">
              <w:rPr>
                <w:rFonts w:ascii="Georgia" w:hAnsi="Georgia" w:hint="eastAsia"/>
                <w:sz w:val="24"/>
                <w:szCs w:val="24"/>
              </w:rPr>
              <w:t xml:space="preserve"> </w:t>
            </w:r>
            <w:r w:rsidR="00ED3EFA">
              <w:rPr>
                <w:rFonts w:ascii="Georgia" w:hAnsi="Georgia"/>
                <w:sz w:val="24"/>
                <w:szCs w:val="24"/>
              </w:rPr>
              <w:t>1.</w:t>
            </w:r>
            <w:r w:rsidR="00ED3EFA">
              <w:rPr>
                <w:rFonts w:ascii="Georgia" w:hAnsi="Georgia" w:hint="eastAsia"/>
                <w:sz w:val="24"/>
                <w:szCs w:val="24"/>
              </w:rPr>
              <w:t xml:space="preserve"> </w:t>
            </w:r>
          </w:p>
        </w:tc>
      </w:tr>
    </w:tbl>
    <w:p w14:paraId="19B6E372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18404B6F" w14:textId="77777777" w:rsidR="00C24B12" w:rsidRPr="008D1672" w:rsidRDefault="005A3BE0">
      <w:pPr>
        <w:shd w:val="clear" w:color="auto" w:fill="2E75B6"/>
        <w:spacing w:before="200" w:after="10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FFFFFF"/>
          <w:sz w:val="24"/>
          <w:szCs w:val="24"/>
        </w:rPr>
        <w:t xml:space="preserve">  MODULE II: US-JAPAN &amp; US-KOREA ALLIANCES  (Weeks 4–7)</w:t>
      </w:r>
    </w:p>
    <w:p w14:paraId="759A9715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9244"/>
      </w:tblGrid>
      <w:tr w:rsidR="00C24B12" w:rsidRPr="008D1672" w14:paraId="66843A60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2E75B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A2FA33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7565589B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4C052998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The US-Japan Alliance</w:t>
            </w:r>
          </w:p>
          <w:p w14:paraId="7D198CA6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Cornerstone of Indo-Pacific Security</w:t>
            </w:r>
          </w:p>
          <w:p w14:paraId="5835B3BD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1F3D482F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History of the US-Japan Mutual Security Treaty (1951, revised 1960)</w:t>
            </w:r>
          </w:p>
          <w:p w14:paraId="0D06E37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Japan's evolving security posture: reinterpretation of Article 9</w:t>
            </w:r>
          </w:p>
          <w:p w14:paraId="5C51A632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Japan's National Security Strategy (2022) and defense buildup</w:t>
            </w:r>
          </w:p>
          <w:p w14:paraId="4361B51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Bilateral cooperation: extended deterrence, missile defense, force posture</w:t>
            </w:r>
          </w:p>
          <w:p w14:paraId="65EBA84A" w14:textId="33FC057C" w:rsidR="00C24B12" w:rsidRPr="008D1672" w:rsidRDefault="005A3BE0" w:rsidP="00EB20B3">
            <w:pPr>
              <w:spacing w:before="80" w:after="20"/>
              <w:rPr>
                <w:rFonts w:ascii="Georgia" w:hAnsi="Georgia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="00EB20B3" w:rsidRPr="008D1672">
              <w:rPr>
                <w:rFonts w:ascii="Georgia" w:eastAsia="Arial" w:hAnsi="Georgia"/>
                <w:sz w:val="24"/>
                <w:szCs w:val="24"/>
              </w:rPr>
              <w:t>Kristi</w:t>
            </w:r>
            <w:r w:rsidR="00EB20B3" w:rsidRPr="008D1672">
              <w:rPr>
                <w:rFonts w:ascii="Georgia" w:hAnsi="Georgia"/>
              </w:rPr>
              <w:t xml:space="preserve"> Govella and Nicholas Szechenyi, 2026. “Deepening Strategic Alignment: Priorities for the U.S.-Japan Alliance,” </w:t>
            </w:r>
            <w:r w:rsidR="00EB20B3" w:rsidRPr="008D1672">
              <w:rPr>
                <w:rFonts w:ascii="Georgia" w:hAnsi="Georgia"/>
                <w:i/>
                <w:iCs/>
              </w:rPr>
              <w:t>CSIS Report</w:t>
            </w:r>
            <w:r w:rsidR="008D1672" w:rsidRPr="008D1672">
              <w:rPr>
                <w:rFonts w:ascii="Georgia" w:hAnsi="Georgia"/>
                <w:i/>
                <w:iCs/>
              </w:rPr>
              <w:t>,</w:t>
            </w:r>
            <w:r w:rsidR="00EB20B3" w:rsidRPr="008D1672">
              <w:rPr>
                <w:rFonts w:ascii="Georgia" w:hAnsi="Georgia"/>
              </w:rPr>
              <w:t xml:space="preserve"> </w:t>
            </w:r>
          </w:p>
          <w:p w14:paraId="4A16C4AF" w14:textId="5C58FB54" w:rsidR="00EB20B3" w:rsidRPr="008D1672" w:rsidRDefault="00EB20B3" w:rsidP="00EB20B3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hAnsi="Georgia"/>
                <w:sz w:val="24"/>
                <w:szCs w:val="24"/>
              </w:rPr>
              <w:t>https://csis-website-prod.s3.amazonaws.com/s3fs-public/2026-04/260403_Govella_Strategic_Alignment_0.pdf?VersionId=PdlX_yf77Rjdk._bBphqfjc_PpiNmsP7</w:t>
            </w:r>
          </w:p>
        </w:tc>
      </w:tr>
    </w:tbl>
    <w:p w14:paraId="79C055AE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0400A5A6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55A1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A3E820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450CED77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5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BFEBFE8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US-Japan Alliance: Contemporary Challenges</w:t>
            </w:r>
          </w:p>
          <w:p w14:paraId="1714DA4F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Alliance Modernization &amp; Northeast Asian Security</w:t>
            </w:r>
          </w:p>
          <w:p w14:paraId="1607D6ED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45CD0DDA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North Korea's nuclear and missile program</w:t>
            </w:r>
          </w:p>
          <w:p w14:paraId="6699302C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Senkaku/Diaoyu Islands dispute and alliance obligations</w:t>
            </w:r>
          </w:p>
          <w:p w14:paraId="1DD9E8DE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Japan's counterstrike capability debate</w:t>
            </w:r>
          </w:p>
          <w:p w14:paraId="4BC7612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US force realignment in Okinawa and the broader Pacific</w:t>
            </w:r>
          </w:p>
          <w:p w14:paraId="3AE78444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Brad Glosserman &amp; Scott Snyder, The Japan-South Korea Identity Clash (2015)</w:t>
            </w:r>
          </w:p>
          <w:p w14:paraId="5EC9EFC8" w14:textId="340BB4D6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Columbia University Press | Part I–II</w:t>
            </w:r>
          </w:p>
        </w:tc>
      </w:tr>
    </w:tbl>
    <w:p w14:paraId="27DF8A8D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11151DAE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55A1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D3145F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4DC14F7C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6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C13331F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The US-ROK Alliance</w:t>
            </w:r>
          </w:p>
          <w:p w14:paraId="579CF564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Deterrence on the Korean Peninsula</w:t>
            </w:r>
          </w:p>
          <w:p w14:paraId="3B7EE1F5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lastRenderedPageBreak/>
              <w:t>Topics Covered:</w:t>
            </w:r>
          </w:p>
          <w:p w14:paraId="0DAF4BAC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Origins of the US-ROK alliance (1953 Mutual Defense Treaty)</w:t>
            </w:r>
          </w:p>
          <w:p w14:paraId="18F6CCE5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North Korea's nuclear doctrine and escalation dynamics</w:t>
            </w:r>
          </w:p>
          <w:p w14:paraId="4F1F24A3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Extended deterrence, OPCON transfer, and combined forces</w:t>
            </w:r>
          </w:p>
          <w:p w14:paraId="78CD6AEF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South Korea's Indo-Pacific strategy and hedging between US and China</w:t>
            </w:r>
          </w:p>
          <w:p w14:paraId="7B8C5E56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Victor Cha, The Impossible State: North Korea, Past and Future (2012)</w:t>
            </w:r>
          </w:p>
          <w:p w14:paraId="530C11D6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Ecco/HarperCollins | Ch. 1–3, 12–14 recommended</w:t>
            </w:r>
          </w:p>
        </w:tc>
      </w:tr>
    </w:tbl>
    <w:p w14:paraId="72205501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29B401EB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7030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69FB6D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Week</w:t>
            </w:r>
          </w:p>
          <w:p w14:paraId="45DF6C60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7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74D684E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US-ROK Alliance: Nuclear Threats &amp; Alliance Dynamics</w:t>
            </w:r>
          </w:p>
          <w:p w14:paraId="5FA75279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Theme: Extended Deterrence and Alliance Cohesion</w:t>
            </w:r>
          </w:p>
          <w:p w14:paraId="3113D981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Topics Covered:</w:t>
            </w:r>
          </w:p>
          <w:p w14:paraId="618BF2C4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Washington Declaration (2023) and Nuclear Consultative Group</w:t>
            </w:r>
          </w:p>
          <w:p w14:paraId="50ED3F4A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ROK domestic debate on indigenous nuclear deterrence</w:t>
            </w:r>
          </w:p>
          <w:p w14:paraId="38A1DDEA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China factor in US-ROK alliance management</w:t>
            </w:r>
          </w:p>
          <w:p w14:paraId="34CB204B" w14:textId="77777777" w:rsidR="00C24B12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US-Japan-ROK trilateral security cooperation</w:t>
            </w:r>
          </w:p>
          <w:p w14:paraId="201DC025" w14:textId="77777777" w:rsidR="001F5085" w:rsidRPr="008D1672" w:rsidRDefault="005A3BE0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 xml:space="preserve">Required Reading: </w:t>
            </w:r>
          </w:p>
          <w:p w14:paraId="17F482F2" w14:textId="28D4BD35" w:rsidR="001F5085" w:rsidRPr="008D1672" w:rsidRDefault="001F5085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 xml:space="preserve">Victor Cha, 2026. “North Korea as It Is: The Case for a Cold Peace,” </w:t>
            </w:r>
            <w:r w:rsidR="00C13F6E" w:rsidRPr="008D1672">
              <w:rPr>
                <w:rFonts w:ascii="Georgia" w:hAnsi="Georgia"/>
              </w:rPr>
              <w:t>May/June, 2026.</w:t>
            </w:r>
          </w:p>
          <w:p w14:paraId="4CC481CA" w14:textId="30611878" w:rsidR="00C24B12" w:rsidRPr="008D1672" w:rsidRDefault="001F5085" w:rsidP="001F5085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Victor Cha and Kristi Govella, 2026. “Why Japan and South Korea Won’t Go Nuclear</w:t>
            </w:r>
            <w:r w:rsidRPr="008D1672">
              <w:rPr>
                <w:rFonts w:ascii="Georgia" w:hAnsi="Georgia"/>
              </w:rPr>
              <w:t>：</w:t>
            </w:r>
            <w:r w:rsidRPr="008D1672">
              <w:rPr>
                <w:rFonts w:ascii="Georgia" w:hAnsi="Georgia"/>
              </w:rPr>
              <w:t xml:space="preserve">But America Still Needs to Worry About Proliferation in East Asia.” Foreign Affairs, May 7. </w:t>
            </w:r>
          </w:p>
        </w:tc>
      </w:tr>
    </w:tbl>
    <w:p w14:paraId="79BA5E8C" w14:textId="77777777" w:rsidR="00C24B12" w:rsidRPr="008D1672" w:rsidRDefault="00C24B12" w:rsidP="001F5085">
      <w:pPr>
        <w:rPr>
          <w:rFonts w:ascii="Georgia" w:hAnsi="Georgia"/>
        </w:rPr>
      </w:pPr>
    </w:p>
    <w:p w14:paraId="7DCA1A51" w14:textId="77777777" w:rsidR="00C24B12" w:rsidRPr="008D1672" w:rsidRDefault="005A3BE0" w:rsidP="001F5085">
      <w:pPr>
        <w:rPr>
          <w:rFonts w:ascii="Georgia" w:hAnsi="Georgia"/>
          <w:b/>
          <w:bCs/>
        </w:rPr>
      </w:pPr>
      <w:r w:rsidRPr="008D1672">
        <w:rPr>
          <w:rFonts w:ascii="Georgia" w:hAnsi="Georgia"/>
          <w:b/>
          <w:bCs/>
        </w:rPr>
        <w:t xml:space="preserve">  MODULE III: US-PHILIPPINES ALLIANCE &amp; SOUTH CHINA SEA  (Weeks 8–9)</w:t>
      </w:r>
    </w:p>
    <w:p w14:paraId="4D608033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5BF58F02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7030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22F83A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7A99786C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8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CADBFA4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The US-Philippines Alliance</w:t>
            </w:r>
          </w:p>
          <w:p w14:paraId="609DF2E2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Southeast Asia's Strategic Pivot Point</w:t>
            </w:r>
          </w:p>
          <w:p w14:paraId="267BAF21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71FA5575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History of the US-Philippines Mutual Defense Treaty (1951)</w:t>
            </w:r>
          </w:p>
          <w:p w14:paraId="2BAD6CD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South China Sea disputes: UNCLOS arbitration ruling (2016)</w:t>
            </w:r>
          </w:p>
          <w:p w14:paraId="3735D112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Duterte's pivot toward China and alliance strains</w:t>
            </w:r>
          </w:p>
          <w:p w14:paraId="26A26C44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Marcos Jr., expanded EDCA sites, and alliance revitalization</w:t>
            </w:r>
          </w:p>
          <w:p w14:paraId="4020468B" w14:textId="72FAB5C7" w:rsidR="00C13F6E" w:rsidRPr="008D1672" w:rsidRDefault="005A3BE0" w:rsidP="00C13F6E">
            <w:pPr>
              <w:spacing w:before="80" w:after="20"/>
              <w:rPr>
                <w:rFonts w:ascii="Georgia" w:eastAsia="Arial" w:hAnsi="Georgia"/>
                <w:color w:val="333333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 xml:space="preserve">Renato Cruz De Castro, </w:t>
            </w:r>
            <w:r w:rsidR="00C13F6E"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2025.</w:t>
            </w:r>
          </w:p>
          <w:p w14:paraId="09713CEC" w14:textId="0D6D0B96" w:rsidR="00C13F6E" w:rsidRPr="008D1672" w:rsidRDefault="00C13F6E" w:rsidP="00C13F6E">
            <w:pPr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hAnsi="Georgia"/>
                <w:sz w:val="24"/>
                <w:szCs w:val="24"/>
              </w:rPr>
              <w:t>The Philippines’ hard-balancing policy against China’s expansion in the South China Sea: the Comprehensive archipelagic Defence Concept (CADC), Defense Studies, https://www.tandfonline.com/doi/full/10.1080/14702436.2025.2567320</w:t>
            </w:r>
          </w:p>
          <w:p w14:paraId="313F142B" w14:textId="50DA3F8D" w:rsidR="00C24B12" w:rsidRPr="008D1672" w:rsidRDefault="00C24B12">
            <w:pPr>
              <w:spacing w:after="4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67C3450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288ECF8A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37562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FD32E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2C8557C4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9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284BBB2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US-Philippines Alliance: South China Sea Tensions</w:t>
            </w:r>
          </w:p>
          <w:p w14:paraId="092145B4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Gray Zone Conflicts &amp; Maritime Security</w:t>
            </w:r>
          </w:p>
          <w:p w14:paraId="5C7BBA0B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119D25E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lastRenderedPageBreak/>
              <w:t>China's gray zone tactics: coast guard, maritime militia</w:t>
            </w:r>
          </w:p>
          <w:p w14:paraId="54C46DC1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Second Thomas Shoal and Scarborough Shoal incidents</w:t>
            </w:r>
          </w:p>
          <w:p w14:paraId="0EB36699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Freedom of Navigation Operations (FONOPs)</w:t>
            </w:r>
          </w:p>
          <w:p w14:paraId="1373BB2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ASEAN's Code of Conduct negotiations and strategic hedging</w:t>
            </w:r>
          </w:p>
          <w:p w14:paraId="59DE6F4C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Gregory Poling, On Dangerous Ground: America's Century in the South China Sea (2022)</w:t>
            </w:r>
          </w:p>
          <w:p w14:paraId="4560AB0C" w14:textId="2B62282D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 xml:space="preserve">Oxford University Press </w:t>
            </w:r>
          </w:p>
        </w:tc>
      </w:tr>
    </w:tbl>
    <w:p w14:paraId="09BCB55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27861DD5" w14:textId="77777777" w:rsidR="00C24B12" w:rsidRPr="008D1672" w:rsidRDefault="005A3BE0">
      <w:pPr>
        <w:shd w:val="clear" w:color="auto" w:fill="7030A0"/>
        <w:spacing w:before="200" w:after="10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FFFFFF"/>
          <w:sz w:val="24"/>
          <w:szCs w:val="24"/>
        </w:rPr>
        <w:t xml:space="preserve">  MODULE IV: AUKUS &amp; MINILATERAL SECURITY  (Weeks 10–11)</w:t>
      </w:r>
    </w:p>
    <w:p w14:paraId="5F332994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07FC32FB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37562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CEEB41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45240A4F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2AC4F8B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AUKUS: A New Security Architecture</w:t>
            </w:r>
          </w:p>
          <w:p w14:paraId="77744EFA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Technology, Submarines, and Minilateralism</w:t>
            </w:r>
          </w:p>
          <w:p w14:paraId="4406B199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4FD82042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Origins of AUKUS (September 2021): Pillar I and Pillar II</w:t>
            </w:r>
          </w:p>
          <w:p w14:paraId="315A7079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Nuclear-powered submarine program: AUKUS Optimal Pathway</w:t>
            </w:r>
          </w:p>
          <w:p w14:paraId="7599AC64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Advanced capabilities: AI, cyber, quantum, and hypersonics</w:t>
            </w:r>
          </w:p>
          <w:p w14:paraId="237781C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France's reaction and implications for alliance management</w:t>
            </w:r>
          </w:p>
          <w:p w14:paraId="3AB95B52" w14:textId="62F4AC09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 xml:space="preserve">Ashley Townshend &amp; Brendan Thomas-Noone, </w:t>
            </w:r>
            <w:r w:rsidR="008D1672">
              <w:rPr>
                <w:rFonts w:ascii="Georgia" w:eastAsia="Arial" w:hAnsi="Georgia"/>
                <w:color w:val="333333"/>
                <w:sz w:val="24"/>
                <w:szCs w:val="24"/>
              </w:rPr>
              <w:t>“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Transforming the US-Australia Alliance,</w:t>
            </w:r>
            <w:r w:rsidR="008D1672">
              <w:rPr>
                <w:rFonts w:ascii="Georgia" w:eastAsia="Arial" w:hAnsi="Georgia"/>
                <w:color w:val="333333"/>
                <w:sz w:val="24"/>
                <w:szCs w:val="24"/>
              </w:rPr>
              <w:t>”</w:t>
            </w:r>
            <w:r w:rsidR="008D1672">
              <w:rPr>
                <w:rFonts w:asciiTheme="minorEastAsia" w:hAnsiTheme="minorEastAsia" w:hint="eastAsia"/>
                <w:color w:val="333333"/>
                <w:sz w:val="24"/>
                <w:szCs w:val="24"/>
              </w:rPr>
              <w:t xml:space="preserve">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USSC Report (2022)</w:t>
            </w:r>
          </w:p>
          <w:p w14:paraId="73F137F2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United States Studies Centre | Available at ussc.edu.au; also read Survival, Vol. 63, No. 6</w:t>
            </w:r>
          </w:p>
        </w:tc>
      </w:tr>
    </w:tbl>
    <w:p w14:paraId="713C8898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26FE4E47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37562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511F03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551F903A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6ECEE9E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AUKUS: Strategic Implications</w:t>
            </w:r>
          </w:p>
          <w:p w14:paraId="3A8AEC4E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Regional Reactions and Nuclear Nonproliferation</w:t>
            </w:r>
          </w:p>
          <w:p w14:paraId="7E983C0E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3144EF7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ASEAN reactions: sovereignty concerns and hedging</w:t>
            </w:r>
          </w:p>
          <w:p w14:paraId="3CA4080B" w14:textId="547A9225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India and Japan</w:t>
            </w:r>
            <w:r w:rsidR="00DD1FF3">
              <w:rPr>
                <w:rFonts w:ascii="Georgia" w:eastAsia="Arial" w:hAnsi="Georgia"/>
                <w:color w:val="333333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 interest in AUKUS Pillar II</w:t>
            </w:r>
          </w:p>
          <w:p w14:paraId="7BD556F9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Nuclear nonproliferation challenges: IAEA safeguards</w:t>
            </w:r>
          </w:p>
          <w:p w14:paraId="42768B83" w14:textId="13C277B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China</w:t>
            </w:r>
            <w:r w:rsidR="00DD1FF3">
              <w:rPr>
                <w:rFonts w:ascii="Georgia" w:eastAsia="Arial" w:hAnsi="Georgia"/>
                <w:color w:val="333333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 response and strategic signaling</w:t>
            </w:r>
          </w:p>
          <w:p w14:paraId="58D30092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Stephan Fruhling &amp; Andrew O'Neil, 'AUKUS and the Significance of Nuclear-Powered Submarines,' Survival, Vol. 63, No. 6 (2021)</w:t>
            </w:r>
          </w:p>
          <w:p w14:paraId="31C9D507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IISS / Taylor &amp; Francis | Full article required</w:t>
            </w:r>
          </w:p>
        </w:tc>
      </w:tr>
    </w:tbl>
    <w:p w14:paraId="050DC061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7B9A00C2" w14:textId="77777777" w:rsidR="00C24B12" w:rsidRPr="008D1672" w:rsidRDefault="005A3BE0">
      <w:pPr>
        <w:shd w:val="clear" w:color="auto" w:fill="375623"/>
        <w:spacing w:before="200" w:after="10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FFFFFF"/>
          <w:sz w:val="24"/>
          <w:szCs w:val="24"/>
        </w:rPr>
        <w:t xml:space="preserve">  MODULE V: TAIWAN &amp; CROSS-STRAIT RELATIONS  (Weeks 12–13)</w:t>
      </w:r>
    </w:p>
    <w:p w14:paraId="5E1C032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7A63E1A8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833C0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B269A7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1E8C0E20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12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E06AF2C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The Taiwan Question</w:t>
            </w:r>
          </w:p>
          <w:p w14:paraId="617B2B1C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Theme: The Most Dangerous Flashpoint</w:t>
            </w:r>
          </w:p>
          <w:p w14:paraId="4D31C263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Topics Covered:</w:t>
            </w:r>
          </w:p>
          <w:p w14:paraId="08FB3B6A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Historical context: 1949, two cross-strait crises, and status quo</w:t>
            </w:r>
          </w:p>
          <w:p w14:paraId="2923171E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lastRenderedPageBreak/>
              <w:t>Taiwan's democratic consolidation and identity politics</w:t>
            </w:r>
          </w:p>
          <w:p w14:paraId="423AA9EC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Cross-strait military balance and PLA invasion scenarios</w:t>
            </w:r>
          </w:p>
          <w:p w14:paraId="5F959C46" w14:textId="77777777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US One China Policy, Taiwan Relations Act (1979), and strategic ambiguity</w:t>
            </w:r>
          </w:p>
          <w:p w14:paraId="59CBA18E" w14:textId="77777777" w:rsidR="00AC0737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 xml:space="preserve">Required Reading: </w:t>
            </w:r>
          </w:p>
          <w:p w14:paraId="2860AB79" w14:textId="3025E04E" w:rsidR="00C24B12" w:rsidRPr="008D1672" w:rsidRDefault="005A3BE0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 xml:space="preserve">Richard Bush, </w:t>
            </w:r>
            <w:r w:rsidR="00AC0737" w:rsidRPr="008D1672">
              <w:rPr>
                <w:rFonts w:ascii="Georgia" w:hAnsi="Georgia"/>
              </w:rPr>
              <w:t xml:space="preserve">2021. </w:t>
            </w:r>
            <w:r w:rsidRPr="008D1672">
              <w:rPr>
                <w:rFonts w:ascii="Georgia" w:hAnsi="Georgia"/>
              </w:rPr>
              <w:t>Difficult Choices: Taiwan</w:t>
            </w:r>
            <w:r w:rsidR="00DD1FF3">
              <w:rPr>
                <w:rFonts w:ascii="Georgia" w:hAnsi="Georgia"/>
              </w:rPr>
              <w:t>’</w:t>
            </w:r>
            <w:r w:rsidRPr="008D1672">
              <w:rPr>
                <w:rFonts w:ascii="Georgia" w:hAnsi="Georgia"/>
              </w:rPr>
              <w:t>s Quest for Security and the Good Life</w:t>
            </w:r>
            <w:r w:rsidR="00AC0737" w:rsidRPr="008D1672">
              <w:rPr>
                <w:rFonts w:ascii="Georgia" w:hAnsi="Georgia"/>
              </w:rPr>
              <w:t>.</w:t>
            </w:r>
            <w:r w:rsidRPr="008D1672">
              <w:rPr>
                <w:rFonts w:ascii="Georgia" w:hAnsi="Georgia"/>
              </w:rPr>
              <w:t>Brookings Institution Press | Ch. 1–4, 9 recommended</w:t>
            </w:r>
            <w:r w:rsidR="00AC0737" w:rsidRPr="008D1672">
              <w:rPr>
                <w:rFonts w:ascii="Georgia" w:hAnsi="Georgia"/>
              </w:rPr>
              <w:t>.</w:t>
            </w:r>
          </w:p>
          <w:p w14:paraId="018EFA0C" w14:textId="00FEF48D" w:rsidR="00AC0737" w:rsidRPr="008D1672" w:rsidRDefault="00AC0737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Eyck Freyman, 2026. Defending Taiwan: A Strategy to Prevent War with China</w:t>
            </w:r>
          </w:p>
          <w:p w14:paraId="4E785BBB" w14:textId="1B51BC75" w:rsidR="00AC0737" w:rsidRPr="008D1672" w:rsidRDefault="00AC0737" w:rsidP="00AC0737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Oxford University Press</w:t>
            </w:r>
            <w:r w:rsidR="00ED3EFA">
              <w:rPr>
                <w:rFonts w:ascii="Georgia" w:hAnsi="Georgia"/>
              </w:rPr>
              <w:t>,</w:t>
            </w:r>
            <w:r w:rsidR="00ED3EFA">
              <w:rPr>
                <w:rFonts w:ascii="Georgia" w:hAnsi="Georgia" w:hint="eastAsia"/>
              </w:rPr>
              <w:t xml:space="preserve"> </w:t>
            </w:r>
            <w:r w:rsidR="00ED3EFA">
              <w:rPr>
                <w:rFonts w:ascii="Georgia" w:hAnsi="Georgia"/>
              </w:rPr>
              <w:t>Chapter</w:t>
            </w:r>
            <w:r w:rsidR="00ED3EFA">
              <w:rPr>
                <w:rFonts w:ascii="Georgia" w:hAnsi="Georgia" w:hint="eastAsia"/>
              </w:rPr>
              <w:t xml:space="preserve"> </w:t>
            </w:r>
            <w:r w:rsidR="00ED3EFA">
              <w:rPr>
                <w:rFonts w:ascii="Georgia" w:hAnsi="Georgia"/>
              </w:rPr>
              <w:t>2</w:t>
            </w:r>
            <w:r w:rsidR="00ED3EFA">
              <w:rPr>
                <w:rFonts w:ascii="Georgia" w:hAnsi="Georgia" w:hint="eastAsia"/>
              </w:rPr>
              <w:t xml:space="preserve"> </w:t>
            </w:r>
            <w:r w:rsidR="00ED3EFA">
              <w:rPr>
                <w:rFonts w:ascii="Georgia" w:hAnsi="Georgia"/>
              </w:rPr>
              <w:t>and</w:t>
            </w:r>
            <w:r w:rsidR="00ED3EFA">
              <w:rPr>
                <w:rFonts w:ascii="Georgia" w:hAnsi="Georgia" w:hint="eastAsia"/>
              </w:rPr>
              <w:t xml:space="preserve"> </w:t>
            </w:r>
            <w:r w:rsidR="00ED3EFA">
              <w:rPr>
                <w:rFonts w:ascii="Georgia" w:hAnsi="Georgia"/>
              </w:rPr>
              <w:t>Chapter</w:t>
            </w:r>
            <w:r w:rsidR="00ED3EFA">
              <w:rPr>
                <w:rFonts w:ascii="Georgia" w:hAnsi="Georgia" w:hint="eastAsia"/>
              </w:rPr>
              <w:t xml:space="preserve"> </w:t>
            </w:r>
            <w:r w:rsidR="00ED3EFA">
              <w:rPr>
                <w:rFonts w:ascii="Georgia" w:hAnsi="Georgia"/>
              </w:rPr>
              <w:t>3.</w:t>
            </w:r>
            <w:r w:rsidR="00ED3EFA">
              <w:rPr>
                <w:rFonts w:ascii="Georgia" w:hAnsi="Georgia" w:hint="eastAsia"/>
              </w:rPr>
              <w:t xml:space="preserve"> </w:t>
            </w:r>
          </w:p>
        </w:tc>
      </w:tr>
    </w:tbl>
    <w:p w14:paraId="64D4EA3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1F5C4CB0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833C0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2AD18B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20B5A1DB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13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30F18A9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US-Taiwan Relations: Policy &amp; Deterrence</w:t>
            </w:r>
          </w:p>
          <w:p w14:paraId="2531FDE3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Unofficial Relations and the Deterrence Dilemma</w:t>
            </w:r>
          </w:p>
          <w:p w14:paraId="09E5B5ED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4C80EB03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Arms sales, training, and Taiwan's defense reform</w:t>
            </w:r>
          </w:p>
          <w:p w14:paraId="08C4A87C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CHIPS Act and semiconductor supply chain as strategic leverage</w:t>
            </w:r>
          </w:p>
          <w:p w14:paraId="7B806114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Biden's strategic clarity statements and policy ambiguity</w:t>
            </w:r>
          </w:p>
          <w:p w14:paraId="071939C6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Porcupine strategy vs. conventional deterrence debate</w:t>
            </w:r>
          </w:p>
          <w:p w14:paraId="6DCA1DFE" w14:textId="07BBA8AB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 xml:space="preserve">Oriana Skylar Mastro, </w:t>
            </w:r>
            <w:r w:rsidR="00DD1FF3">
              <w:rPr>
                <w:rFonts w:ascii="Georgia" w:eastAsia="Arial" w:hAnsi="Georgia"/>
                <w:color w:val="333333"/>
                <w:sz w:val="24"/>
                <w:szCs w:val="24"/>
              </w:rPr>
              <w:t>“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The Taiwan Temptation,</w:t>
            </w:r>
            <w:r w:rsidR="00DD1FF3">
              <w:rPr>
                <w:rFonts w:ascii="Georgia" w:eastAsia="Arial" w:hAnsi="Georgia"/>
                <w:color w:val="333333"/>
                <w:sz w:val="24"/>
                <w:szCs w:val="24"/>
              </w:rPr>
              <w:t>”</w:t>
            </w:r>
            <w:r w:rsidR="00DD1FF3">
              <w:rPr>
                <w:rFonts w:asciiTheme="minorEastAsia" w:hAnsiTheme="minorEastAsia" w:hint="eastAsia"/>
                <w:color w:val="333333"/>
                <w:sz w:val="24"/>
                <w:szCs w:val="24"/>
              </w:rPr>
              <w:t xml:space="preserve">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Foreign Affairs, Vol. 100, No. 4 (July/August 2021)</w:t>
            </w:r>
          </w:p>
          <w:p w14:paraId="5B346B0F" w14:textId="37BC994C" w:rsidR="00834193" w:rsidRPr="008D1672" w:rsidRDefault="00834193" w:rsidP="00834193">
            <w:pPr>
              <w:rPr>
                <w:rFonts w:ascii="Georgia" w:hAnsi="Georgia"/>
              </w:rPr>
            </w:pPr>
            <w:r w:rsidRPr="008D1672">
              <w:rPr>
                <w:rFonts w:ascii="Georgia" w:hAnsi="Georgia"/>
              </w:rPr>
              <w:t>Eric Heginbotham, Bonnie Glaser, Michael Swaine, and Jake Werner. 2025.  Preventing Taiwan War: Is Strategic Ambiguity Still Working? (Quincy Institute)</w:t>
            </w:r>
          </w:p>
          <w:p w14:paraId="7DED9AE5" w14:textId="39A6322D" w:rsidR="00C24B12" w:rsidRPr="008D1672" w:rsidRDefault="00C24B12">
            <w:pPr>
              <w:spacing w:after="4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32F6BB67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p w14:paraId="3E80327D" w14:textId="77777777" w:rsidR="00C24B12" w:rsidRPr="008D1672" w:rsidRDefault="005A3BE0">
      <w:pPr>
        <w:shd w:val="clear" w:color="auto" w:fill="833C00"/>
        <w:spacing w:before="200" w:after="100"/>
        <w:rPr>
          <w:rFonts w:ascii="Georgia" w:hAnsi="Georgia"/>
          <w:sz w:val="24"/>
          <w:szCs w:val="24"/>
        </w:rPr>
      </w:pPr>
      <w:r w:rsidRPr="008D1672">
        <w:rPr>
          <w:rFonts w:ascii="Georgia" w:eastAsia="Arial" w:hAnsi="Georgia"/>
          <w:b/>
          <w:bCs/>
          <w:color w:val="FFFFFF"/>
          <w:sz w:val="24"/>
          <w:szCs w:val="24"/>
        </w:rPr>
        <w:t xml:space="preserve">  MODULE VI: REGIONAL ARCHITECTURE &amp; FUTURES  (Weeks 14–16)</w:t>
      </w:r>
    </w:p>
    <w:p w14:paraId="571DB79B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4D6554E9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19991D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3313C547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14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884032C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Multilateral Frameworks: Quad, IPEF &amp; Regional Architecture</w:t>
            </w:r>
          </w:p>
          <w:p w14:paraId="1B7A6250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Indo-Pacific Coalitions Beyond Bilateral Alliances</w:t>
            </w:r>
          </w:p>
          <w:p w14:paraId="411A5ACC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2B1A25BE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The Quad: history, revival, and strategic agenda</w:t>
            </w:r>
          </w:p>
          <w:p w14:paraId="2526B78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Indo-Pacific Economic Framework (IPEF) and economic statecraft</w:t>
            </w:r>
          </w:p>
          <w:p w14:paraId="595A7C4B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Five Eyes intelligence-sharing and expanded cooperation</w:t>
            </w:r>
          </w:p>
          <w:p w14:paraId="7F5F3E6E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ASEAN centrality and its limits in great power competition</w:t>
            </w:r>
          </w:p>
          <w:p w14:paraId="03EB0577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Tanvi Madan, Fateful Triangle: How China Shaped US-India Relations During the Cold War (2020)</w:t>
            </w:r>
          </w:p>
          <w:p w14:paraId="6A3D5150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Brookings Institution Press | Ch. 8–9; supplement with Quad summit joint statements</w:t>
            </w:r>
          </w:p>
        </w:tc>
      </w:tr>
    </w:tbl>
    <w:p w14:paraId="4377493C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574B4B38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2E75B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14D6D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2E442524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15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751A80E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Economic Competition &amp; Technology Wars</w:t>
            </w:r>
          </w:p>
          <w:p w14:paraId="62A8C99F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Geoeconomics and Techno-Nationalism</w:t>
            </w:r>
          </w:p>
          <w:p w14:paraId="004BBCDF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74995DE6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US export controls, chip wars, and decoupling vs. de-risking</w:t>
            </w:r>
          </w:p>
          <w:p w14:paraId="3AB424D0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China's Made in China 2025 and technological self-sufficiency</w:t>
            </w:r>
          </w:p>
          <w:p w14:paraId="2BF502C6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lastRenderedPageBreak/>
              <w:t>Critical infrastructure: 5G, undersea cables, and rare earths</w:t>
            </w:r>
          </w:p>
          <w:p w14:paraId="71783D25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Economic coercion: cases of Australia, Lithuania, South Korea (THAAD)</w:t>
            </w:r>
          </w:p>
          <w:p w14:paraId="2CCE9EC4" w14:textId="4E26471E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Chris Miller, Chip War: The Fight for the World</w:t>
            </w:r>
            <w:r w:rsidR="00DD1FF3">
              <w:rPr>
                <w:rFonts w:ascii="Georgia" w:eastAsia="Arial" w:hAnsi="Georgia"/>
                <w:color w:val="333333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 Most Critical Technology (2022)</w:t>
            </w:r>
          </w:p>
          <w:p w14:paraId="0DAD9574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Scribner | Full text recommended; winner of FT Business Book of the Year 2022</w:t>
            </w:r>
          </w:p>
        </w:tc>
      </w:tr>
    </w:tbl>
    <w:p w14:paraId="7E919981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bottom w:w="24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160"/>
      </w:tblGrid>
      <w:tr w:rsidR="00C24B12" w:rsidRPr="008D1672" w14:paraId="4BEDB88A" w14:textId="77777777">
        <w:tc>
          <w:tcPr>
            <w:tcW w:w="1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0000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BAD4DD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Week</w:t>
            </w:r>
          </w:p>
          <w:p w14:paraId="4484E472" w14:textId="77777777" w:rsidR="00C24B12" w:rsidRPr="008D1672" w:rsidRDefault="005A3BE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FFFFFF"/>
                <w:sz w:val="24"/>
                <w:szCs w:val="24"/>
              </w:rPr>
              <w:t>16</w:t>
            </w:r>
          </w:p>
        </w:tc>
        <w:tc>
          <w:tcPr>
            <w:tcW w:w="8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93CD22A" w14:textId="77777777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1F4E79"/>
                <w:sz w:val="24"/>
                <w:szCs w:val="24"/>
              </w:rPr>
              <w:t>The Future of the Indo-Pacific Order</w:t>
            </w:r>
          </w:p>
          <w:p w14:paraId="6D576C8C" w14:textId="77777777" w:rsidR="00C24B12" w:rsidRPr="008D1672" w:rsidRDefault="005A3BE0">
            <w:pPr>
              <w:spacing w:after="6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2E75B6"/>
                <w:sz w:val="24"/>
                <w:szCs w:val="24"/>
              </w:rPr>
              <w:t xml:space="preserve">Theme: </w:t>
            </w:r>
            <w:r w:rsidRPr="008D1672">
              <w:rPr>
                <w:rFonts w:ascii="Georgia" w:eastAsia="Arial" w:hAnsi="Georgia"/>
                <w:color w:val="444444"/>
                <w:sz w:val="24"/>
                <w:szCs w:val="24"/>
              </w:rPr>
              <w:t>Synthesis, Scenarios, and Strategic Futures</w:t>
            </w:r>
          </w:p>
          <w:p w14:paraId="4DEC2827" w14:textId="77777777" w:rsidR="00C24B12" w:rsidRPr="008D1672" w:rsidRDefault="005A3BE0">
            <w:pPr>
              <w:spacing w:after="3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333333"/>
                <w:sz w:val="24"/>
                <w:szCs w:val="24"/>
              </w:rPr>
              <w:t>Topics Covered:</w:t>
            </w:r>
          </w:p>
          <w:p w14:paraId="77CD2C38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Scenarios for Indo-Pacific order: managed competition, cold war, hot war, or multipolar equilibrium</w:t>
            </w:r>
          </w:p>
          <w:p w14:paraId="15264833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Alliance credibility challenges and burden-sharing debates</w:t>
            </w:r>
          </w:p>
          <w:p w14:paraId="78AC76B5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The role of middle powers: India, South Korea, Australia, Indonesia</w:t>
            </w:r>
          </w:p>
          <w:p w14:paraId="0B530813" w14:textId="77777777" w:rsidR="00C24B12" w:rsidRPr="008D1672" w:rsidRDefault="005A3BE0">
            <w:pPr>
              <w:pStyle w:val="a4"/>
              <w:numPr>
                <w:ilvl w:val="0"/>
                <w:numId w:val="2"/>
              </w:numPr>
              <w:spacing w:before="2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Course synthesis: what holds the Indo-Pacific together?</w:t>
            </w:r>
          </w:p>
          <w:p w14:paraId="0B69805F" w14:textId="77777777" w:rsidR="00C24B12" w:rsidRPr="008D1672" w:rsidRDefault="005A3BE0">
            <w:pPr>
              <w:spacing w:before="80" w:after="2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b/>
                <w:bCs/>
                <w:color w:val="C55A11"/>
                <w:sz w:val="24"/>
                <w:szCs w:val="24"/>
              </w:rPr>
              <w:t xml:space="preserve">Required Reading: </w:t>
            </w:r>
            <w:r w:rsidRPr="008D1672">
              <w:rPr>
                <w:rFonts w:ascii="Georgia" w:eastAsia="Arial" w:hAnsi="Georgia"/>
                <w:color w:val="333333"/>
                <w:sz w:val="24"/>
                <w:szCs w:val="24"/>
              </w:rPr>
              <w:t>Kurt Campbell, The Pivot: The Future of American Statecraft in Asia (2016)</w:t>
            </w:r>
          </w:p>
          <w:p w14:paraId="696E6A37" w14:textId="1806A758" w:rsidR="00C24B12" w:rsidRPr="008D1672" w:rsidRDefault="005A3BE0">
            <w:pPr>
              <w:spacing w:after="40"/>
              <w:rPr>
                <w:rFonts w:ascii="Georgia" w:hAnsi="Georgia"/>
                <w:sz w:val="24"/>
                <w:szCs w:val="24"/>
              </w:rPr>
            </w:pP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Twelve/Grand Central Publishing | Ch. 10–12; note Campbell</w:t>
            </w:r>
            <w:r w:rsidR="00DD1FF3">
              <w:rPr>
                <w:rFonts w:ascii="Georgia" w:eastAsia="Arial" w:hAnsi="Georgia"/>
                <w:color w:val="666666"/>
                <w:sz w:val="24"/>
                <w:szCs w:val="24"/>
              </w:rPr>
              <w:t>’</w:t>
            </w:r>
            <w:r w:rsidRPr="008D1672">
              <w:rPr>
                <w:rFonts w:ascii="Georgia" w:eastAsia="Arial" w:hAnsi="Georgia"/>
                <w:color w:val="666666"/>
                <w:sz w:val="24"/>
                <w:szCs w:val="24"/>
              </w:rPr>
              <w:t>s role as Indo-Pacific Coordinator (2021–2025)</w:t>
            </w:r>
          </w:p>
        </w:tc>
      </w:tr>
    </w:tbl>
    <w:p w14:paraId="79CD69EF" w14:textId="77777777" w:rsidR="00C24B12" w:rsidRPr="008D1672" w:rsidRDefault="00C24B12">
      <w:pPr>
        <w:spacing w:before="80" w:after="80"/>
        <w:rPr>
          <w:rFonts w:ascii="Georgia" w:hAnsi="Georgia"/>
          <w:sz w:val="24"/>
          <w:szCs w:val="24"/>
        </w:rPr>
      </w:pPr>
    </w:p>
    <w:sectPr w:rsidR="00C24B12" w:rsidRPr="008D1672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AE5FF" w14:textId="77777777" w:rsidR="003A36A3" w:rsidRDefault="003A36A3">
      <w:r>
        <w:separator/>
      </w:r>
    </w:p>
  </w:endnote>
  <w:endnote w:type="continuationSeparator" w:id="0">
    <w:p w14:paraId="308C7EE6" w14:textId="77777777" w:rsidR="003A36A3" w:rsidRDefault="003A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4995" w14:textId="77777777" w:rsidR="00C24B12" w:rsidRDefault="005A3BE0">
    <w:pPr>
      <w:pBdr>
        <w:top w:val="single" w:sz="4" w:space="1" w:color="2E75B6"/>
      </w:pBdr>
      <w:spacing w:before="100"/>
      <w:jc w:val="right"/>
    </w:pPr>
    <w:r>
      <w:rPr>
        <w:rFonts w:eastAsia="Arial"/>
        <w:color w:val="666666"/>
        <w:sz w:val="18"/>
        <w:szCs w:val="18"/>
      </w:rPr>
      <w:t xml:space="preserve">Page </w:t>
    </w:r>
    <w:r>
      <w:rPr>
        <w:color w:val="666666"/>
        <w:sz w:val="18"/>
        <w:szCs w:val="18"/>
      </w:rPr>
      <w:fldChar w:fldCharType="begin"/>
    </w:r>
    <w:r>
      <w:rPr>
        <w:rFonts w:eastAsia="Arial"/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EB20B3">
      <w:rPr>
        <w:rFonts w:eastAsia="Arial"/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  <w:r>
      <w:rPr>
        <w:rFonts w:eastAsia="Arial"/>
        <w:color w:val="666666"/>
        <w:sz w:val="18"/>
        <w:szCs w:val="18"/>
      </w:rPr>
      <w:t xml:space="preserve"> of </w:t>
    </w:r>
    <w:r>
      <w:rPr>
        <w:color w:val="666666"/>
        <w:sz w:val="18"/>
        <w:szCs w:val="18"/>
      </w:rPr>
      <w:fldChar w:fldCharType="begin"/>
    </w:r>
    <w:r>
      <w:rPr>
        <w:rFonts w:eastAsia="Arial"/>
        <w:color w:val="666666"/>
        <w:sz w:val="18"/>
        <w:szCs w:val="18"/>
      </w:rPr>
      <w:instrText>NUMPAGES</w:instrText>
    </w:r>
    <w:r>
      <w:rPr>
        <w:color w:val="666666"/>
        <w:sz w:val="18"/>
        <w:szCs w:val="18"/>
      </w:rPr>
      <w:fldChar w:fldCharType="separate"/>
    </w:r>
    <w:r w:rsidR="00EB20B3">
      <w:rPr>
        <w:rFonts w:eastAsia="Arial"/>
        <w:noProof/>
        <w:color w:val="666666"/>
        <w:sz w:val="18"/>
        <w:szCs w:val="18"/>
      </w:rPr>
      <w:t>2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1A37" w14:textId="77777777" w:rsidR="003A36A3" w:rsidRDefault="003A36A3">
      <w:r>
        <w:separator/>
      </w:r>
    </w:p>
  </w:footnote>
  <w:footnote w:type="continuationSeparator" w:id="0">
    <w:p w14:paraId="2D2E1D72" w14:textId="77777777" w:rsidR="003A36A3" w:rsidRDefault="003A3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FBD2" w14:textId="77777777" w:rsidR="00C24B12" w:rsidRDefault="005A3BE0">
    <w:pPr>
      <w:pBdr>
        <w:bottom w:val="single" w:sz="4" w:space="1" w:color="2E75B6"/>
      </w:pBdr>
      <w:spacing w:after="100"/>
    </w:pPr>
    <w:r>
      <w:rPr>
        <w:rFonts w:eastAsia="Arial"/>
        <w:color w:val="2E75B6"/>
        <w:sz w:val="18"/>
        <w:szCs w:val="18"/>
      </w:rPr>
      <w:t>Indo-Pacific Strategy: Alliances, Security Architecture, and Great Power Competition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B27A8"/>
    <w:multiLevelType w:val="hybridMultilevel"/>
    <w:tmpl w:val="3DEA980A"/>
    <w:lvl w:ilvl="0" w:tplc="5DC000C2">
      <w:start w:val="1"/>
      <w:numFmt w:val="bullet"/>
      <w:lvlText w:val="•"/>
      <w:lvlJc w:val="left"/>
      <w:pPr>
        <w:ind w:left="400" w:hanging="250"/>
      </w:pPr>
    </w:lvl>
    <w:lvl w:ilvl="1" w:tplc="876E1E40">
      <w:numFmt w:val="decimal"/>
      <w:lvlText w:val=""/>
      <w:lvlJc w:val="left"/>
    </w:lvl>
    <w:lvl w:ilvl="2" w:tplc="D382BD1E">
      <w:numFmt w:val="decimal"/>
      <w:lvlText w:val=""/>
      <w:lvlJc w:val="left"/>
    </w:lvl>
    <w:lvl w:ilvl="3" w:tplc="D2E417B0">
      <w:numFmt w:val="decimal"/>
      <w:lvlText w:val=""/>
      <w:lvlJc w:val="left"/>
    </w:lvl>
    <w:lvl w:ilvl="4" w:tplc="39DE6122">
      <w:numFmt w:val="decimal"/>
      <w:lvlText w:val=""/>
      <w:lvlJc w:val="left"/>
    </w:lvl>
    <w:lvl w:ilvl="5" w:tplc="BD341B52">
      <w:numFmt w:val="decimal"/>
      <w:lvlText w:val=""/>
      <w:lvlJc w:val="left"/>
    </w:lvl>
    <w:lvl w:ilvl="6" w:tplc="791A66DE">
      <w:numFmt w:val="decimal"/>
      <w:lvlText w:val=""/>
      <w:lvlJc w:val="left"/>
    </w:lvl>
    <w:lvl w:ilvl="7" w:tplc="AE986C08">
      <w:numFmt w:val="decimal"/>
      <w:lvlText w:val=""/>
      <w:lvlJc w:val="left"/>
    </w:lvl>
    <w:lvl w:ilvl="8" w:tplc="DDD4BDAC">
      <w:numFmt w:val="decimal"/>
      <w:lvlText w:val=""/>
      <w:lvlJc w:val="left"/>
    </w:lvl>
  </w:abstractNum>
  <w:abstractNum w:abstractNumId="1" w15:restartNumberingAfterBreak="0">
    <w:nsid w:val="496A1F4B"/>
    <w:multiLevelType w:val="hybridMultilevel"/>
    <w:tmpl w:val="4F48DA72"/>
    <w:lvl w:ilvl="0" w:tplc="F72E6836">
      <w:start w:val="1"/>
      <w:numFmt w:val="bullet"/>
      <w:lvlText w:val="●"/>
      <w:lvlJc w:val="left"/>
      <w:pPr>
        <w:ind w:left="720" w:hanging="360"/>
      </w:pPr>
    </w:lvl>
    <w:lvl w:ilvl="1" w:tplc="6D8AA0A0">
      <w:start w:val="1"/>
      <w:numFmt w:val="bullet"/>
      <w:lvlText w:val="○"/>
      <w:lvlJc w:val="left"/>
      <w:pPr>
        <w:ind w:left="1440" w:hanging="360"/>
      </w:pPr>
    </w:lvl>
    <w:lvl w:ilvl="2" w:tplc="8258F492">
      <w:start w:val="1"/>
      <w:numFmt w:val="bullet"/>
      <w:lvlText w:val="■"/>
      <w:lvlJc w:val="left"/>
      <w:pPr>
        <w:ind w:left="2160" w:hanging="360"/>
      </w:pPr>
    </w:lvl>
    <w:lvl w:ilvl="3" w:tplc="50E27138">
      <w:start w:val="1"/>
      <w:numFmt w:val="bullet"/>
      <w:lvlText w:val="●"/>
      <w:lvlJc w:val="left"/>
      <w:pPr>
        <w:ind w:left="2880" w:hanging="360"/>
      </w:pPr>
    </w:lvl>
    <w:lvl w:ilvl="4" w:tplc="F27E8CF0">
      <w:start w:val="1"/>
      <w:numFmt w:val="bullet"/>
      <w:lvlText w:val="○"/>
      <w:lvlJc w:val="left"/>
      <w:pPr>
        <w:ind w:left="3600" w:hanging="360"/>
      </w:pPr>
    </w:lvl>
    <w:lvl w:ilvl="5" w:tplc="520E5376">
      <w:start w:val="1"/>
      <w:numFmt w:val="bullet"/>
      <w:lvlText w:val="■"/>
      <w:lvlJc w:val="left"/>
      <w:pPr>
        <w:ind w:left="4320" w:hanging="360"/>
      </w:pPr>
    </w:lvl>
    <w:lvl w:ilvl="6" w:tplc="293E82CA">
      <w:start w:val="1"/>
      <w:numFmt w:val="bullet"/>
      <w:lvlText w:val="●"/>
      <w:lvlJc w:val="left"/>
      <w:pPr>
        <w:ind w:left="5040" w:hanging="360"/>
      </w:pPr>
    </w:lvl>
    <w:lvl w:ilvl="7" w:tplc="2110B9B0">
      <w:start w:val="1"/>
      <w:numFmt w:val="bullet"/>
      <w:lvlText w:val="●"/>
      <w:lvlJc w:val="left"/>
      <w:pPr>
        <w:ind w:left="5760" w:hanging="360"/>
      </w:pPr>
    </w:lvl>
    <w:lvl w:ilvl="8" w:tplc="37FAE0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B12"/>
    <w:rsid w:val="001F5085"/>
    <w:rsid w:val="003A36A3"/>
    <w:rsid w:val="005A3BE0"/>
    <w:rsid w:val="00763683"/>
    <w:rsid w:val="00834193"/>
    <w:rsid w:val="008D1672"/>
    <w:rsid w:val="00AC0737"/>
    <w:rsid w:val="00C13F6E"/>
    <w:rsid w:val="00C24B12"/>
    <w:rsid w:val="00DD1FF3"/>
    <w:rsid w:val="00EB20B3"/>
    <w:rsid w:val="00ED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AB402"/>
  <w15:docId w15:val="{B804CA70-A493-4B4E-B4D7-D0A00548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60" w:after="120"/>
      <w:outlineLvl w:val="0"/>
    </w:pPr>
    <w:rPr>
      <w:rFonts w:eastAsia="Arial"/>
      <w:b/>
      <w:bCs/>
      <w:color w:val="1F4E79"/>
      <w:sz w:val="32"/>
      <w:szCs w:val="32"/>
    </w:rPr>
  </w:style>
  <w:style w:type="paragraph" w:styleId="2">
    <w:name w:val="heading 2"/>
    <w:uiPriority w:val="9"/>
    <w:semiHidden/>
    <w:unhideWhenUsed/>
    <w:qFormat/>
    <w:pPr>
      <w:spacing w:before="240" w:after="80"/>
      <w:outlineLvl w:val="1"/>
    </w:pPr>
    <w:rPr>
      <w:rFonts w:eastAsia="Arial"/>
      <w:b/>
      <w:bCs/>
      <w:color w:val="2E75B6"/>
      <w:sz w:val="26"/>
      <w:szCs w:val="26"/>
    </w:rPr>
  </w:style>
  <w:style w:type="paragraph" w:styleId="3">
    <w:name w:val="heading 3"/>
    <w:uiPriority w:val="9"/>
    <w:semiHidden/>
    <w:unhideWhenUsed/>
    <w:qFormat/>
    <w:pPr>
      <w:spacing w:before="200" w:after="60"/>
      <w:outlineLvl w:val="2"/>
    </w:pPr>
    <w:rPr>
      <w:rFonts w:eastAsia="Arial"/>
      <w:b/>
      <w:bCs/>
      <w:color w:val="2E75B6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character" w:customStyle="1" w:styleId="a-size-large">
    <w:name w:val="a-size-large"/>
    <w:basedOn w:val="a0"/>
    <w:rsid w:val="00AC0737"/>
  </w:style>
  <w:style w:type="paragraph" w:styleId="Web">
    <w:name w:val="Normal (Web)"/>
    <w:basedOn w:val="a"/>
    <w:uiPriority w:val="99"/>
    <w:semiHidden/>
    <w:unhideWhenUsed/>
    <w:rsid w:val="008341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636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6368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636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636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7</Pages>
  <Words>1641</Words>
  <Characters>9356</Characters>
  <Application>Microsoft Office Word</Application>
  <DocSecurity>0</DocSecurity>
  <Lines>77</Lines>
  <Paragraphs>21</Paragraphs>
  <ScaleCrop>false</ScaleCrop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Tsai Joseph</cp:lastModifiedBy>
  <cp:revision>6</cp:revision>
  <dcterms:created xsi:type="dcterms:W3CDTF">2026-05-18T08:57:00Z</dcterms:created>
  <dcterms:modified xsi:type="dcterms:W3CDTF">2026-08-15T01:23:00Z</dcterms:modified>
</cp:coreProperties>
</file>