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hint="eastAsia" w:eastAsia="標楷體"/>
          <w:sz w:val="36"/>
          <w:szCs w:val="36"/>
        </w:rPr>
        <w:t>國立中正大學通識教育課程教學大綱</w:t>
      </w:r>
    </w:p>
    <w:tbl>
      <w:tblPr>
        <w:tblStyle w:val="7"/>
        <w:tblW w:w="10577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980"/>
        <w:gridCol w:w="3402"/>
        <w:gridCol w:w="992"/>
        <w:gridCol w:w="42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1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hint="eastAsia" w:eastAsia="標楷體"/>
                <w:bCs/>
              </w:rPr>
              <w:t>開課</w:t>
            </w:r>
            <w:r>
              <w:rPr>
                <w:rFonts w:hint="eastAsia" w:eastAsia="標楷體"/>
              </w:rPr>
              <w:t>學年度/學期</w:t>
            </w:r>
          </w:p>
        </w:tc>
        <w:tc>
          <w:tcPr>
            <w:tcW w:w="85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hint="eastAsia" w:eastAsia="標楷體"/>
              </w:rPr>
              <w:t>1</w:t>
            </w:r>
            <w:r>
              <w:rPr>
                <w:rFonts w:eastAsia="標楷體"/>
              </w:rPr>
              <w:t>1</w:t>
            </w:r>
            <w:r>
              <w:rPr>
                <w:rFonts w:hint="eastAsia" w:eastAsia="標楷體"/>
                <w:lang w:val="en-US" w:eastAsia="zh-TW"/>
              </w:rPr>
              <w:t>5</w:t>
            </w:r>
            <w:r>
              <w:rPr>
                <w:rFonts w:hint="eastAsia" w:eastAsia="標楷體"/>
              </w:rPr>
              <w:t>學年度第</w:t>
            </w:r>
            <w:r>
              <w:rPr>
                <w:rFonts w:hint="eastAsia" w:eastAsia="標楷體"/>
                <w:lang w:val="en-US" w:eastAsia="zh-TW"/>
              </w:rPr>
              <w:t>1</w:t>
            </w:r>
            <w:r>
              <w:rPr>
                <w:rFonts w:hint="eastAsia" w:eastAsia="標楷體"/>
              </w:rPr>
              <w:t>學期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1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hint="eastAsia" w:eastAsia="標楷體"/>
              </w:rPr>
              <w:t>課程名稱 (中文)</w:t>
            </w:r>
          </w:p>
        </w:tc>
        <w:tc>
          <w:tcPr>
            <w:tcW w:w="85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hint="eastAsia" w:eastAsia="標楷體"/>
              </w:rPr>
              <w:t>戲劇與人生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5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hint="eastAsia" w:eastAsia="標楷體"/>
              </w:rPr>
              <w:t>課程名稱 (英文)</w:t>
            </w:r>
          </w:p>
        </w:tc>
        <w:tc>
          <w:tcPr>
            <w:tcW w:w="85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hint="eastAsia" w:eastAsia="標楷體"/>
              </w:rPr>
              <w:t>Drama and Life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1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hint="eastAsia" w:eastAsia="標楷體"/>
              </w:rPr>
              <w:t>課     碼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  <w:color w:val="A6A6A6" w:themeColor="background1" w:themeShade="A6"/>
              </w:rPr>
              <w:t>(</w:t>
            </w:r>
            <w:r>
              <w:rPr>
                <w:rFonts w:hint="eastAsia" w:eastAsia="標楷體"/>
                <w:color w:val="A6A6A6" w:themeColor="background1" w:themeShade="A6"/>
              </w:rPr>
              <w:t>由通識教育中心填寫</w:t>
            </w:r>
            <w:r>
              <w:rPr>
                <w:rFonts w:eastAsia="標楷體"/>
                <w:color w:val="A6A6A6" w:themeColor="background1" w:themeShade="A6"/>
              </w:rPr>
              <w:t>)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hint="eastAsia" w:eastAsia="標楷體"/>
              </w:rPr>
              <w:t>學分數</w:t>
            </w:r>
          </w:p>
        </w:tc>
        <w:tc>
          <w:tcPr>
            <w:tcW w:w="4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hint="eastAsia" w:eastAsia="標楷體"/>
              </w:rPr>
              <w:t>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65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hint="eastAsia" w:eastAsia="標楷體"/>
              </w:rPr>
              <w:t>授  課  方  式</w:t>
            </w:r>
          </w:p>
        </w:tc>
        <w:tc>
          <w:tcPr>
            <w:tcW w:w="85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hint="eastAsia" w:eastAsia="標楷體"/>
              </w:rPr>
              <w:t>請勾選(可複選)：</w:t>
            </w:r>
          </w:p>
          <w:tbl>
            <w:tblPr>
              <w:tblStyle w:val="8"/>
              <w:tblW w:w="8531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43"/>
              <w:gridCol w:w="2844"/>
              <w:gridCol w:w="2844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843" w:type="dxa"/>
                </w:tcPr>
                <w:p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hint="eastAsia" w:ascii="標楷體" w:hAnsi="標楷體" w:eastAsia="標楷體"/>
                    </w:rPr>
                    <w:sym w:font="Wingdings 2" w:char="F050"/>
                  </w:r>
                  <w:r>
                    <w:rPr>
                      <w:rFonts w:hint="eastAsia" w:ascii="標楷體" w:hAnsi="標楷體" w:eastAsia="標楷體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>
                    <w:rPr>
                      <w:rFonts w:hint="eastAsia" w:ascii="標楷體" w:hAnsi="標楷體" w:eastAsia="標楷體"/>
                    </w:rPr>
                    <w:sym w:font="Wingdings 2" w:char="F050"/>
                  </w:r>
                  <w:r>
                    <w:rPr>
                      <w:rFonts w:hint="eastAsia" w:eastAsia="標楷體"/>
                    </w:rPr>
                    <w:t>網路教學(Google Meet)</w:t>
                  </w:r>
                </w:p>
                <w:p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  <w:tc>
                <w:tcPr>
                  <w:tcW w:w="2844" w:type="dxa"/>
                </w:tcPr>
                <w:p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hint="eastAsia" w:ascii="標楷體" w:hAnsi="標楷體" w:eastAsia="標楷體"/>
                    </w:rPr>
                    <w:sym w:font="Wingdings 2" w:char="F050"/>
                  </w:r>
                  <w:r>
                    <w:rPr>
                      <w:rFonts w:hint="eastAsia" w:ascii="標楷體" w:hAnsi="標楷體" w:eastAsia="標楷體"/>
                    </w:rPr>
                    <w:t>分組討論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844" w:type="dxa"/>
              </w:trPr>
              <w:tc>
                <w:tcPr>
                  <w:tcW w:w="2843" w:type="dxa"/>
                </w:tcPr>
                <w:p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hint="eastAsia" w:ascii="標楷體" w:hAnsi="標楷體" w:eastAsia="標楷體"/>
                    </w:rPr>
                    <w:t>□校外教學</w:t>
                  </w:r>
                </w:p>
              </w:tc>
              <w:tc>
                <w:tcPr>
                  <w:tcW w:w="2844" w:type="dxa"/>
                </w:tcPr>
                <w:p>
                  <w:pPr>
                    <w:spacing w:line="0" w:lineRule="atLeast"/>
                    <w:jc w:val="both"/>
                    <w:rPr>
                      <w:rFonts w:ascii="標楷體" w:hAnsi="標楷體" w:eastAsia="標楷體"/>
                      <w:u w:val="single"/>
                    </w:rPr>
                  </w:pPr>
                  <w:r>
                    <w:rPr>
                      <w:rFonts w:hint="eastAsia" w:ascii="標楷體" w:hAnsi="標楷體" w:eastAsia="標楷體"/>
                    </w:rPr>
                    <w:sym w:font="Wingdings 2" w:char="F050"/>
                  </w:r>
                  <w:r>
                    <w:rPr>
                      <w:rFonts w:hint="eastAsia" w:ascii="標楷體" w:hAnsi="標楷體" w:eastAsia="標楷體"/>
                    </w:rPr>
                    <w:t>其他</w:t>
                  </w:r>
                  <w:r>
                    <w:rPr>
                      <w:rFonts w:hint="eastAsia" w:ascii="標楷體" w:hAnsi="標楷體" w:eastAsia="標楷體"/>
                      <w:u w:val="single"/>
                    </w:rPr>
                    <w:t xml:space="preserve">                </w:t>
                  </w:r>
                </w:p>
                <w:p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hint="eastAsia" w:eastAsia="標楷體"/>
                      <w:shd w:val="pct10" w:color="auto" w:fill="FFFFFF"/>
                    </w:rPr>
                    <w:t>本課程必須購買劇本與講義。（請尊重智慧財產權，不得非法影印教師指定之教科書籍。）</w:t>
                  </w:r>
                </w:p>
              </w:tc>
            </w:tr>
          </w:tbl>
          <w:p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54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hint="eastAsia" w:eastAsia="標楷體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標楷體"/>
              </w:rPr>
            </w:pPr>
            <w:r>
              <w:rPr>
                <w:rFonts w:hint="eastAsia" w:eastAsia="標楷體"/>
              </w:rPr>
              <w:t>俗話說</w:t>
            </w:r>
            <w:r>
              <w:rPr>
                <w:rFonts w:eastAsia="標楷體"/>
              </w:rPr>
              <w:t>：「</w:t>
            </w:r>
            <w:r>
              <w:rPr>
                <w:rFonts w:hint="eastAsia" w:eastAsia="標楷體"/>
              </w:rPr>
              <w:t>人生如戲</w:t>
            </w:r>
            <w:r>
              <w:rPr>
                <w:rFonts w:eastAsia="標楷體"/>
              </w:rPr>
              <w:t>，</w:t>
            </w:r>
            <w:r>
              <w:rPr>
                <w:rFonts w:hint="eastAsia" w:eastAsia="標楷體"/>
              </w:rPr>
              <w:t>戲如人生。</w:t>
            </w:r>
            <w:r>
              <w:rPr>
                <w:rFonts w:eastAsia="標楷體"/>
              </w:rPr>
              <w:t>」</w:t>
            </w:r>
            <w:r>
              <w:rPr>
                <w:rFonts w:hint="eastAsia" w:eastAsia="標楷體"/>
              </w:rPr>
              <w:t>戲劇與人生的關係是很密切的。戲劇會透過各種劇中人物來反映生活</w:t>
            </w:r>
            <w:r>
              <w:rPr>
                <w:rFonts w:ascii="標楷體" w:hAnsi="標楷體" w:eastAsia="標楷體"/>
              </w:rPr>
              <w:t>、</w:t>
            </w:r>
            <w:r>
              <w:rPr>
                <w:rFonts w:hint="eastAsia" w:eastAsia="標楷體"/>
              </w:rPr>
              <w:t>表達人生，而生活中的我們也各自扮演著不同的角色，一如戲劇中的人物</w:t>
            </w:r>
            <w:r>
              <w:rPr>
                <w:rFonts w:eastAsia="標楷體"/>
              </w:rPr>
              <w:t>。</w:t>
            </w:r>
            <w:r>
              <w:rPr>
                <w:rFonts w:hint="eastAsia" w:eastAsia="標楷體"/>
              </w:rPr>
              <w:t>本課程以人生的七大課題為內容，觀察戲劇如何闡釋它們，同時透過課堂的討論，對於它們產生進一步的探索與省思，使人生更為充實美好。</w:t>
            </w:r>
          </w:p>
          <w:p>
            <w:pPr>
              <w:rPr>
                <w:rFonts w:eastAsia="標楷體"/>
              </w:rPr>
            </w:pPr>
            <w:r>
              <w:rPr>
                <w:rFonts w:hint="eastAsia" w:eastAsia="標楷體"/>
              </w:rPr>
              <w:t>本課程的教學目標在於：</w:t>
            </w:r>
          </w:p>
          <w:p>
            <w:pPr>
              <w:numPr>
                <w:ilvl w:val="0"/>
                <w:numId w:val="1"/>
              </w:numPr>
              <w:rPr>
                <w:rFonts w:eastAsia="標楷體"/>
              </w:rPr>
            </w:pPr>
            <w:r>
              <w:rPr>
                <w:rFonts w:hint="eastAsia" w:eastAsia="標楷體"/>
              </w:rPr>
              <w:t>分析戲劇的各個元素，以認識戲劇；</w:t>
            </w:r>
          </w:p>
          <w:p>
            <w:pPr>
              <w:numPr>
                <w:ilvl w:val="0"/>
                <w:numId w:val="1"/>
              </w:numPr>
              <w:rPr>
                <w:rFonts w:eastAsia="標楷體"/>
              </w:rPr>
            </w:pPr>
            <w:r>
              <w:rPr>
                <w:rFonts w:hint="eastAsia" w:eastAsia="標楷體"/>
              </w:rPr>
              <w:t>藉由戲劇的探討，增進對戲劇的美感認知；</w:t>
            </w:r>
          </w:p>
          <w:p>
            <w:pPr>
              <w:numPr>
                <w:ilvl w:val="0"/>
                <w:numId w:val="1"/>
              </w:numPr>
              <w:rPr>
                <w:rFonts w:eastAsia="標楷體"/>
              </w:rPr>
            </w:pPr>
            <w:r>
              <w:rPr>
                <w:rFonts w:hint="eastAsia" w:eastAsia="標楷體"/>
              </w:rPr>
              <w:t>從戲劇中的人生課題著手，以思索人生；</w:t>
            </w:r>
          </w:p>
          <w:p>
            <w:pPr>
              <w:numPr>
                <w:ilvl w:val="0"/>
                <w:numId w:val="1"/>
              </w:numPr>
              <w:rPr>
                <w:rFonts w:ascii="標楷體" w:hAnsi="標楷體" w:eastAsia="標楷體"/>
              </w:rPr>
            </w:pPr>
            <w:r>
              <w:rPr>
                <w:rFonts w:hint="eastAsia" w:eastAsia="標楷體"/>
              </w:rPr>
              <w:t>透過戲劇的分組討論，使人生的課題獲得更進一步的啟發。</w:t>
            </w:r>
          </w:p>
          <w:p>
            <w:pPr>
              <w:rPr>
                <w:rFonts w:eastAsia="標楷體"/>
              </w:rPr>
            </w:pPr>
            <w:r>
              <w:rPr>
                <w:rFonts w:hint="eastAsia" w:eastAsia="標楷體"/>
              </w:rPr>
              <w:t>本課程的教學範圍，一方面引介基本而重要的戲劇作品，另一方面透過戲劇來探索人生的七大課題：夢想</w:t>
            </w:r>
            <w:r>
              <w:rPr>
                <w:rFonts w:ascii="標楷體" w:hAnsi="標楷體" w:eastAsia="標楷體"/>
              </w:rPr>
              <w:t>、</w:t>
            </w:r>
            <w:r>
              <w:rPr>
                <w:rFonts w:hint="eastAsia" w:eastAsia="標楷體"/>
              </w:rPr>
              <w:t>愛情</w:t>
            </w:r>
            <w:r>
              <w:rPr>
                <w:rFonts w:ascii="標楷體" w:hAnsi="標楷體" w:eastAsia="標楷體"/>
              </w:rPr>
              <w:t>、</w:t>
            </w:r>
            <w:r>
              <w:rPr>
                <w:rFonts w:hint="eastAsia" w:eastAsia="標楷體"/>
              </w:rPr>
              <w:t>職場</w:t>
            </w:r>
            <w:r>
              <w:rPr>
                <w:rFonts w:ascii="標楷體" w:hAnsi="標楷體" w:eastAsia="標楷體"/>
              </w:rPr>
              <w:t>、</w:t>
            </w:r>
            <w:r>
              <w:rPr>
                <w:rFonts w:hint="eastAsia" w:ascii="標楷體" w:hAnsi="標楷體" w:eastAsia="標楷體"/>
              </w:rPr>
              <w:t>旅行、</w:t>
            </w:r>
            <w:r>
              <w:rPr>
                <w:rFonts w:hint="eastAsia" w:eastAsia="標楷體"/>
              </w:rPr>
              <w:t>社會與人群</w:t>
            </w:r>
            <w:r>
              <w:rPr>
                <w:rFonts w:ascii="標楷體" w:hAnsi="標楷體" w:eastAsia="標楷體"/>
              </w:rPr>
              <w:t>、</w:t>
            </w:r>
            <w:r>
              <w:rPr>
                <w:rFonts w:hint="eastAsia" w:eastAsia="標楷體"/>
              </w:rPr>
              <w:t>時間與時代</w:t>
            </w:r>
            <w:r>
              <w:rPr>
                <w:rFonts w:ascii="標楷體" w:hAnsi="標楷體" w:eastAsia="標楷體"/>
              </w:rPr>
              <w:t>、</w:t>
            </w:r>
            <w:r>
              <w:rPr>
                <w:rFonts w:hint="eastAsia" w:eastAsia="標楷體"/>
              </w:rPr>
              <w:t>孤獨與生命。教學的方式是：</w:t>
            </w:r>
          </w:p>
          <w:p>
            <w:pPr>
              <w:rPr>
                <w:rFonts w:eastAsia="標楷體"/>
              </w:rPr>
            </w:pPr>
            <w:r>
              <w:rPr>
                <w:rFonts w:hint="eastAsia" w:eastAsia="標楷體"/>
              </w:rPr>
              <w:t>1. 配合授課大綱的進度由淺而深，循序漸進；</w:t>
            </w:r>
          </w:p>
          <w:p>
            <w:pPr>
              <w:rPr>
                <w:rFonts w:eastAsia="標楷體"/>
              </w:rPr>
            </w:pPr>
            <w:r>
              <w:rPr>
                <w:rFonts w:hint="eastAsia" w:eastAsia="標楷體"/>
              </w:rPr>
              <w:t>2. 強調師生之間的互動與討論；</w:t>
            </w:r>
          </w:p>
          <w:p>
            <w:pPr>
              <w:spacing w:line="0" w:lineRule="atLeast"/>
              <w:rPr>
                <w:rFonts w:eastAsia="標楷體"/>
              </w:rPr>
            </w:pPr>
            <w:r>
              <w:rPr>
                <w:rFonts w:hint="eastAsia" w:eastAsia="標楷體"/>
              </w:rPr>
              <w:t>3. 引導學生自主的學習，彼此的分享，激盪出更多的意見與想法。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65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hint="eastAsia" w:eastAsia="標楷體"/>
              </w:rPr>
              <w:t>授  課  大  綱</w:t>
            </w:r>
          </w:p>
          <w:p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hint="eastAsia" w:eastAsia="標楷體"/>
              </w:rPr>
              <w:t>(週次表及每週課程詳細內容說明)</w:t>
            </w:r>
          </w:p>
        </w:tc>
        <w:tc>
          <w:tcPr>
            <w:tcW w:w="85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8"/>
              <w:tblW w:w="6105" w:type="dxa"/>
              <w:jc w:val="center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12"/>
              <w:gridCol w:w="5393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712" w:type="dxa"/>
                </w:tcPr>
                <w:p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週次</w:t>
                  </w:r>
                </w:p>
              </w:tc>
              <w:tc>
                <w:tcPr>
                  <w:tcW w:w="5393" w:type="dxa"/>
                </w:tcPr>
                <w:p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主題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712" w:type="dxa"/>
                </w:tcPr>
                <w:p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1</w:t>
                  </w:r>
                </w:p>
              </w:tc>
              <w:tc>
                <w:tcPr>
                  <w:tcW w:w="5393" w:type="dxa"/>
                  <w:vAlign w:val="center"/>
                </w:tcPr>
                <w:p>
                  <w:pPr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課程介紹</w:t>
                  </w:r>
                  <w:r>
                    <w:rPr>
                      <w:rFonts w:eastAsia="標楷體"/>
                    </w:rPr>
                    <w:t>(</w:t>
                  </w:r>
                  <w:r>
                    <w:rPr>
                      <w:rFonts w:hint="eastAsia" w:eastAsia="標楷體"/>
                    </w:rPr>
                    <w:t>課程大綱、進度、評量方式</w:t>
                  </w:r>
                  <w:r>
                    <w:rPr>
                      <w:rFonts w:eastAsia="標楷體"/>
                    </w:rPr>
                    <w:t>)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712" w:type="dxa"/>
                </w:tcPr>
                <w:p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2</w:t>
                  </w:r>
                </w:p>
              </w:tc>
              <w:tc>
                <w:tcPr>
                  <w:tcW w:w="5393" w:type="dxa"/>
                  <w:vAlign w:val="center"/>
                </w:tcPr>
                <w:p>
                  <w:pPr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戲劇與人生的關係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712" w:type="dxa"/>
                </w:tcPr>
                <w:p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3</w:t>
                  </w:r>
                </w:p>
              </w:tc>
              <w:tc>
                <w:tcPr>
                  <w:tcW w:w="5393" w:type="dxa"/>
                  <w:vAlign w:val="center"/>
                </w:tcPr>
                <w:p>
                  <w:pPr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關於夢想：勵志片《小太陽的願望》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712" w:type="dxa"/>
                </w:tcPr>
                <w:p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4</w:t>
                  </w:r>
                </w:p>
              </w:tc>
              <w:tc>
                <w:tcPr>
                  <w:tcW w:w="5393" w:type="dxa"/>
                  <w:vAlign w:val="center"/>
                </w:tcPr>
                <w:p>
                  <w:pPr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從戲劇探討人生課題之一：夢想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712" w:type="dxa"/>
                </w:tcPr>
                <w:p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5</w:t>
                  </w:r>
                </w:p>
              </w:tc>
              <w:tc>
                <w:tcPr>
                  <w:tcW w:w="5393" w:type="dxa"/>
                  <w:vAlign w:val="center"/>
                </w:tcPr>
                <w:p>
                  <w:pPr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莎劇《羅密歐與朱麗葉》的前世今生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712" w:type="dxa"/>
                </w:tcPr>
                <w:p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6</w:t>
                  </w:r>
                </w:p>
              </w:tc>
              <w:tc>
                <w:tcPr>
                  <w:tcW w:w="5393" w:type="dxa"/>
                  <w:vAlign w:val="center"/>
                </w:tcPr>
                <w:p>
                  <w:pPr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從戲劇探討人生課題之二：愛情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712" w:type="dxa"/>
                </w:tcPr>
                <w:p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7</w:t>
                  </w:r>
                </w:p>
              </w:tc>
              <w:tc>
                <w:tcPr>
                  <w:tcW w:w="5393" w:type="dxa"/>
                  <w:vAlign w:val="center"/>
                </w:tcPr>
                <w:p>
                  <w:pPr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從小說到電影：《杜拉拉升職記》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712" w:type="dxa"/>
                </w:tcPr>
                <w:p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8</w:t>
                  </w:r>
                </w:p>
              </w:tc>
              <w:tc>
                <w:tcPr>
                  <w:tcW w:w="5393" w:type="dxa"/>
                  <w:vAlign w:val="center"/>
                </w:tcPr>
                <w:p>
                  <w:pPr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從戲劇探討人生課題之三：職場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712" w:type="dxa"/>
                </w:tcPr>
                <w:p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9</w:t>
                  </w:r>
                </w:p>
              </w:tc>
              <w:tc>
                <w:tcPr>
                  <w:tcW w:w="5393" w:type="dxa"/>
                  <w:vAlign w:val="center"/>
                </w:tcPr>
                <w:p>
                  <w:pPr>
                    <w:rPr>
                      <w:rFonts w:eastAsia="標楷體"/>
                      <w:b/>
                    </w:rPr>
                  </w:pPr>
                  <w:r>
                    <w:rPr>
                      <w:rFonts w:hint="eastAsia" w:eastAsia="標楷體"/>
                      <w:b/>
                    </w:rPr>
                    <w:t>期中考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712" w:type="dxa"/>
                </w:tcPr>
                <w:p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10</w:t>
                  </w:r>
                </w:p>
              </w:tc>
              <w:tc>
                <w:tcPr>
                  <w:tcW w:w="5393" w:type="dxa"/>
                  <w:vAlign w:val="center"/>
                </w:tcPr>
                <w:p>
                  <w:pPr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跟著背包客去旅行：</w:t>
                  </w:r>
                  <w:r>
                    <w:rPr>
                      <w:rFonts w:hint="eastAsia" w:ascii="標楷體" w:hAnsi="標楷體" w:eastAsia="標楷體"/>
                    </w:rPr>
                    <w:t>《</w:t>
                  </w:r>
                  <w:r>
                    <w:rPr>
                      <w:rFonts w:hint="eastAsia" w:eastAsia="標楷體"/>
                    </w:rPr>
                    <w:t>星期一的京奧之旅</w:t>
                  </w:r>
                  <w:r>
                    <w:rPr>
                      <w:rFonts w:hint="eastAsia" w:ascii="標楷體" w:hAnsi="標楷體" w:eastAsia="標楷體"/>
                    </w:rPr>
                    <w:t>》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712" w:type="dxa"/>
                </w:tcPr>
                <w:p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11</w:t>
                  </w:r>
                </w:p>
              </w:tc>
              <w:tc>
                <w:tcPr>
                  <w:tcW w:w="5393" w:type="dxa"/>
                  <w:vAlign w:val="center"/>
                </w:tcPr>
                <w:p>
                  <w:pPr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從戲劇探討人生課題之四：旅行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712" w:type="dxa"/>
                </w:tcPr>
                <w:p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12</w:t>
                  </w:r>
                </w:p>
              </w:tc>
              <w:tc>
                <w:tcPr>
                  <w:tcW w:w="5393" w:type="dxa"/>
                  <w:vAlign w:val="center"/>
                </w:tcPr>
                <w:p>
                  <w:pPr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舞台劇與大銀幕：《誘•惑》(Doubt)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712" w:type="dxa"/>
                </w:tcPr>
                <w:p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13</w:t>
                  </w:r>
                </w:p>
              </w:tc>
              <w:tc>
                <w:tcPr>
                  <w:tcW w:w="5393" w:type="dxa"/>
                  <w:vAlign w:val="center"/>
                </w:tcPr>
                <w:p>
                  <w:pPr>
                    <w:ind w:right="560"/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從戲劇探討人生課題之五：社會與人群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712" w:type="dxa"/>
                </w:tcPr>
                <w:p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14</w:t>
                  </w:r>
                </w:p>
              </w:tc>
              <w:tc>
                <w:tcPr>
                  <w:tcW w:w="5393" w:type="dxa"/>
                  <w:vAlign w:val="center"/>
                </w:tcPr>
                <w:p>
                  <w:pPr>
                    <w:ind w:right="560"/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擺脫不掉的時間：《</w:t>
                  </w:r>
                  <w:r>
                    <w:rPr>
                      <w:rFonts w:eastAsia="標楷體"/>
                    </w:rPr>
                    <w:t>All in the Timing</w:t>
                  </w:r>
                  <w:r>
                    <w:rPr>
                      <w:rFonts w:hint="eastAsia" w:eastAsia="標楷體"/>
                    </w:rPr>
                    <w:t>》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712" w:type="dxa"/>
                </w:tcPr>
                <w:p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15</w:t>
                  </w:r>
                </w:p>
              </w:tc>
              <w:tc>
                <w:tcPr>
                  <w:tcW w:w="5393" w:type="dxa"/>
                  <w:vAlign w:val="center"/>
                </w:tcPr>
                <w:p>
                  <w:pPr>
                    <w:ind w:right="560"/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從戲劇探討人生課題之六：時間與時代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712" w:type="dxa"/>
                </w:tcPr>
                <w:p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16</w:t>
                  </w:r>
                </w:p>
              </w:tc>
              <w:tc>
                <w:tcPr>
                  <w:tcW w:w="5393" w:type="dxa"/>
                  <w:vAlign w:val="center"/>
                </w:tcPr>
                <w:p>
                  <w:pPr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獨腳戲面面觀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712" w:type="dxa"/>
                </w:tcPr>
                <w:p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17</w:t>
                  </w:r>
                </w:p>
              </w:tc>
              <w:tc>
                <w:tcPr>
                  <w:tcW w:w="5393" w:type="dxa"/>
                  <w:vAlign w:val="center"/>
                </w:tcPr>
                <w:p>
                  <w:pPr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從戲劇探討人生課題之七：孤獨與生命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712" w:type="dxa"/>
                </w:tcPr>
                <w:p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hint="eastAsia" w:eastAsia="標楷體"/>
                    </w:rPr>
                    <w:t>18</w:t>
                  </w:r>
                </w:p>
              </w:tc>
              <w:tc>
                <w:tcPr>
                  <w:tcW w:w="5393" w:type="dxa"/>
                  <w:vAlign w:val="center"/>
                </w:tcPr>
                <w:p>
                  <w:pPr>
                    <w:rPr>
                      <w:rFonts w:eastAsia="標楷體"/>
                      <w:b/>
                    </w:rPr>
                  </w:pPr>
                  <w:r>
                    <w:rPr>
                      <w:rFonts w:hint="eastAsia" w:eastAsia="標楷體"/>
                      <w:b/>
                    </w:rPr>
                    <w:t>期末考</w:t>
                  </w:r>
                </w:p>
              </w:tc>
            </w:tr>
          </w:tbl>
          <w:p>
            <w:pPr>
              <w:spacing w:line="0" w:lineRule="atLeast"/>
              <w:rPr>
                <w:rFonts w:eastAsia="標楷體"/>
              </w:rPr>
            </w:pPr>
          </w:p>
          <w:p>
            <w:pPr>
              <w:spacing w:line="0" w:lineRule="atLeast"/>
              <w:rPr>
                <w:rFonts w:eastAsia="標楷體"/>
              </w:rPr>
            </w:pPr>
            <w:r>
              <w:rPr>
                <w:rFonts w:hint="eastAsia" w:eastAsia="標楷體"/>
              </w:rPr>
              <w:t>每週課程詳細內容說明：</w:t>
            </w:r>
          </w:p>
          <w:p>
            <w:pPr>
              <w:rPr>
                <w:rFonts w:ascii="標楷體" w:hAnsi="標楷體" w:eastAsia="標楷體"/>
              </w:rPr>
            </w:pPr>
          </w:p>
          <w:p>
            <w:p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第一週 課程介紹</w:t>
            </w:r>
          </w:p>
          <w:p>
            <w:pPr>
              <w:numPr>
                <w:ilvl w:val="0"/>
                <w:numId w:val="2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教學目標：讓同學通盤掌握課程內容與授課方式。</w:t>
            </w:r>
          </w:p>
          <w:p>
            <w:pPr>
              <w:numPr>
                <w:ilvl w:val="0"/>
                <w:numId w:val="2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教學內容：敘明授課大綱與內容、相關規定、評量方式與標準。</w:t>
            </w:r>
          </w:p>
          <w:p>
            <w:pPr>
              <w:rPr>
                <w:rFonts w:ascii="標楷體" w:hAnsi="標楷體" w:eastAsia="標楷體"/>
              </w:rPr>
            </w:pPr>
          </w:p>
          <w:p>
            <w:p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第二週 戲劇與人生的關係</w:t>
            </w:r>
          </w:p>
          <w:p>
            <w:pPr>
              <w:numPr>
                <w:ilvl w:val="0"/>
                <w:numId w:val="3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教學目標：從戲劇與人生的關係著手，闡釋何以人生如戲，戲如人生。</w:t>
            </w:r>
          </w:p>
          <w:p>
            <w:pPr>
              <w:numPr>
                <w:ilvl w:val="0"/>
                <w:numId w:val="3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主要內容：說明戲劇如何真實又富想像力地呈現人生，以及人生中各式各樣的戲劇性。本週主要是從實際的生活出發，體會戲劇與人生的相互關係，一方面界定戲劇的概念，另一方面透過戲劇來認識自身生活中的各個角色，進一步介紹戲劇作品如何呼應人生的七大課題：</w:t>
            </w:r>
            <w:r>
              <w:rPr>
                <w:rFonts w:hint="eastAsia" w:eastAsia="標楷體"/>
              </w:rPr>
              <w:t>夢想</w:t>
            </w:r>
            <w:r>
              <w:rPr>
                <w:rFonts w:ascii="標楷體" w:hAnsi="標楷體" w:eastAsia="標楷體"/>
              </w:rPr>
              <w:t>、</w:t>
            </w:r>
            <w:r>
              <w:rPr>
                <w:rFonts w:hint="eastAsia" w:eastAsia="標楷體"/>
              </w:rPr>
              <w:t>愛情</w:t>
            </w:r>
            <w:r>
              <w:rPr>
                <w:rFonts w:ascii="標楷體" w:hAnsi="標楷體" w:eastAsia="標楷體"/>
              </w:rPr>
              <w:t>、</w:t>
            </w:r>
            <w:r>
              <w:rPr>
                <w:rFonts w:hint="eastAsia" w:eastAsia="標楷體"/>
              </w:rPr>
              <w:t>職場</w:t>
            </w:r>
            <w:r>
              <w:rPr>
                <w:rFonts w:ascii="標楷體" w:hAnsi="標楷體" w:eastAsia="標楷體"/>
              </w:rPr>
              <w:t>、</w:t>
            </w:r>
            <w:r>
              <w:rPr>
                <w:rFonts w:hint="eastAsia" w:ascii="標楷體" w:hAnsi="標楷體" w:eastAsia="標楷體"/>
              </w:rPr>
              <w:t>旅行、</w:t>
            </w:r>
            <w:r>
              <w:rPr>
                <w:rFonts w:hint="eastAsia" w:eastAsia="標楷體"/>
              </w:rPr>
              <w:t>社會與人群</w:t>
            </w:r>
            <w:r>
              <w:rPr>
                <w:rFonts w:ascii="標楷體" w:hAnsi="標楷體" w:eastAsia="標楷體"/>
              </w:rPr>
              <w:t>、</w:t>
            </w:r>
            <w:r>
              <w:rPr>
                <w:rFonts w:hint="eastAsia" w:eastAsia="標楷體"/>
              </w:rPr>
              <w:t>時間與時代</w:t>
            </w:r>
            <w:r>
              <w:rPr>
                <w:rFonts w:ascii="標楷體" w:hAnsi="標楷體" w:eastAsia="標楷體"/>
              </w:rPr>
              <w:t>、</w:t>
            </w:r>
            <w:r>
              <w:rPr>
                <w:rFonts w:hint="eastAsia" w:eastAsia="標楷體"/>
              </w:rPr>
              <w:t>孤獨與生命。</w:t>
            </w:r>
          </w:p>
          <w:p>
            <w:pPr>
              <w:numPr>
                <w:ilvl w:val="0"/>
                <w:numId w:val="3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教材：自編講義及授課大綱</w:t>
            </w:r>
          </w:p>
          <w:p>
            <w:pPr>
              <w:numPr>
                <w:ilvl w:val="0"/>
                <w:numId w:val="3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教學方法：講授</w:t>
            </w:r>
          </w:p>
          <w:p>
            <w:pPr>
              <w:spacing w:line="0" w:lineRule="atLeast"/>
              <w:rPr>
                <w:rFonts w:eastAsia="標楷體"/>
              </w:rPr>
            </w:pPr>
          </w:p>
          <w:p>
            <w:p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 xml:space="preserve">第三、四週 </w:t>
            </w:r>
            <w:r>
              <w:rPr>
                <w:rFonts w:hint="eastAsia" w:eastAsia="標楷體"/>
              </w:rPr>
              <w:t>人生課題之一：夢想</w:t>
            </w:r>
          </w:p>
          <w:p>
            <w:pPr>
              <w:numPr>
                <w:ilvl w:val="0"/>
                <w:numId w:val="4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教學目標：以戲劇所編織的夢想作為授課主題，闡釋人生。</w:t>
            </w:r>
          </w:p>
          <w:p>
            <w:pPr>
              <w:numPr>
                <w:ilvl w:val="0"/>
                <w:numId w:val="4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主要內容：從一齣關於夢想的戲劇，例如勵志片《小太陽的願望》，檢視人生的圓夢計畫。對於許多年輕的學子而言，夢想是人生的第一大課題，因此課堂上將會選出相關的劇作，詳細分析劇中人的性格與故事，提出他們對於實踐夢想的啟示。教學方式除了講授，亦將進行師生問答與分組討論。</w:t>
            </w:r>
          </w:p>
          <w:p>
            <w:pPr>
              <w:numPr>
                <w:ilvl w:val="0"/>
                <w:numId w:val="4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教材：劇作與自編講義</w:t>
            </w:r>
          </w:p>
          <w:p>
            <w:pPr>
              <w:numPr>
                <w:ilvl w:val="0"/>
                <w:numId w:val="4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教學方法：講授、分組討論</w:t>
            </w:r>
          </w:p>
          <w:p>
            <w:pPr>
              <w:spacing w:line="0" w:lineRule="atLeast"/>
              <w:rPr>
                <w:rFonts w:eastAsia="標楷體"/>
              </w:rPr>
            </w:pPr>
          </w:p>
          <w:p>
            <w:p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 xml:space="preserve">第五、六週 </w:t>
            </w:r>
            <w:r>
              <w:rPr>
                <w:rFonts w:hint="eastAsia" w:eastAsia="標楷體"/>
              </w:rPr>
              <w:t>人生課題之二：愛情</w:t>
            </w:r>
          </w:p>
          <w:p>
            <w:pPr>
              <w:numPr>
                <w:ilvl w:val="0"/>
                <w:numId w:val="5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教學目標：以劇中人的愛情關係，分析人生。</w:t>
            </w:r>
          </w:p>
          <w:p>
            <w:pPr>
              <w:numPr>
                <w:ilvl w:val="0"/>
                <w:numId w:val="5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主要內容：透過細膩的愛情戲──莎劇《羅密歐與朱麗葉》──揭示人生中的情感關係與因應之道。對於多數大學生而言，學業</w:t>
            </w:r>
            <w:r>
              <w:rPr>
                <w:rFonts w:ascii="標楷體" w:hAnsi="標楷體" w:eastAsia="標楷體"/>
              </w:rPr>
              <w:t>、</w:t>
            </w:r>
            <w:r>
              <w:rPr>
                <w:rFonts w:hint="eastAsia" w:ascii="標楷體" w:hAnsi="標楷體" w:eastAsia="標楷體"/>
              </w:rPr>
              <w:t>社團與愛情是三大必修學分，故在教學中一方面介紹與愛情相關的戲劇作品，另一方面分享如何面對愛情並建立正確的態度，使愛情不再是困擾，而是人生的助力。教學方式除了講授，亦將進行師生問答與分組討論。</w:t>
            </w:r>
          </w:p>
          <w:p>
            <w:pPr>
              <w:numPr>
                <w:ilvl w:val="0"/>
                <w:numId w:val="5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教材：</w:t>
            </w:r>
            <w:r>
              <w:rPr>
                <w:rFonts w:hint="eastAsia" w:eastAsia="標楷體"/>
              </w:rPr>
              <w:t>莎劇《羅密歐與朱麗葉》</w:t>
            </w:r>
          </w:p>
          <w:p>
            <w:pPr>
              <w:numPr>
                <w:ilvl w:val="0"/>
                <w:numId w:val="5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教學方法：讀劇、講授、分組討論</w:t>
            </w:r>
          </w:p>
          <w:p>
            <w:pPr>
              <w:spacing w:line="0" w:lineRule="atLeast"/>
              <w:rPr>
                <w:rFonts w:eastAsia="標楷體"/>
              </w:rPr>
            </w:pPr>
          </w:p>
          <w:p>
            <w:p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第七、八週 人生課題之三：職場</w:t>
            </w:r>
          </w:p>
          <w:p>
            <w:pPr>
              <w:numPr>
                <w:ilvl w:val="0"/>
                <w:numId w:val="6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教學目標：以戲劇中所展現的職場與人際關係，透視人生。</w:t>
            </w:r>
          </w:p>
          <w:p>
            <w:pPr>
              <w:numPr>
                <w:ilvl w:val="0"/>
                <w:numId w:val="6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主要內容：從劇中人所觸及的職場百態，例如小說與電影《杜拉拉升職記》，透析人生的職場環境。職場是學子將來出社會的重大課題，包括薪水</w:t>
            </w:r>
            <w:r>
              <w:rPr>
                <w:rFonts w:ascii="標楷體" w:hAnsi="標楷體" w:eastAsia="標楷體"/>
              </w:rPr>
              <w:t>、</w:t>
            </w:r>
            <w:r>
              <w:rPr>
                <w:rFonts w:hint="eastAsia" w:ascii="標楷體" w:hAnsi="標楷體" w:eastAsia="標楷體"/>
              </w:rPr>
              <w:t>勞資</w:t>
            </w:r>
            <w:r>
              <w:rPr>
                <w:rFonts w:ascii="標楷體" w:hAnsi="標楷體" w:eastAsia="標楷體"/>
              </w:rPr>
              <w:t>、</w:t>
            </w:r>
            <w:r>
              <w:rPr>
                <w:rFonts w:hint="eastAsia" w:ascii="標楷體" w:hAnsi="標楷體" w:eastAsia="標楷體"/>
              </w:rPr>
              <w:t>工作倫理</w:t>
            </w:r>
            <w:r>
              <w:rPr>
                <w:rFonts w:ascii="標楷體" w:hAnsi="標楷體" w:eastAsia="標楷體"/>
              </w:rPr>
              <w:t>、</w:t>
            </w:r>
            <w:r>
              <w:rPr>
                <w:rFonts w:hint="eastAsia" w:ascii="標楷體" w:hAnsi="標楷體" w:eastAsia="標楷體"/>
              </w:rPr>
              <w:t>創業等等，內容包羅萬象，不一而足。故課程計畫從身在職場的劇中人角度，探討職場百態與各種職場環境的適應，使學子踏入未來的職場前，預作準備。教學方式除了講授，亦將進行師生問答與分組討論。</w:t>
            </w:r>
          </w:p>
          <w:p>
            <w:pPr>
              <w:numPr>
                <w:ilvl w:val="0"/>
                <w:numId w:val="6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教材：劇作與自編講義</w:t>
            </w:r>
          </w:p>
          <w:p>
            <w:pPr>
              <w:numPr>
                <w:ilvl w:val="0"/>
                <w:numId w:val="6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教學方法：講授、分組討論</w:t>
            </w:r>
          </w:p>
          <w:p>
            <w:pPr>
              <w:spacing w:line="0" w:lineRule="atLeast"/>
              <w:rPr>
                <w:rFonts w:eastAsia="標楷體"/>
              </w:rPr>
            </w:pPr>
          </w:p>
          <w:p>
            <w:pPr>
              <w:spacing w:line="0" w:lineRule="atLeast"/>
              <w:rPr>
                <w:rFonts w:eastAsia="標楷體"/>
              </w:rPr>
            </w:pPr>
            <w:r>
              <w:rPr>
                <w:rFonts w:hint="eastAsia" w:eastAsia="標楷體"/>
              </w:rPr>
              <w:t>第九週 期中考：小組口頭與書面報告，或改為個人紙筆測驗。視學習情況而定。</w:t>
            </w:r>
          </w:p>
          <w:p>
            <w:pPr>
              <w:spacing w:line="0" w:lineRule="atLeast"/>
              <w:rPr>
                <w:rFonts w:eastAsia="標楷體"/>
              </w:rPr>
            </w:pPr>
          </w:p>
          <w:p>
            <w:pPr>
              <w:spacing w:line="0" w:lineRule="atLeast"/>
              <w:rPr>
                <w:rFonts w:eastAsia="標楷體"/>
              </w:rPr>
            </w:pPr>
            <w:r>
              <w:rPr>
                <w:rFonts w:hint="eastAsia" w:eastAsia="標楷體"/>
              </w:rPr>
              <w:t>第十、十一週 人生課題之四：旅行</w:t>
            </w:r>
          </w:p>
          <w:p>
            <w:pPr>
              <w:numPr>
                <w:ilvl w:val="0"/>
                <w:numId w:val="7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教學目標：藉由背包客與旅行，探索旅行與人生的關係。</w:t>
            </w:r>
          </w:p>
          <w:p>
            <w:pPr>
              <w:numPr>
                <w:ilvl w:val="0"/>
                <w:numId w:val="7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主要內容：介紹背包客劇團《星期一的京奧之旅》，帶領同學讀劇、分析劇作，思考劇本傳達的主題以及如何在旅行中享受當下、充實人生。</w:t>
            </w:r>
          </w:p>
          <w:p>
            <w:pPr>
              <w:numPr>
                <w:ilvl w:val="0"/>
                <w:numId w:val="7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教材：《創作之旅：背包客劇團劇本集》</w:t>
            </w:r>
          </w:p>
          <w:p>
            <w:pPr>
              <w:numPr>
                <w:ilvl w:val="0"/>
                <w:numId w:val="7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教學方法：讀劇、講授、分組討論</w:t>
            </w:r>
          </w:p>
          <w:p>
            <w:pPr>
              <w:spacing w:line="0" w:lineRule="atLeast"/>
              <w:rPr>
                <w:rFonts w:eastAsia="標楷體"/>
              </w:rPr>
            </w:pPr>
          </w:p>
          <w:p>
            <w:p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第十二、十三週 人生課題之五：社會與人群</w:t>
            </w:r>
          </w:p>
          <w:p>
            <w:pPr>
              <w:numPr>
                <w:ilvl w:val="0"/>
                <w:numId w:val="8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教學目標：以社會議題性的戲劇切入，探索社會與人生的關係。</w:t>
            </w:r>
          </w:p>
          <w:p>
            <w:pPr>
              <w:numPr>
                <w:ilvl w:val="0"/>
                <w:numId w:val="8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主要內容：以舞台劇《誘•惑》(</w:t>
            </w:r>
            <w:r>
              <w:rPr>
                <w:rFonts w:eastAsia="標楷體"/>
              </w:rPr>
              <w:t>Doubt</w:t>
            </w:r>
            <w:r>
              <w:rPr>
                <w:rFonts w:hint="eastAsia" w:ascii="標楷體" w:hAnsi="標楷體" w:eastAsia="標楷體"/>
              </w:rPr>
              <w:t>)為例，藉由劇中闡釋的社會議題，思索社會與人群的價值。一個愈來愈講求自我的現代社會，其實需要更多人來關心人群，使社會變得更好；青年學子有理想與抱負，應學習走出自我，關心眾人之事，故在課堂中將從當代的社會議題出發，提出該議題的正反思辨與行動的可能，以學習主動關懷社會。教學方式除了講授，亦將進行師生問答與分組討論。</w:t>
            </w:r>
          </w:p>
          <w:p>
            <w:pPr>
              <w:numPr>
                <w:ilvl w:val="0"/>
                <w:numId w:val="8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教材：劇作與自編講義</w:t>
            </w:r>
          </w:p>
          <w:p>
            <w:pPr>
              <w:numPr>
                <w:ilvl w:val="0"/>
                <w:numId w:val="8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教學方法：講授、分組討論</w:t>
            </w:r>
          </w:p>
          <w:p>
            <w:pPr>
              <w:spacing w:line="0" w:lineRule="atLeast"/>
              <w:rPr>
                <w:rFonts w:eastAsia="標楷體"/>
              </w:rPr>
            </w:pPr>
          </w:p>
          <w:p>
            <w:p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第十四、十五週 人生課題之六：時間與時代</w:t>
            </w:r>
          </w:p>
          <w:p>
            <w:pPr>
              <w:numPr>
                <w:ilvl w:val="0"/>
                <w:numId w:val="9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教學目標：從劇中處理時間與時代的手法，梳理人生的時光脈絡。</w:t>
            </w:r>
          </w:p>
          <w:p>
            <w:pPr>
              <w:numPr>
                <w:ilvl w:val="0"/>
                <w:numId w:val="9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主要內容：透過劇中的時間性與時代感，</w:t>
            </w:r>
            <w:r>
              <w:rPr>
                <w:rFonts w:eastAsia="標楷體"/>
              </w:rPr>
              <w:t>例如David Ives的舞台劇《All in the Timing》</w:t>
            </w:r>
            <w:r>
              <w:rPr>
                <w:rFonts w:hint="eastAsia" w:ascii="新細明體" w:hAnsi="新細明體"/>
              </w:rPr>
              <w:t>，</w:t>
            </w:r>
            <w:r>
              <w:rPr>
                <w:rFonts w:hint="eastAsia" w:ascii="標楷體" w:hAnsi="標楷體" w:eastAsia="標楷體"/>
              </w:rPr>
              <w:t>探索我們所屬的時空，思考我們的人生定位。時間與時代是許多好戲的重要元素，關照的是我們的生命歷程如何進展。本單元計畫從不同的時代與世代，來認識自身與他人，進一步理解當前身處的時空座標與自我的定位。教學方式除了講授，亦將進行師生問答與分組討論。</w:t>
            </w:r>
          </w:p>
          <w:p>
            <w:pPr>
              <w:numPr>
                <w:ilvl w:val="0"/>
                <w:numId w:val="9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教材：劇作與自編講義</w:t>
            </w:r>
          </w:p>
          <w:p>
            <w:pPr>
              <w:numPr>
                <w:ilvl w:val="0"/>
                <w:numId w:val="9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教學方法：講授、分組討論</w:t>
            </w:r>
          </w:p>
          <w:p>
            <w:pPr>
              <w:spacing w:line="0" w:lineRule="atLeast"/>
              <w:rPr>
                <w:rFonts w:eastAsia="標楷體"/>
              </w:rPr>
            </w:pPr>
          </w:p>
          <w:p>
            <w:p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第十六、十七週 人生課題之七：孤獨與生命</w:t>
            </w:r>
          </w:p>
          <w:p>
            <w:pPr>
              <w:numPr>
                <w:ilvl w:val="0"/>
                <w:numId w:val="10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教學目標：介紹當代知名的獨腳戲，藉由戲劇所闡釋的孤獨與生命觀，體認人生如何活得更圓滿。</w:t>
            </w:r>
          </w:p>
          <w:p>
            <w:pPr>
              <w:numPr>
                <w:ilvl w:val="0"/>
                <w:numId w:val="10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主要內容：從劇中人的孤獨感與生命觀，認識人性中更為深層的一面。每人皆會意識到自身的孤獨，也不免想到生老病死等生命議題，因此課堂中計畫從深邃的戲劇作品，引導這些議題的探究，希望除卻恐懼，建立正面的態度。教學方式除了講授，亦將進行師生問答與分組討論。</w:t>
            </w:r>
          </w:p>
          <w:p>
            <w:pPr>
              <w:numPr>
                <w:ilvl w:val="0"/>
                <w:numId w:val="10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教材：劇作與自編講義</w:t>
            </w:r>
          </w:p>
          <w:p>
            <w:pPr>
              <w:numPr>
                <w:ilvl w:val="0"/>
                <w:numId w:val="10"/>
              </w:numPr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標楷體"/>
              </w:rPr>
              <w:t>教學方法：講授、分組討論</w:t>
            </w:r>
          </w:p>
          <w:p>
            <w:pPr>
              <w:spacing w:line="0" w:lineRule="atLeast"/>
              <w:rPr>
                <w:rFonts w:eastAsia="標楷體"/>
              </w:rPr>
            </w:pPr>
          </w:p>
          <w:p>
            <w:pPr>
              <w:spacing w:line="0" w:lineRule="atLeast"/>
              <w:rPr>
                <w:rFonts w:eastAsia="標楷體"/>
              </w:rPr>
            </w:pPr>
            <w:r>
              <w:rPr>
                <w:rFonts w:hint="eastAsia" w:eastAsia="標楷體"/>
              </w:rPr>
              <w:t>第十八週 期末考：紙筆測驗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550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hint="eastAsia" w:eastAsia="標楷體"/>
              </w:rPr>
              <w:t>教科書及</w:t>
            </w:r>
          </w:p>
          <w:p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hint="eastAsia" w:eastAsia="標楷體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0" w:lineRule="atLeast"/>
              <w:rPr>
                <w:rFonts w:eastAsia="標楷體"/>
              </w:rPr>
            </w:pPr>
            <w:r>
              <w:rPr>
                <w:rFonts w:hint="eastAsia" w:eastAsia="標楷體"/>
              </w:rPr>
              <w:t>Shakespeare, William.(方平譯，2000)：《新莎士比亞全集4：羅密歐與朱麗葉》。台北：貓頭鷹。</w:t>
            </w:r>
          </w:p>
          <w:p>
            <w:pPr>
              <w:spacing w:line="0" w:lineRule="atLeast"/>
              <w:rPr>
                <w:rFonts w:eastAsia="標楷體"/>
              </w:rPr>
            </w:pPr>
            <w:r>
              <w:rPr>
                <w:rFonts w:hint="eastAsia" w:eastAsia="標楷體"/>
              </w:rPr>
              <w:t>周力德，(2015)：</w:t>
            </w:r>
            <w:r>
              <w:rPr>
                <w:rFonts w:ascii="標楷體" w:hAnsi="標楷體" w:eastAsia="標楷體"/>
              </w:rPr>
              <w:t>《</w:t>
            </w:r>
            <w:r>
              <w:rPr>
                <w:rFonts w:hint="eastAsia" w:eastAsia="標楷體"/>
              </w:rPr>
              <w:t>創作之旅：背包客劇團劇本集</w:t>
            </w:r>
            <w:r>
              <w:rPr>
                <w:rFonts w:ascii="標楷體" w:hAnsi="標楷體" w:eastAsia="標楷體"/>
              </w:rPr>
              <w:t>》</w:t>
            </w:r>
            <w:r>
              <w:rPr>
                <w:rFonts w:hint="eastAsia" w:ascii="標楷體" w:hAnsi="標楷體" w:eastAsia="標楷體"/>
              </w:rPr>
              <w:t>。台北：書林。</w:t>
            </w:r>
          </w:p>
          <w:p>
            <w:pPr>
              <w:spacing w:line="0" w:lineRule="atLeast"/>
              <w:rPr>
                <w:rFonts w:eastAsia="標楷體"/>
              </w:rPr>
            </w:pPr>
            <w:r>
              <w:rPr>
                <w:rFonts w:hint="eastAsia" w:eastAsia="標楷體"/>
              </w:rPr>
              <w:t>Brockett, Oscar. (胡耀恆譯，1996)：《世界戲劇藝術欣賞》。台北：志文。</w:t>
            </w:r>
          </w:p>
          <w:p>
            <w:pPr>
              <w:jc w:val="both"/>
              <w:rPr>
                <w:rFonts w:eastAsia="標楷體"/>
              </w:rPr>
            </w:pPr>
            <w:r>
              <w:rPr>
                <w:rFonts w:hint="eastAsia" w:eastAsia="標楷體"/>
              </w:rPr>
              <w:t>譚霈生，（1984）：《論戲劇性》。北京：北京大學出版社。</w:t>
            </w:r>
          </w:p>
          <w:p>
            <w:pPr>
              <w:spacing w:line="0" w:lineRule="atLeast"/>
              <w:rPr>
                <w:rFonts w:eastAsia="標楷體"/>
              </w:rPr>
            </w:pPr>
            <w:r>
              <w:rPr>
                <w:rFonts w:hint="eastAsia" w:eastAsia="標楷體"/>
              </w:rPr>
              <w:t>Styan, J.L. (1967):《The Elements of Drama》.New York: Cambridge.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19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hint="eastAsia" w:eastAsia="標楷體"/>
              </w:rPr>
              <w:t>評  量  方  式</w:t>
            </w:r>
          </w:p>
        </w:tc>
        <w:tc>
          <w:tcPr>
            <w:tcW w:w="85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請勾選(可複選)，並填寫類別：</w:t>
            </w:r>
          </w:p>
          <w:tbl>
            <w:tblPr>
              <w:tblStyle w:val="8"/>
              <w:tblW w:w="8527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5"/>
              <w:gridCol w:w="2126"/>
              <w:gridCol w:w="2126"/>
              <w:gridCol w:w="214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35" w:type="dxa"/>
                </w:tcPr>
                <w:p>
                  <w:pPr>
                    <w:rPr>
                      <w:rFonts w:ascii="標楷體" w:hAnsi="標楷體" w:eastAsia="標楷體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標楷體" w:hAnsi="標楷體" w:eastAsia="標楷體"/>
                      <w:sz w:val="22"/>
                      <w:szCs w:val="22"/>
                    </w:rPr>
                    <w:sym w:font="Wingdings 2" w:char="F050"/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</w:rPr>
                    <w:t>課堂參與</w:t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hint="eastAsia" w:ascii="標楷體" w:hAnsi="標楷體" w:eastAsia="標楷體"/>
                      <w:sz w:val="22"/>
                      <w:szCs w:val="22"/>
                      <w:u w:val="single"/>
                    </w:rPr>
                    <w:t>A</w:t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>
                  <w:pPr>
                    <w:rPr>
                      <w:rFonts w:ascii="標楷體" w:hAnsi="標楷體" w:eastAsia="標楷體"/>
                      <w:sz w:val="22"/>
                      <w:szCs w:val="22"/>
                    </w:rPr>
                  </w:pPr>
                  <w:r>
                    <w:rPr>
                      <w:rFonts w:ascii="標楷體" w:hAnsi="標楷體" w:eastAsia="標楷體"/>
                      <w:sz w:val="22"/>
                      <w:szCs w:val="22"/>
                    </w:rPr>
                    <w:t>□期 中 考</w:t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>
                  <w:pPr>
                    <w:rPr>
                      <w:rFonts w:ascii="標楷體" w:hAnsi="標楷體" w:eastAsia="標楷體"/>
                      <w:sz w:val="22"/>
                      <w:szCs w:val="22"/>
                    </w:rPr>
                  </w:pPr>
                  <w:r>
                    <w:rPr>
                      <w:rFonts w:ascii="標楷體" w:hAnsi="標楷體" w:eastAsia="標楷體"/>
                      <w:sz w:val="22"/>
                      <w:szCs w:val="22"/>
                    </w:rPr>
                    <w:sym w:font="Wingdings 2" w:char="F050"/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</w:rPr>
                    <w:t>期 末 考</w:t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hint="eastAsia" w:ascii="標楷體" w:hAnsi="標楷體" w:eastAsia="標楷體"/>
                      <w:sz w:val="22"/>
                      <w:szCs w:val="22"/>
                      <w:u w:val="single"/>
                    </w:rPr>
                    <w:t>C</w:t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>
                  <w:pPr>
                    <w:rPr>
                      <w:rFonts w:ascii="標楷體" w:hAnsi="標楷體" w:eastAsia="標楷體"/>
                      <w:sz w:val="22"/>
                      <w:szCs w:val="22"/>
                    </w:rPr>
                  </w:pPr>
                  <w:r>
                    <w:rPr>
                      <w:rFonts w:ascii="標楷體" w:hAnsi="標楷體" w:eastAsia="標楷體"/>
                      <w:sz w:val="22"/>
                      <w:szCs w:val="22"/>
                    </w:rPr>
                    <w:sym w:font="Wingdings 2" w:char="F050"/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</w:rPr>
                    <w:t>小組報告</w:t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hint="eastAsia" w:ascii="標楷體" w:hAnsi="標楷體" w:eastAsia="標楷體"/>
                      <w:sz w:val="22"/>
                      <w:szCs w:val="22"/>
                      <w:u w:val="single"/>
                    </w:rPr>
                    <w:t>B</w:t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</w:rPr>
                    <w:t>類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35" w:type="dxa"/>
                </w:tcPr>
                <w:p>
                  <w:pPr>
                    <w:rPr>
                      <w:rFonts w:ascii="標楷體" w:hAnsi="標楷體" w:eastAsia="標楷體"/>
                      <w:sz w:val="22"/>
                      <w:szCs w:val="22"/>
                    </w:rPr>
                  </w:pPr>
                  <w:r>
                    <w:rPr>
                      <w:rFonts w:ascii="標楷體" w:hAnsi="標楷體" w:eastAsia="標楷體"/>
                      <w:sz w:val="22"/>
                      <w:szCs w:val="22"/>
                    </w:rPr>
                    <w:sym w:font="Wingdings 2" w:char="F050"/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</w:rPr>
                    <w:t>小組討論</w:t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hint="eastAsia" w:ascii="標楷體" w:hAnsi="標楷體" w:eastAsia="標楷體"/>
                      <w:sz w:val="22"/>
                      <w:szCs w:val="22"/>
                      <w:u w:val="single"/>
                    </w:rPr>
                    <w:t>A</w:t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>
                  <w:pPr>
                    <w:rPr>
                      <w:rFonts w:ascii="標楷體" w:hAnsi="標楷體" w:eastAsia="標楷體"/>
                      <w:sz w:val="22"/>
                      <w:szCs w:val="22"/>
                    </w:rPr>
                  </w:pPr>
                  <w:r>
                    <w:rPr>
                      <w:rFonts w:ascii="標楷體" w:hAnsi="標楷體" w:eastAsia="標楷體"/>
                      <w:sz w:val="22"/>
                      <w:szCs w:val="22"/>
                    </w:rPr>
                    <w:sym w:font="Wingdings 2" w:char="F050"/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</w:rPr>
                    <w:t>書面報告</w:t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hint="eastAsia" w:ascii="標楷體" w:hAnsi="標楷體" w:eastAsia="標楷體"/>
                      <w:sz w:val="22"/>
                      <w:szCs w:val="22"/>
                      <w:u w:val="single"/>
                    </w:rPr>
                    <w:t>D</w:t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>
                  <w:pPr>
                    <w:rPr>
                      <w:rFonts w:ascii="標楷體" w:hAnsi="標楷體" w:eastAsia="標楷體"/>
                      <w:sz w:val="22"/>
                      <w:szCs w:val="22"/>
                    </w:rPr>
                  </w:pPr>
                  <w:r>
                    <w:rPr>
                      <w:rFonts w:ascii="標楷體" w:hAnsi="標楷體" w:eastAsia="標楷體"/>
                      <w:sz w:val="22"/>
                      <w:szCs w:val="22"/>
                    </w:rPr>
                    <w:t>□課後作業</w:t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>
                  <w:pPr>
                    <w:rPr>
                      <w:rFonts w:ascii="標楷體" w:hAnsi="標楷體" w:eastAsia="標楷體"/>
                      <w:sz w:val="22"/>
                      <w:szCs w:val="22"/>
                    </w:rPr>
                  </w:pPr>
                  <w:r>
                    <w:rPr>
                      <w:rFonts w:ascii="標楷體" w:hAnsi="標楷體" w:eastAsia="標楷體"/>
                      <w:sz w:val="22"/>
                      <w:szCs w:val="22"/>
                    </w:rPr>
                    <w:sym w:font="Wingdings 2" w:char="F050"/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</w:rPr>
                    <w:t>平時測驗</w:t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hint="eastAsia" w:ascii="標楷體" w:hAnsi="標楷體" w:eastAsia="標楷體"/>
                      <w:sz w:val="22"/>
                      <w:szCs w:val="22"/>
                      <w:u w:val="single"/>
                    </w:rPr>
                    <w:t>A</w:t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</w:rPr>
                    <w:t>類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35" w:type="dxa"/>
                </w:tcPr>
                <w:p>
                  <w:pPr>
                    <w:rPr>
                      <w:rFonts w:ascii="標楷體" w:hAnsi="標楷體" w:eastAsia="標楷體"/>
                      <w:sz w:val="22"/>
                      <w:szCs w:val="22"/>
                    </w:rPr>
                  </w:pPr>
                  <w:r>
                    <w:rPr>
                      <w:rFonts w:ascii="標楷體" w:hAnsi="標楷體" w:eastAsia="標楷體"/>
                      <w:sz w:val="22"/>
                      <w:szCs w:val="22"/>
                    </w:rPr>
                    <w:t>□心得分享</w:t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>
                  <w:pPr>
                    <w:rPr>
                      <w:rFonts w:ascii="標楷體" w:hAnsi="標楷體" w:eastAsia="標楷體"/>
                      <w:sz w:val="22"/>
                      <w:szCs w:val="22"/>
                    </w:rPr>
                  </w:pPr>
                  <w:r>
                    <w:rPr>
                      <w:rFonts w:ascii="標楷體" w:hAnsi="標楷體" w:eastAsia="標楷體"/>
                      <w:sz w:val="22"/>
                      <w:szCs w:val="22"/>
                    </w:rPr>
                    <w:t>□學習紀錄</w:t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>
                  <w:pPr>
                    <w:rPr>
                      <w:rFonts w:ascii="標楷體" w:hAnsi="標楷體" w:eastAsia="標楷體"/>
                      <w:sz w:val="22"/>
                      <w:szCs w:val="22"/>
                    </w:rPr>
                  </w:pPr>
                  <w:r>
                    <w:rPr>
                      <w:rFonts w:ascii="標楷體" w:hAnsi="標楷體" w:eastAsia="標楷體"/>
                      <w:sz w:val="22"/>
                      <w:szCs w:val="22"/>
                    </w:rPr>
                    <w:t>□專題創作</w:t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  <w:u w:val="single"/>
                    </w:rPr>
                    <w:t xml:space="preserve">    </w:t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>
                  <w:pPr>
                    <w:rPr>
                      <w:rFonts w:ascii="標楷體" w:hAnsi="標楷體" w:eastAsia="標楷體"/>
                      <w:sz w:val="22"/>
                      <w:szCs w:val="22"/>
                    </w:rPr>
                  </w:pPr>
                  <w:r>
                    <w:rPr>
                      <w:rFonts w:ascii="標楷體" w:hAnsi="標楷體" w:eastAsia="標楷體"/>
                      <w:sz w:val="22"/>
                      <w:szCs w:val="22"/>
                    </w:rPr>
                    <w:t>□其他</w:t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  <w:u w:val="single"/>
                    </w:rPr>
                    <w:t xml:space="preserve">        </w:t>
                  </w:r>
                  <w:r>
                    <w:rPr>
                      <w:rFonts w:ascii="標楷體" w:hAnsi="標楷體" w:eastAsia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>
            <w:pPr>
              <w:spacing w:line="0" w:lineRule="atLeast"/>
              <w:rPr>
                <w:rFonts w:eastAsia="標楷體"/>
                <w:u w:val="single"/>
              </w:rPr>
            </w:pPr>
            <w:r>
              <w:rPr>
                <w:rFonts w:eastAsia="標楷體"/>
                <w:sz w:val="22"/>
                <w:szCs w:val="22"/>
              </w:rPr>
              <w:t>A類佔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>
              <w:rPr>
                <w:rFonts w:hint="eastAsia" w:eastAsia="標楷體"/>
                <w:sz w:val="22"/>
                <w:szCs w:val="22"/>
                <w:u w:val="single"/>
              </w:rPr>
              <w:t>40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 %</w:t>
            </w:r>
            <w:r>
              <w:rPr>
                <w:rFonts w:eastAsia="標楷體"/>
                <w:sz w:val="22"/>
                <w:szCs w:val="22"/>
              </w:rPr>
              <w:t>；B類佔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>
              <w:rPr>
                <w:rFonts w:hint="eastAsia" w:eastAsia="標楷體"/>
                <w:sz w:val="22"/>
                <w:szCs w:val="22"/>
                <w:u w:val="single"/>
              </w:rPr>
              <w:t>20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標楷體"/>
                <w:sz w:val="22"/>
                <w:szCs w:val="22"/>
              </w:rPr>
              <w:t>%；C類佔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>
              <w:rPr>
                <w:rFonts w:hint="eastAsia" w:eastAsia="標楷體"/>
                <w:sz w:val="22"/>
                <w:szCs w:val="22"/>
                <w:u w:val="single"/>
              </w:rPr>
              <w:t>30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標楷體"/>
                <w:sz w:val="22"/>
                <w:szCs w:val="22"/>
              </w:rPr>
              <w:t>%；D類佔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>
              <w:rPr>
                <w:rFonts w:hint="eastAsia" w:eastAsia="標楷體"/>
                <w:sz w:val="22"/>
                <w:szCs w:val="22"/>
                <w:u w:val="single"/>
              </w:rPr>
              <w:t>10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 %</w:t>
            </w:r>
            <w:r>
              <w:rPr>
                <w:rFonts w:eastAsia="標楷體"/>
                <w:sz w:val="22"/>
                <w:szCs w:val="22"/>
              </w:rPr>
              <w:t xml:space="preserve"> (類別可自行增加)</w:t>
            </w:r>
          </w:p>
          <w:p>
            <w:pPr>
              <w:spacing w:line="0" w:lineRule="atLeast"/>
              <w:rPr>
                <w:rFonts w:eastAsia="標楷體"/>
              </w:rPr>
            </w:pPr>
          </w:p>
          <w:p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說明：</w:t>
            </w:r>
          </w:p>
          <w:p>
            <w:pPr>
              <w:pStyle w:val="13"/>
              <w:numPr>
                <w:ilvl w:val="0"/>
                <w:numId w:val="11"/>
              </w:numPr>
              <w:spacing w:line="0" w:lineRule="atLeast"/>
              <w:ind w:leftChars="0"/>
              <w:rPr>
                <w:rFonts w:eastAsia="標楷體"/>
              </w:rPr>
            </w:pPr>
            <w:r>
              <w:rPr>
                <w:rFonts w:hint="eastAsia" w:eastAsia="標楷體"/>
              </w:rPr>
              <w:t>課堂參與包括出缺席、遲到早退記錄；小組討論即課堂指定題目的探討，以分組方式進行；平時測驗即小考，視進度施測。</w:t>
            </w:r>
          </w:p>
          <w:p>
            <w:pPr>
              <w:pStyle w:val="13"/>
              <w:numPr>
                <w:ilvl w:val="0"/>
                <w:numId w:val="11"/>
              </w:numPr>
              <w:spacing w:line="0" w:lineRule="atLeast"/>
              <w:ind w:leftChars="0"/>
              <w:rPr>
                <w:rFonts w:eastAsia="標楷體"/>
              </w:rPr>
            </w:pPr>
            <w:r>
              <w:rPr>
                <w:rFonts w:hint="eastAsia" w:eastAsia="標楷體"/>
              </w:rPr>
              <w:t>小組報告即期中考，各組於期中考週依指定的題目完成口頭與書面報告。但，本項目也可能依學習狀況，改為個人紙筆測驗。</w:t>
            </w:r>
          </w:p>
          <w:p>
            <w:pPr>
              <w:pStyle w:val="13"/>
              <w:numPr>
                <w:ilvl w:val="0"/>
                <w:numId w:val="11"/>
              </w:numPr>
              <w:spacing w:line="0" w:lineRule="atLeast"/>
              <w:ind w:leftChars="0"/>
              <w:rPr>
                <w:rFonts w:eastAsia="標楷體"/>
              </w:rPr>
            </w:pPr>
            <w:r>
              <w:rPr>
                <w:rFonts w:hint="eastAsia" w:eastAsia="標楷體"/>
              </w:rPr>
              <w:t>期末考為個人紙筆測驗，於答案卷上進行簡答、申論。</w:t>
            </w:r>
          </w:p>
          <w:p>
            <w:pPr>
              <w:pStyle w:val="13"/>
              <w:numPr>
                <w:ilvl w:val="0"/>
                <w:numId w:val="11"/>
              </w:numPr>
              <w:spacing w:line="0" w:lineRule="atLeast"/>
              <w:ind w:leftChars="0"/>
              <w:rPr>
                <w:rFonts w:eastAsia="標楷體"/>
              </w:rPr>
            </w:pPr>
            <w:r>
              <w:rPr>
                <w:rFonts w:hint="eastAsia" w:eastAsia="標楷體"/>
              </w:rPr>
              <w:t>書面報告須視進度並依規定繳交。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hint="eastAsia" w:eastAsia="標楷體"/>
              </w:rPr>
              <w:t>與聯合國永續發展</w:t>
            </w:r>
            <w:r>
              <w:rPr>
                <w:rFonts w:eastAsia="標楷體"/>
              </w:rPr>
              <w:br w:type="textWrapping"/>
            </w:r>
            <w:r>
              <w:rPr>
                <w:rFonts w:hint="eastAsia" w:eastAsia="標楷體"/>
              </w:rPr>
              <w:t>目標(S</w:t>
            </w:r>
            <w:r>
              <w:rPr>
                <w:rFonts w:eastAsia="標楷體"/>
              </w:rPr>
              <w:t>DG</w:t>
            </w:r>
            <w:r>
              <w:rPr>
                <w:rFonts w:hint="eastAsia" w:eastAsia="標楷體"/>
              </w:rPr>
              <w:t>s)及</w:t>
            </w:r>
            <w:r>
              <w:rPr>
                <w:rFonts w:eastAsia="標楷體"/>
              </w:rPr>
              <w:br w:type="textWrapping"/>
            </w:r>
            <w:r>
              <w:rPr>
                <w:rFonts w:hint="eastAsia" w:eastAsia="標楷體"/>
              </w:rPr>
              <w:t>細項之</w:t>
            </w:r>
            <w:r>
              <w:rPr>
                <w:rFonts w:eastAsia="標楷體"/>
              </w:rPr>
              <w:t>對應</w:t>
            </w:r>
          </w:p>
          <w:p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hint="eastAsia" w:eastAsia="標楷體"/>
              </w:rPr>
              <w:t>(請參閱SDGs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 w:type="textWrapping"/>
            </w:r>
            <w:r>
              <w:rPr>
                <w:rFonts w:hint="eastAsia" w:eastAsia="標楷體"/>
              </w:rPr>
              <w:t>對照表)</w:t>
            </w:r>
          </w:p>
        </w:tc>
        <w:tc>
          <w:tcPr>
            <w:tcW w:w="85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標楷體"/>
              </w:rPr>
            </w:pPr>
            <w:r>
              <w:rPr>
                <w:rFonts w:hint="eastAsia" w:ascii="標楷體" w:hAnsi="標楷體" w:eastAsia="標楷體" w:cs="微軟正黑體"/>
              </w:rPr>
              <w:t>目標</w:t>
            </w:r>
            <w:r>
              <w:rPr>
                <w:rFonts w:ascii="標楷體" w:hAnsi="標楷體" w:eastAsia="標楷體" w:cs="微軟正黑體"/>
              </w:rPr>
              <w:t>:</w:t>
            </w:r>
            <w:r>
              <w:rPr>
                <w:rFonts w:ascii="標楷體" w:hAnsi="標楷體" w:eastAsia="標楷體" w:cs="微軟正黑體"/>
                <w:u w:val="single"/>
              </w:rPr>
              <w:t xml:space="preserve"> </w:t>
            </w:r>
            <w:r>
              <w:rPr>
                <w:rFonts w:hint="eastAsia" w:ascii="標楷體" w:hAnsi="標楷體" w:eastAsia="標楷體" w:cs="微軟正黑體"/>
                <w:u w:val="single"/>
              </w:rPr>
              <w:t>4</w:t>
            </w:r>
            <w:r>
              <w:rPr>
                <w:rFonts w:ascii="標楷體" w:hAnsi="標楷體" w:eastAsia="標楷體" w:cs="微軟正黑體"/>
                <w:u w:val="single"/>
              </w:rPr>
              <w:t xml:space="preserve">  </w:t>
            </w:r>
            <w:r>
              <w:rPr>
                <w:rFonts w:hint="eastAsia" w:eastAsia="標楷體"/>
              </w:rPr>
              <w:t>細項：_4.7_______________________</w:t>
            </w:r>
          </w:p>
          <w:p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>
              <w:rPr>
                <w:rFonts w:hint="eastAsia" w:eastAsia="標楷體"/>
              </w:rPr>
              <w:t>(至多三個目標，每個目標至多三個細項)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903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hint="eastAsia" w:ascii="標楷體" w:hAnsi="標楷體" w:eastAsia="標楷體"/>
                <w:color w:val="000000"/>
              </w:rPr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7"/>
              <w:tblW w:w="8261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47"/>
              <w:gridCol w:w="4140"/>
              <w:gridCol w:w="1274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847" w:type="dxa"/>
                  <w:vAlign w:val="center"/>
                </w:tcPr>
                <w:p>
                  <w:pPr>
                    <w:widowControl/>
                    <w:jc w:val="center"/>
                    <w:rPr>
                      <w:rFonts w:hAnsi="標楷體" w:eastAsia="標楷體"/>
                      <w:color w:val="000000"/>
                      <w:kern w:val="0"/>
                    </w:rPr>
                  </w:pPr>
                  <w:r>
                    <w:rPr>
                      <w:rFonts w:hint="eastAsia" w:hAnsi="標楷體" w:eastAsia="標楷體"/>
                      <w:color w:val="000000"/>
                      <w:kern w:val="0"/>
                    </w:rPr>
                    <w:t>通識課程</w:t>
                  </w:r>
                </w:p>
                <w:p>
                  <w:pPr>
                    <w:widowControl/>
                    <w:jc w:val="center"/>
                    <w:rPr>
                      <w:rFonts w:hAnsi="標楷體" w:eastAsia="標楷體"/>
                      <w:color w:val="000000"/>
                      <w:kern w:val="0"/>
                    </w:rPr>
                  </w:pPr>
                  <w:r>
                    <w:rPr>
                      <w:rFonts w:hint="eastAsia" w:hAnsi="標楷體" w:eastAsia="標楷體"/>
                      <w:color w:val="000000"/>
                      <w:kern w:val="0"/>
                    </w:rPr>
                    <w:t>核心能力指標</w:t>
                  </w:r>
                </w:p>
                <w:p>
                  <w:pPr>
                    <w:widowControl/>
                    <w:jc w:val="center"/>
                    <w:rPr>
                      <w:rFonts w:hAnsi="標楷體" w:eastAsia="標楷體"/>
                      <w:color w:val="000000"/>
                      <w:kern w:val="0"/>
                    </w:rPr>
                  </w:pPr>
                  <w:r>
                    <w:rPr>
                      <w:rFonts w:hint="eastAsia" w:ascii="標楷體" w:hAnsi="標楷體" w:eastAsia="標楷體"/>
                      <w:color w:val="000000"/>
                    </w:rPr>
                    <w:t>(請勾選主要的</w:t>
                  </w:r>
                  <w:r>
                    <w:rPr>
                      <w:rFonts w:eastAsia="標楷體"/>
                    </w:rPr>
                    <w:t>3-5</w:t>
                  </w:r>
                  <w:r>
                    <w:rPr>
                      <w:rFonts w:hint="eastAsia" w:ascii="標楷體" w:hAnsi="標楷體" w:eastAsia="標楷體"/>
                    </w:rPr>
                    <w:t>項)</w:t>
                  </w:r>
                </w:p>
              </w:tc>
              <w:tc>
                <w:tcPr>
                  <w:tcW w:w="4140" w:type="dxa"/>
                  <w:vAlign w:val="center"/>
                </w:tcPr>
                <w:p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hint="eastAsia" w:eastAsia="標楷體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>
                  <w:pPr>
                    <w:widowControl/>
                    <w:spacing w:line="0" w:lineRule="atLeast"/>
                    <w:jc w:val="center"/>
                    <w:rPr>
                      <w:rFonts w:ascii="標楷體" w:hAnsi="標楷體" w:eastAsia="標楷體"/>
                      <w:color w:val="000000"/>
                      <w:kern w:val="0"/>
                    </w:rPr>
                  </w:pPr>
                  <w:r>
                    <w:rPr>
                      <w:rFonts w:hint="eastAsia" w:ascii="標楷體" w:hAnsi="標楷體" w:eastAsia="標楷體"/>
                      <w:color w:val="000000"/>
                      <w:kern w:val="0"/>
                    </w:rPr>
                    <w:t>課程能培養學生此項核心能力者請打</w:t>
                  </w:r>
                  <w:r>
                    <w:rPr>
                      <w:rFonts w:hint="eastAsia" w:ascii="標楷體" w:hAnsi="標楷體" w:eastAsia="標楷體"/>
                      <w:color w:val="000000"/>
                      <w:kern w:val="0"/>
                    </w:rPr>
                    <w:sym w:font="Wingdings" w:char="F0FC"/>
                  </w:r>
                  <w:r>
                    <w:rPr>
                      <w:rFonts w:hint="eastAsia" w:ascii="標楷體" w:hAnsi="標楷體" w:eastAsia="標楷體"/>
                      <w:color w:val="000000"/>
                    </w:rPr>
                    <w:t xml:space="preserve"> 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847" w:type="dxa"/>
                  <w:vAlign w:val="center"/>
                </w:tcPr>
                <w:p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(1)思考與創新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>
                  <w:pPr>
                    <w:pStyle w:val="4"/>
                    <w:spacing w:before="0" w:beforeAutospacing="0" w:after="0" w:afterAutospacing="0" w:line="240" w:lineRule="atLeast"/>
                    <w:jc w:val="both"/>
                    <w:rPr>
                      <w:rFonts w:ascii="Times New Roman" w:hAnsi="Times New Roman" w:eastAsia="標楷體" w:cs="Times New Roman"/>
                      <w:color w:val="000000"/>
                    </w:rPr>
                  </w:pPr>
                  <w:r>
                    <w:rPr>
                      <w:rFonts w:hint="eastAsia" w:ascii="Times New Roman" w:hAnsi="Times New Roman" w:eastAsia="標楷體" w:cs="Times New Roman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>
                  <w:pPr>
                    <w:pStyle w:val="4"/>
                    <w:spacing w:before="0" w:beforeAutospacing="0" w:after="0" w:afterAutospacing="0" w:line="360" w:lineRule="atLeast"/>
                    <w:rPr>
                      <w:rFonts w:ascii="Times New Roman" w:hAnsi="Times New Roman" w:eastAsia="標楷體" w:cs="Times New Roman"/>
                      <w:color w:val="000000"/>
                    </w:rPr>
                  </w:pPr>
                  <w:r>
                    <w:rPr>
                      <w:rFonts w:hint="eastAsia" w:ascii="標楷體" w:hAnsi="標楷體" w:eastAsia="標楷體"/>
                      <w:color w:val="000000"/>
                    </w:rPr>
                    <w:sym w:font="Wingdings" w:char="F0FC"/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847" w:type="dxa"/>
                  <w:vAlign w:val="center"/>
                </w:tcPr>
                <w:p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(2)道德思辨與實踐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hint="eastAsia" w:eastAsia="標楷體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847" w:type="dxa"/>
                  <w:vAlign w:val="center"/>
                </w:tcPr>
                <w:p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(3)生命探索與生涯規劃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hint="eastAsia" w:eastAsia="標楷體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hint="eastAsia" w:ascii="標楷體" w:hAnsi="標楷體" w:eastAsia="標楷體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847" w:type="dxa"/>
                  <w:vAlign w:val="center"/>
                </w:tcPr>
                <w:p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(4)公民素養與社會參與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hint="eastAsia" w:eastAsia="標楷體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847" w:type="dxa"/>
                  <w:vAlign w:val="center"/>
                </w:tcPr>
                <w:p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(5)人文關懷與環境保育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hint="eastAsia" w:eastAsia="標楷體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847" w:type="dxa"/>
                  <w:vAlign w:val="center"/>
                </w:tcPr>
                <w:p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>
                    <w:rPr>
                      <w:rFonts w:hint="eastAsia" w:eastAsia="標楷體"/>
                      <w:color w:val="000000"/>
                      <w:kern w:val="0"/>
                    </w:rPr>
                    <w:t>6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)溝通表達與團隊合作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hint="eastAsia" w:eastAsia="標楷體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hint="eastAsia" w:ascii="標楷體" w:hAnsi="標楷體" w:eastAsia="標楷體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847" w:type="dxa"/>
                  <w:vAlign w:val="center"/>
                </w:tcPr>
                <w:p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>
                    <w:rPr>
                      <w:rFonts w:hint="eastAsia" w:eastAsia="標楷體"/>
                      <w:color w:val="000000"/>
                      <w:kern w:val="0"/>
                    </w:rPr>
                    <w:t>7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)國際視野與多元文化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hint="eastAsia" w:eastAsia="標楷體"/>
                      <w:color w:val="000000"/>
                      <w:kern w:val="0"/>
                    </w:rPr>
                    <w:t>能夠了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>
                    <w:rPr>
                      <w:rFonts w:hint="eastAsia" w:eastAsia="標楷體"/>
                      <w:color w:val="000000"/>
                      <w:kern w:val="0"/>
                    </w:rPr>
                    <w:t>的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>
                    <w:rPr>
                      <w:rFonts w:hint="eastAsia" w:eastAsia="標楷體"/>
                      <w:color w:val="000000"/>
                      <w:kern w:val="0"/>
                    </w:rPr>
                    <w:t>與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>
                    <w:rPr>
                      <w:rFonts w:hint="eastAsia" w:eastAsia="標楷體"/>
                      <w:color w:val="000000"/>
                      <w:kern w:val="0"/>
                    </w:rPr>
                    <w:t>，具備廣博的世界觀，或能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>
                    <w:rPr>
                      <w:rFonts w:hint="eastAsia" w:eastAsia="標楷體"/>
                      <w:color w:val="000000"/>
                      <w:kern w:val="0"/>
                    </w:rPr>
                    <w:t>或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>
                    <w:rPr>
                      <w:rFonts w:hint="eastAsia" w:eastAsia="標楷體"/>
                      <w:color w:val="000000"/>
                      <w:kern w:val="0"/>
                    </w:rPr>
                    <w:t>不同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>
                    <w:rPr>
                      <w:rFonts w:hint="eastAsia" w:eastAsia="標楷體"/>
                      <w:color w:val="000000"/>
                      <w:kern w:val="0"/>
                    </w:rPr>
                    <w:t>間的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>
                    <w:rPr>
                      <w:rFonts w:hint="eastAsia" w:eastAsia="標楷體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hint="eastAsia" w:ascii="標楷體" w:hAnsi="標楷體" w:eastAsia="標楷體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847" w:type="dxa"/>
                  <w:vAlign w:val="center"/>
                </w:tcPr>
                <w:p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>
                    <w:rPr>
                      <w:rFonts w:hint="eastAsia" w:eastAsia="標楷體"/>
                      <w:color w:val="000000"/>
                      <w:kern w:val="0"/>
                    </w:rPr>
                    <w:t>8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)美感與藝術欣賞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hint="eastAsia" w:eastAsia="標楷體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hint="eastAsia" w:ascii="標楷體" w:hAnsi="標楷體" w:eastAsia="標楷體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847" w:type="dxa"/>
                  <w:vAlign w:val="center"/>
                </w:tcPr>
                <w:p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>
                    <w:rPr>
                      <w:rFonts w:hint="eastAsia" w:eastAsia="標楷體"/>
                      <w:color w:val="000000"/>
                      <w:kern w:val="0"/>
                    </w:rPr>
                    <w:t>9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)問題分析與解決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hint="eastAsia" w:eastAsia="標楷體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</w:tbl>
          <w:p>
            <w:pPr>
              <w:spacing w:before="180" w:beforeLines="50" w:line="0" w:lineRule="atLeast"/>
              <w:ind w:left="674" w:hanging="674" w:hangingChars="281"/>
              <w:rPr>
                <w:rFonts w:ascii="標楷體" w:hAnsi="標楷體" w:eastAsia="標楷體"/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5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ind w:right="-14" w:rightChars="-6"/>
              <w:rPr>
                <w:rFonts w:eastAsia="標楷體"/>
              </w:rPr>
            </w:pPr>
            <w:r>
              <w:rPr>
                <w:rFonts w:hint="eastAsia" w:eastAsia="標楷體"/>
              </w:rPr>
              <w:t xml:space="preserve">  授課教師資料</w:t>
            </w:r>
          </w:p>
        </w:tc>
        <w:tc>
          <w:tcPr>
            <w:tcW w:w="85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0" w:lineRule="atLeast"/>
              <w:rPr>
                <w:rFonts w:eastAsia="標楷體"/>
              </w:rPr>
            </w:pPr>
            <w:r>
              <w:rPr>
                <w:rFonts w:hint="eastAsia" w:eastAsia="標楷體"/>
              </w:rPr>
              <w:t>姓名：周力德</w:t>
            </w:r>
          </w:p>
          <w:p>
            <w:pPr>
              <w:spacing w:line="0" w:lineRule="atLeast"/>
              <w:rPr>
                <w:rFonts w:eastAsia="標楷體"/>
              </w:rPr>
            </w:pPr>
            <w:r>
              <w:rPr>
                <w:rFonts w:hint="eastAsia" w:ascii="標楷體" w:hAnsi="標楷體" w:eastAsia="標楷體"/>
                <w:color w:val="000000"/>
                <w:kern w:val="0"/>
              </w:rPr>
              <w:sym w:font="Wingdings" w:char="F0FC"/>
            </w:r>
            <w:r>
              <w:rPr>
                <w:rFonts w:hint="eastAsia" w:eastAsia="標楷體"/>
              </w:rPr>
              <w:t>兼任教師</w:t>
            </w:r>
            <w:r>
              <w:rPr>
                <w:rFonts w:eastAsia="標楷體"/>
              </w:rPr>
              <w:tab/>
            </w:r>
            <w:r>
              <w:rPr>
                <w:rFonts w:hint="eastAsia" w:eastAsia="標楷體"/>
              </w:rPr>
              <w:t>服務單位：通識教育中心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hint="eastAsia" w:eastAsia="標楷體"/>
              </w:rPr>
              <w:t>職稱：講師</w:t>
            </w:r>
          </w:p>
          <w:p>
            <w:pPr>
              <w:spacing w:line="0" w:lineRule="atLeast"/>
              <w:rPr>
                <w:rFonts w:eastAsia="標楷體"/>
              </w:rPr>
            </w:pPr>
            <w:r>
              <w:rPr>
                <w:rFonts w:hint="eastAsia" w:eastAsia="標楷體"/>
              </w:rPr>
              <w:t>學經歷：</w:t>
            </w:r>
          </w:p>
          <w:p>
            <w:pPr>
              <w:spacing w:line="0" w:lineRule="atLeast"/>
              <w:rPr>
                <w:rFonts w:eastAsia="標楷體"/>
              </w:rPr>
            </w:pPr>
            <w:r>
              <w:rPr>
                <w:rFonts w:hint="eastAsia" w:eastAsia="標楷體"/>
              </w:rPr>
              <w:t>背包客劇團團長，國立台灣大學戲劇研究所畢業。曾於多所大專院校講授戲劇與劇場課程，研究領域為劇場編導</w:t>
            </w:r>
            <w:r>
              <w:rPr>
                <w:rFonts w:ascii="標楷體" w:hAnsi="標楷體" w:eastAsia="標楷體"/>
              </w:rPr>
              <w:t>、</w:t>
            </w:r>
            <w:r>
              <w:rPr>
                <w:rFonts w:hint="eastAsia" w:ascii="標楷體" w:hAnsi="標楷體" w:eastAsia="標楷體"/>
              </w:rPr>
              <w:t>表演與</w:t>
            </w:r>
            <w:r>
              <w:rPr>
                <w:rFonts w:hint="eastAsia" w:eastAsia="標楷體"/>
              </w:rPr>
              <w:t>劇場實務。</w:t>
            </w:r>
          </w:p>
          <w:p>
            <w:pPr>
              <w:spacing w:line="0" w:lineRule="atLeast"/>
              <w:rPr>
                <w:rFonts w:eastAsia="標楷體"/>
              </w:rPr>
            </w:pPr>
            <w:r>
              <w:rPr>
                <w:rFonts w:hint="eastAsia" w:eastAsia="標楷體"/>
              </w:rPr>
              <w:t>專業領域：劇場編導</w:t>
            </w:r>
            <w:r>
              <w:rPr>
                <w:rFonts w:ascii="標楷體" w:hAnsi="標楷體" w:eastAsia="標楷體"/>
              </w:rPr>
              <w:t>、</w:t>
            </w:r>
            <w:r>
              <w:rPr>
                <w:rFonts w:hint="eastAsia" w:ascii="標楷體" w:hAnsi="標楷體" w:eastAsia="標楷體"/>
              </w:rPr>
              <w:t>表演與</w:t>
            </w:r>
            <w:r>
              <w:rPr>
                <w:rFonts w:hint="eastAsia" w:eastAsia="標楷體"/>
              </w:rPr>
              <w:t>劇場實務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2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hint="eastAsia" w:eastAsia="標楷體"/>
              </w:rPr>
              <w:t>備          註</w:t>
            </w:r>
          </w:p>
        </w:tc>
        <w:tc>
          <w:tcPr>
            <w:tcW w:w="85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0" w:lineRule="atLeast"/>
              <w:rPr>
                <w:rFonts w:eastAsia="標楷體"/>
              </w:rPr>
            </w:pPr>
          </w:p>
        </w:tc>
      </w:tr>
    </w:tbl>
    <w:p/>
    <w:sectPr>
      <w:headerReference r:id="rId3" w:type="first"/>
      <w:pgSz w:w="11906" w:h="16838"/>
      <w:pgMar w:top="567" w:right="1134" w:bottom="567" w:left="1134" w:header="851" w:footer="992" w:gutter="0"/>
      <w:cols w:space="425" w:num="1"/>
      <w:titlePg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標楷體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軟正黑體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標楷體" w:hAnsi="標楷體" w:eastAsia="標楷體"/>
      </w:rPr>
    </w:pPr>
    <w:r>
      <w:rPr>
        <w:rFonts w:ascii="標楷體" w:hAnsi="標楷體" w:eastAsia="標楷體"/>
      </w:rPr>
      <w:t>112</w:t>
    </w:r>
    <w:r>
      <w:rPr>
        <w:rFonts w:hint="eastAsia" w:ascii="標楷體" w:hAnsi="標楷體" w:eastAsia="標楷體"/>
      </w:rPr>
      <w:t>年</w:t>
    </w:r>
    <w:r>
      <w:rPr>
        <w:rFonts w:ascii="標楷體" w:hAnsi="標楷體" w:eastAsia="標楷體"/>
      </w:rPr>
      <w:t>4</w:t>
    </w:r>
    <w:r>
      <w:rPr>
        <w:rFonts w:hint="eastAsia" w:ascii="標楷體" w:hAnsi="標楷體" w:eastAsia="標楷體"/>
      </w:rPr>
      <w:t>月2</w:t>
    </w:r>
    <w:r>
      <w:rPr>
        <w:rFonts w:ascii="標楷體" w:hAnsi="標楷體" w:eastAsia="標楷體"/>
      </w:rPr>
      <w:t>6</w:t>
    </w:r>
    <w:r>
      <w:rPr>
        <w:rFonts w:hint="eastAsia" w:ascii="標楷體" w:hAnsi="標楷體" w:eastAsia="標楷體"/>
      </w:rPr>
      <w:t>日通識教育中心會議修訂</w:t>
    </w:r>
  </w:p>
  <w:p>
    <w:pPr>
      <w:pStyle w:val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0FC1"/>
    <w:multiLevelType w:val="multilevel"/>
    <w:tmpl w:val="021C0FC1"/>
    <w:lvl w:ilvl="0" w:tentative="0">
      <w:start w:val="1"/>
      <w:numFmt w:val="decimal"/>
      <w:lvlText w:val="%1."/>
      <w:lvlJc w:val="left"/>
      <w:pPr>
        <w:tabs>
          <w:tab w:val="left" w:pos="871"/>
        </w:tabs>
        <w:ind w:left="871" w:hanging="360"/>
      </w:pPr>
      <w:rPr>
        <w:rFonts w:hint="default"/>
      </w:rPr>
    </w:lvl>
    <w:lvl w:ilvl="1" w:tentative="0">
      <w:start w:val="1"/>
      <w:numFmt w:val="ideographTraditional"/>
      <w:lvlText w:val="%2、"/>
      <w:lvlJc w:val="left"/>
      <w:pPr>
        <w:tabs>
          <w:tab w:val="left" w:pos="960"/>
        </w:tabs>
        <w:ind w:left="960" w:hanging="480"/>
      </w:pPr>
    </w:lvl>
    <w:lvl w:ilvl="2" w:tentative="0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</w:lvl>
    <w:lvl w:ilvl="3" w:tentative="0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</w:lvl>
    <w:lvl w:ilvl="4" w:tentative="0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 w:tentative="0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 w:tentative="0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 w:tentative="0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abstractNum w:abstractNumId="1">
    <w:nsid w:val="036974DD"/>
    <w:multiLevelType w:val="multilevel"/>
    <w:tmpl w:val="036974DD"/>
    <w:lvl w:ilvl="0" w:tentative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ideographTraditional"/>
      <w:lvlText w:val="%2、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ideographTraditional"/>
      <w:lvlText w:val="%5、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ideographTraditional"/>
      <w:lvlText w:val="%8、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D0A5BB3"/>
    <w:multiLevelType w:val="multilevel"/>
    <w:tmpl w:val="0D0A5BB3"/>
    <w:lvl w:ilvl="0" w:tentative="0">
      <w:start w:val="1"/>
      <w:numFmt w:val="decimal"/>
      <w:lvlText w:val="%1."/>
      <w:lvlJc w:val="left"/>
      <w:pPr>
        <w:tabs>
          <w:tab w:val="left" w:pos="871"/>
        </w:tabs>
        <w:ind w:left="871" w:hanging="360"/>
      </w:pPr>
      <w:rPr>
        <w:rFonts w:hint="default"/>
      </w:rPr>
    </w:lvl>
    <w:lvl w:ilvl="1" w:tentative="0">
      <w:start w:val="1"/>
      <w:numFmt w:val="ideographTraditional"/>
      <w:lvlText w:val="%2、"/>
      <w:lvlJc w:val="left"/>
      <w:pPr>
        <w:tabs>
          <w:tab w:val="left" w:pos="1471"/>
        </w:tabs>
        <w:ind w:left="1471" w:hanging="480"/>
      </w:pPr>
    </w:lvl>
    <w:lvl w:ilvl="2" w:tentative="0">
      <w:start w:val="1"/>
      <w:numFmt w:val="lowerRoman"/>
      <w:lvlText w:val="%3."/>
      <w:lvlJc w:val="right"/>
      <w:pPr>
        <w:tabs>
          <w:tab w:val="left" w:pos="1951"/>
        </w:tabs>
        <w:ind w:left="1951" w:hanging="480"/>
      </w:pPr>
    </w:lvl>
    <w:lvl w:ilvl="3" w:tentative="0">
      <w:start w:val="1"/>
      <w:numFmt w:val="decimal"/>
      <w:lvlText w:val="%4."/>
      <w:lvlJc w:val="left"/>
      <w:pPr>
        <w:tabs>
          <w:tab w:val="left" w:pos="2431"/>
        </w:tabs>
        <w:ind w:left="2431" w:hanging="480"/>
      </w:pPr>
    </w:lvl>
    <w:lvl w:ilvl="4" w:tentative="0">
      <w:start w:val="1"/>
      <w:numFmt w:val="ideographTraditional"/>
      <w:lvlText w:val="%5、"/>
      <w:lvlJc w:val="left"/>
      <w:pPr>
        <w:tabs>
          <w:tab w:val="left" w:pos="2911"/>
        </w:tabs>
        <w:ind w:left="2911" w:hanging="480"/>
      </w:pPr>
    </w:lvl>
    <w:lvl w:ilvl="5" w:tentative="0">
      <w:start w:val="1"/>
      <w:numFmt w:val="lowerRoman"/>
      <w:lvlText w:val="%6."/>
      <w:lvlJc w:val="right"/>
      <w:pPr>
        <w:tabs>
          <w:tab w:val="left" w:pos="3391"/>
        </w:tabs>
        <w:ind w:left="3391" w:hanging="480"/>
      </w:pPr>
    </w:lvl>
    <w:lvl w:ilvl="6" w:tentative="0">
      <w:start w:val="1"/>
      <w:numFmt w:val="decimal"/>
      <w:lvlText w:val="%7."/>
      <w:lvlJc w:val="left"/>
      <w:pPr>
        <w:tabs>
          <w:tab w:val="left" w:pos="3871"/>
        </w:tabs>
        <w:ind w:left="3871" w:hanging="480"/>
      </w:pPr>
    </w:lvl>
    <w:lvl w:ilvl="7" w:tentative="0">
      <w:start w:val="1"/>
      <w:numFmt w:val="ideographTraditional"/>
      <w:lvlText w:val="%8、"/>
      <w:lvlJc w:val="left"/>
      <w:pPr>
        <w:tabs>
          <w:tab w:val="left" w:pos="4351"/>
        </w:tabs>
        <w:ind w:left="4351" w:hanging="480"/>
      </w:pPr>
    </w:lvl>
    <w:lvl w:ilvl="8" w:tentative="0">
      <w:start w:val="1"/>
      <w:numFmt w:val="lowerRoman"/>
      <w:lvlText w:val="%9."/>
      <w:lvlJc w:val="right"/>
      <w:pPr>
        <w:tabs>
          <w:tab w:val="left" w:pos="4831"/>
        </w:tabs>
        <w:ind w:left="4831" w:hanging="480"/>
      </w:pPr>
    </w:lvl>
  </w:abstractNum>
  <w:abstractNum w:abstractNumId="3">
    <w:nsid w:val="11982E10"/>
    <w:multiLevelType w:val="multilevel"/>
    <w:tmpl w:val="11982E10"/>
    <w:lvl w:ilvl="0" w:tentative="0">
      <w:start w:val="1"/>
      <w:numFmt w:val="decimal"/>
      <w:lvlText w:val="%1."/>
      <w:lvlJc w:val="left"/>
      <w:pPr>
        <w:tabs>
          <w:tab w:val="left" w:pos="871"/>
        </w:tabs>
        <w:ind w:left="871" w:hanging="360"/>
      </w:pPr>
      <w:rPr>
        <w:rFonts w:hint="default"/>
      </w:rPr>
    </w:lvl>
    <w:lvl w:ilvl="1" w:tentative="0">
      <w:start w:val="1"/>
      <w:numFmt w:val="ideographTraditional"/>
      <w:lvlText w:val="%2、"/>
      <w:lvlJc w:val="left"/>
      <w:pPr>
        <w:tabs>
          <w:tab w:val="left" w:pos="960"/>
        </w:tabs>
        <w:ind w:left="960" w:hanging="480"/>
      </w:pPr>
    </w:lvl>
    <w:lvl w:ilvl="2" w:tentative="0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</w:lvl>
    <w:lvl w:ilvl="3" w:tentative="0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</w:lvl>
    <w:lvl w:ilvl="4" w:tentative="0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 w:tentative="0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 w:tentative="0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 w:tentative="0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abstractNum w:abstractNumId="4">
    <w:nsid w:val="212E0971"/>
    <w:multiLevelType w:val="multilevel"/>
    <w:tmpl w:val="212E0971"/>
    <w:lvl w:ilvl="0" w:tentative="0">
      <w:start w:val="1"/>
      <w:numFmt w:val="decimal"/>
      <w:lvlText w:val="%1."/>
      <w:lvlJc w:val="left"/>
      <w:pPr>
        <w:tabs>
          <w:tab w:val="left" w:pos="871"/>
        </w:tabs>
        <w:ind w:left="871" w:hanging="360"/>
      </w:pPr>
      <w:rPr>
        <w:rFonts w:hint="default"/>
      </w:rPr>
    </w:lvl>
    <w:lvl w:ilvl="1" w:tentative="0">
      <w:start w:val="1"/>
      <w:numFmt w:val="ideographTraditional"/>
      <w:lvlText w:val="%2、"/>
      <w:lvlJc w:val="left"/>
      <w:pPr>
        <w:tabs>
          <w:tab w:val="left" w:pos="960"/>
        </w:tabs>
        <w:ind w:left="960" w:hanging="480"/>
      </w:pPr>
    </w:lvl>
    <w:lvl w:ilvl="2" w:tentative="0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</w:lvl>
    <w:lvl w:ilvl="3" w:tentative="0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</w:lvl>
    <w:lvl w:ilvl="4" w:tentative="0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 w:tentative="0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 w:tentative="0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 w:tentative="0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abstractNum w:abstractNumId="5">
    <w:nsid w:val="2E8A1971"/>
    <w:multiLevelType w:val="multilevel"/>
    <w:tmpl w:val="2E8A1971"/>
    <w:lvl w:ilvl="0" w:tentative="0">
      <w:start w:val="1"/>
      <w:numFmt w:val="decimal"/>
      <w:lvlText w:val="%1."/>
      <w:lvlJc w:val="left"/>
      <w:pPr>
        <w:ind w:left="991" w:hanging="480"/>
      </w:pPr>
    </w:lvl>
    <w:lvl w:ilvl="1" w:tentative="0">
      <w:start w:val="1"/>
      <w:numFmt w:val="ideographTraditional"/>
      <w:lvlText w:val="%2、"/>
      <w:lvlJc w:val="left"/>
      <w:pPr>
        <w:ind w:left="1471" w:hanging="480"/>
      </w:pPr>
    </w:lvl>
    <w:lvl w:ilvl="2" w:tentative="0">
      <w:start w:val="1"/>
      <w:numFmt w:val="lowerRoman"/>
      <w:lvlText w:val="%3."/>
      <w:lvlJc w:val="right"/>
      <w:pPr>
        <w:ind w:left="1951" w:hanging="480"/>
      </w:pPr>
    </w:lvl>
    <w:lvl w:ilvl="3" w:tentative="0">
      <w:start w:val="1"/>
      <w:numFmt w:val="decimal"/>
      <w:lvlText w:val="%4."/>
      <w:lvlJc w:val="left"/>
      <w:pPr>
        <w:ind w:left="2431" w:hanging="480"/>
      </w:pPr>
    </w:lvl>
    <w:lvl w:ilvl="4" w:tentative="0">
      <w:start w:val="1"/>
      <w:numFmt w:val="ideographTraditional"/>
      <w:lvlText w:val="%5、"/>
      <w:lvlJc w:val="left"/>
      <w:pPr>
        <w:ind w:left="2911" w:hanging="480"/>
      </w:pPr>
    </w:lvl>
    <w:lvl w:ilvl="5" w:tentative="0">
      <w:start w:val="1"/>
      <w:numFmt w:val="lowerRoman"/>
      <w:lvlText w:val="%6."/>
      <w:lvlJc w:val="right"/>
      <w:pPr>
        <w:ind w:left="3391" w:hanging="480"/>
      </w:pPr>
    </w:lvl>
    <w:lvl w:ilvl="6" w:tentative="0">
      <w:start w:val="1"/>
      <w:numFmt w:val="decimal"/>
      <w:lvlText w:val="%7."/>
      <w:lvlJc w:val="left"/>
      <w:pPr>
        <w:ind w:left="3871" w:hanging="480"/>
      </w:pPr>
    </w:lvl>
    <w:lvl w:ilvl="7" w:tentative="0">
      <w:start w:val="1"/>
      <w:numFmt w:val="ideographTraditional"/>
      <w:lvlText w:val="%8、"/>
      <w:lvlJc w:val="left"/>
      <w:pPr>
        <w:ind w:left="4351" w:hanging="480"/>
      </w:pPr>
    </w:lvl>
    <w:lvl w:ilvl="8" w:tentative="0">
      <w:start w:val="1"/>
      <w:numFmt w:val="lowerRoman"/>
      <w:lvlText w:val="%9."/>
      <w:lvlJc w:val="right"/>
      <w:pPr>
        <w:ind w:left="4831" w:hanging="480"/>
      </w:pPr>
    </w:lvl>
  </w:abstractNum>
  <w:abstractNum w:abstractNumId="6">
    <w:nsid w:val="314E3DF3"/>
    <w:multiLevelType w:val="multilevel"/>
    <w:tmpl w:val="314E3DF3"/>
    <w:lvl w:ilvl="0" w:tentative="0">
      <w:start w:val="1"/>
      <w:numFmt w:val="decimal"/>
      <w:lvlText w:val="%1."/>
      <w:lvlJc w:val="left"/>
      <w:pPr>
        <w:tabs>
          <w:tab w:val="left" w:pos="871"/>
        </w:tabs>
        <w:ind w:left="871" w:hanging="360"/>
      </w:pPr>
      <w:rPr>
        <w:rFonts w:hint="default"/>
      </w:rPr>
    </w:lvl>
    <w:lvl w:ilvl="1" w:tentative="0">
      <w:start w:val="1"/>
      <w:numFmt w:val="ideographTraditional"/>
      <w:lvlText w:val="%2、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ideographTraditional"/>
      <w:lvlText w:val="%5、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ideographTraditional"/>
      <w:lvlText w:val="%8、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3C55A69"/>
    <w:multiLevelType w:val="multilevel"/>
    <w:tmpl w:val="63C55A6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ideographTraditional"/>
      <w:lvlText w:val="%2、"/>
      <w:lvlJc w:val="left"/>
      <w:pPr>
        <w:tabs>
          <w:tab w:val="left" w:pos="960"/>
        </w:tabs>
        <w:ind w:left="960" w:hanging="480"/>
      </w:pPr>
    </w:lvl>
    <w:lvl w:ilvl="2" w:tentative="0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</w:lvl>
    <w:lvl w:ilvl="3" w:tentative="0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</w:lvl>
    <w:lvl w:ilvl="4" w:tentative="0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 w:tentative="0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 w:tentative="0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 w:tentative="0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abstractNum w:abstractNumId="8">
    <w:nsid w:val="68414B4A"/>
    <w:multiLevelType w:val="multilevel"/>
    <w:tmpl w:val="68414B4A"/>
    <w:lvl w:ilvl="0" w:tentative="0">
      <w:start w:val="1"/>
      <w:numFmt w:val="decimal"/>
      <w:lvlText w:val="%1."/>
      <w:lvlJc w:val="left"/>
      <w:pPr>
        <w:tabs>
          <w:tab w:val="left" w:pos="871"/>
        </w:tabs>
        <w:ind w:left="871" w:hanging="360"/>
      </w:pPr>
      <w:rPr>
        <w:rFonts w:hint="default"/>
      </w:rPr>
    </w:lvl>
    <w:lvl w:ilvl="1" w:tentative="0">
      <w:start w:val="1"/>
      <w:numFmt w:val="ideographTraditional"/>
      <w:lvlText w:val="%2、"/>
      <w:lvlJc w:val="left"/>
      <w:pPr>
        <w:tabs>
          <w:tab w:val="left" w:pos="960"/>
        </w:tabs>
        <w:ind w:left="960" w:hanging="480"/>
      </w:pPr>
    </w:lvl>
    <w:lvl w:ilvl="2" w:tentative="0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</w:lvl>
    <w:lvl w:ilvl="3" w:tentative="0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</w:lvl>
    <w:lvl w:ilvl="4" w:tentative="0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 w:tentative="0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 w:tentative="0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 w:tentative="0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abstractNum w:abstractNumId="9">
    <w:nsid w:val="6BA86538"/>
    <w:multiLevelType w:val="multilevel"/>
    <w:tmpl w:val="6BA86538"/>
    <w:lvl w:ilvl="0" w:tentative="0">
      <w:start w:val="1"/>
      <w:numFmt w:val="decimal"/>
      <w:lvlText w:val="%1."/>
      <w:lvlJc w:val="left"/>
      <w:pPr>
        <w:tabs>
          <w:tab w:val="left" w:pos="871"/>
        </w:tabs>
        <w:ind w:left="871" w:hanging="360"/>
      </w:pPr>
      <w:rPr>
        <w:rFonts w:hint="default"/>
      </w:rPr>
    </w:lvl>
    <w:lvl w:ilvl="1" w:tentative="0">
      <w:start w:val="1"/>
      <w:numFmt w:val="ideographTraditional"/>
      <w:lvlText w:val="%2、"/>
      <w:lvlJc w:val="left"/>
      <w:pPr>
        <w:tabs>
          <w:tab w:val="left" w:pos="960"/>
        </w:tabs>
        <w:ind w:left="960" w:hanging="480"/>
      </w:pPr>
    </w:lvl>
    <w:lvl w:ilvl="2" w:tentative="0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</w:lvl>
    <w:lvl w:ilvl="3" w:tentative="0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</w:lvl>
    <w:lvl w:ilvl="4" w:tentative="0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 w:tentative="0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 w:tentative="0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 w:tentative="0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abstractNum w:abstractNumId="10">
    <w:nsid w:val="7C7558FC"/>
    <w:multiLevelType w:val="multilevel"/>
    <w:tmpl w:val="7C7558FC"/>
    <w:lvl w:ilvl="0" w:tentative="0">
      <w:start w:val="1"/>
      <w:numFmt w:val="decimal"/>
      <w:lvlText w:val="%1."/>
      <w:lvlJc w:val="left"/>
      <w:pPr>
        <w:tabs>
          <w:tab w:val="left" w:pos="871"/>
        </w:tabs>
        <w:ind w:left="871" w:hanging="360"/>
      </w:pPr>
      <w:rPr>
        <w:rFonts w:hint="default"/>
      </w:rPr>
    </w:lvl>
    <w:lvl w:ilvl="1" w:tentative="0">
      <w:start w:val="1"/>
      <w:numFmt w:val="ideographTraditional"/>
      <w:lvlText w:val="%2、"/>
      <w:lvlJc w:val="left"/>
      <w:pPr>
        <w:tabs>
          <w:tab w:val="left" w:pos="960"/>
        </w:tabs>
        <w:ind w:left="960" w:hanging="480"/>
      </w:pPr>
    </w:lvl>
    <w:lvl w:ilvl="2" w:tentative="0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</w:lvl>
    <w:lvl w:ilvl="3" w:tentative="0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</w:lvl>
    <w:lvl w:ilvl="4" w:tentative="0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 w:tentative="0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 w:tentative="0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 w:tentative="0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4"/>
  </w:num>
  <w:num w:numId="7">
    <w:abstractNumId w:val="8"/>
  </w:num>
  <w:num w:numId="8">
    <w:abstractNumId w:val="6"/>
  </w:num>
  <w:num w:numId="9">
    <w:abstractNumId w:val="1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BCC"/>
    <w:rsid w:val="00004B33"/>
    <w:rsid w:val="00004F83"/>
    <w:rsid w:val="00010195"/>
    <w:rsid w:val="00016D1E"/>
    <w:rsid w:val="00044EB8"/>
    <w:rsid w:val="000D5B7E"/>
    <w:rsid w:val="00103B9F"/>
    <w:rsid w:val="00115B71"/>
    <w:rsid w:val="0014115F"/>
    <w:rsid w:val="00180BA5"/>
    <w:rsid w:val="001C01EC"/>
    <w:rsid w:val="001C0275"/>
    <w:rsid w:val="002B5EB9"/>
    <w:rsid w:val="002D0751"/>
    <w:rsid w:val="002E043C"/>
    <w:rsid w:val="002E17F3"/>
    <w:rsid w:val="003136AB"/>
    <w:rsid w:val="004424C1"/>
    <w:rsid w:val="00451230"/>
    <w:rsid w:val="00451DF6"/>
    <w:rsid w:val="004613C3"/>
    <w:rsid w:val="004B1812"/>
    <w:rsid w:val="004D1B51"/>
    <w:rsid w:val="004F6DC1"/>
    <w:rsid w:val="00533548"/>
    <w:rsid w:val="005520B4"/>
    <w:rsid w:val="00555E99"/>
    <w:rsid w:val="006C1882"/>
    <w:rsid w:val="006F6B23"/>
    <w:rsid w:val="00735E12"/>
    <w:rsid w:val="00785960"/>
    <w:rsid w:val="007A3F83"/>
    <w:rsid w:val="007D773C"/>
    <w:rsid w:val="007F5C70"/>
    <w:rsid w:val="00824977"/>
    <w:rsid w:val="008407B0"/>
    <w:rsid w:val="00853EF8"/>
    <w:rsid w:val="008547DD"/>
    <w:rsid w:val="008C3804"/>
    <w:rsid w:val="008C6B80"/>
    <w:rsid w:val="009205CF"/>
    <w:rsid w:val="009474C6"/>
    <w:rsid w:val="0096377B"/>
    <w:rsid w:val="0096494D"/>
    <w:rsid w:val="00A24EA5"/>
    <w:rsid w:val="00A24ECE"/>
    <w:rsid w:val="00A25EE3"/>
    <w:rsid w:val="00A4115D"/>
    <w:rsid w:val="00A43778"/>
    <w:rsid w:val="00A823E2"/>
    <w:rsid w:val="00B23AF1"/>
    <w:rsid w:val="00B27E90"/>
    <w:rsid w:val="00B31ADE"/>
    <w:rsid w:val="00B32618"/>
    <w:rsid w:val="00B6618B"/>
    <w:rsid w:val="00B75145"/>
    <w:rsid w:val="00BB1219"/>
    <w:rsid w:val="00BC1D05"/>
    <w:rsid w:val="00C0067B"/>
    <w:rsid w:val="00C037DA"/>
    <w:rsid w:val="00C16F1B"/>
    <w:rsid w:val="00C403EA"/>
    <w:rsid w:val="00C52C0A"/>
    <w:rsid w:val="00CA792B"/>
    <w:rsid w:val="00CE0AB0"/>
    <w:rsid w:val="00CF2E66"/>
    <w:rsid w:val="00D0626C"/>
    <w:rsid w:val="00D24DE4"/>
    <w:rsid w:val="00D339B3"/>
    <w:rsid w:val="00D91AE9"/>
    <w:rsid w:val="00DE3B23"/>
    <w:rsid w:val="00DE5276"/>
    <w:rsid w:val="00DF61E1"/>
    <w:rsid w:val="00DF64C8"/>
    <w:rsid w:val="00E3470C"/>
    <w:rsid w:val="00E46EA2"/>
    <w:rsid w:val="00E602F8"/>
    <w:rsid w:val="00EE31F5"/>
    <w:rsid w:val="00F10DDA"/>
    <w:rsid w:val="00F50F2C"/>
    <w:rsid w:val="00F53800"/>
    <w:rsid w:val="00F70079"/>
    <w:rsid w:val="00F7051F"/>
    <w:rsid w:val="00F75AD0"/>
    <w:rsid w:val="00FE0BCC"/>
    <w:rsid w:val="00FF67C1"/>
    <w:rsid w:val="07CF3C9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新細明體" w:cs="Times New Roman"/>
      <w:kern w:val="2"/>
      <w:sz w:val="24"/>
      <w:szCs w:val="24"/>
      <w:lang w:val="en-US" w:eastAsia="zh-TW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5">
    <w:name w:val="Balloon Text"/>
    <w:basedOn w:val="1"/>
    <w:link w:val="11"/>
    <w:unhideWhenUsed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table" w:styleId="8">
    <w:name w:val="Table Grid"/>
    <w:basedOn w:val="7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頁首 字元"/>
    <w:basedOn w:val="6"/>
    <w:link w:val="2"/>
    <w:uiPriority w:val="99"/>
    <w:rPr>
      <w:rFonts w:ascii="Times New Roman" w:hAnsi="Times New Roman" w:eastAsia="新細明體" w:cs="Times New Roman"/>
      <w:sz w:val="20"/>
      <w:szCs w:val="20"/>
    </w:rPr>
  </w:style>
  <w:style w:type="character" w:customStyle="1" w:styleId="10">
    <w:name w:val="頁尾 字元"/>
    <w:basedOn w:val="6"/>
    <w:link w:val="3"/>
    <w:qFormat/>
    <w:uiPriority w:val="99"/>
    <w:rPr>
      <w:rFonts w:ascii="Times New Roman" w:hAnsi="Times New Roman" w:eastAsia="新細明體" w:cs="Times New Roman"/>
      <w:sz w:val="20"/>
      <w:szCs w:val="20"/>
    </w:rPr>
  </w:style>
  <w:style w:type="character" w:customStyle="1" w:styleId="11">
    <w:name w:val="註解方塊文字 字元"/>
    <w:basedOn w:val="6"/>
    <w:link w:val="5"/>
    <w:semiHidden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customStyle="1" w:styleId="12">
    <w:name w:val="Revision"/>
    <w:hidden/>
    <w:semiHidden/>
    <w:uiPriority w:val="99"/>
    <w:rPr>
      <w:rFonts w:ascii="Times New Roman" w:hAnsi="Times New Roman" w:eastAsia="新細明體" w:cs="Times New Roman"/>
      <w:kern w:val="2"/>
      <w:sz w:val="24"/>
      <w:szCs w:val="24"/>
      <w:lang w:val="en-US" w:eastAsia="zh-TW" w:bidi="ar-SA"/>
    </w:rPr>
  </w:style>
  <w:style w:type="paragraph" w:customStyle="1" w:styleId="13">
    <w:name w:val="List Paragraph"/>
    <w:basedOn w:val="1"/>
    <w:qFormat/>
    <w:uiPriority w:val="34"/>
    <w:pPr>
      <w:ind w:left="480" w:left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873531-ACBE-42C8-B293-F0B0785847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640</Words>
  <Characters>3654</Characters>
  <Lines>30</Lines>
  <Paragraphs>8</Paragraphs>
  <TotalTime>0</TotalTime>
  <ScaleCrop>false</ScaleCrop>
  <LinksUpToDate>false</LinksUpToDate>
  <CharactersWithSpaces>4286</CharactersWithSpaces>
  <Application>WPS Office_10.8.0.6003_F1E327BC-269C-435d-A152-05C5408002CA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2024-12-20T04:47:00Z</dcterms:created>
  <dc:creator>ASUS</dc:creator>
  <cp:lastModifiedBy>User</cp:lastModifiedBy>
  <cp:lastPrinted>2015-03-16T06:17:00Z</cp:lastPrinted>
  <dcterms:modified xsi:type="dcterms:W3CDTF">2026-07-31T08:12:39Z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