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40"/>
        <w:jc w:val="center"/>
        <w:rPr/>
      </w:pPr>
      <w:r>
        <w:rPr>
          <w:b/>
          <w:bCs/>
          <w:sz w:val="32"/>
          <w:szCs w:val="32"/>
        </w:rPr>
        <w:t>國立中正大學課程大綱</w:t>
      </w:r>
    </w:p>
    <w:p>
      <w:pPr>
        <w:pStyle w:val="Normal"/>
        <w:spacing w:before="0" w:after="160"/>
        <w:jc w:val="center"/>
        <w:rPr/>
      </w:pPr>
      <w:r>
        <w:rPr>
          <w:b/>
          <w:bCs/>
          <w:sz w:val="24"/>
          <w:szCs w:val="24"/>
        </w:rPr>
        <w:t>National Chung Cheng University Syllabus</w:t>
      </w:r>
    </w:p>
    <w:tbl>
      <w:tblPr>
        <w:tblW w:w="9746" w:type="dxa"/>
        <w:jc w:val="left"/>
        <w:tblInd w:w="0" w:type="dxa"/>
        <w:tblLayout w:type="fixed"/>
        <w:tblCellMar>
          <w:top w:w="60" w:type="dxa"/>
          <w:left w:w="100" w:type="dxa"/>
          <w:bottom w:w="60" w:type="dxa"/>
          <w:right w:w="100" w:type="dxa"/>
        </w:tblCellMar>
        <w:tblLook w:firstRow="1" w:noVBand="1" w:lastRow="0" w:firstColumn="1" w:lastColumn="0" w:noHBand="0" w:val="04a0"/>
      </w:tblPr>
      <w:tblGrid>
        <w:gridCol w:w="2300"/>
        <w:gridCol w:w="2499"/>
        <w:gridCol w:w="2401"/>
        <w:gridCol w:w="2545"/>
      </w:tblGrid>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課號</w:t>
            </w:r>
          </w:p>
          <w:p>
            <w:pPr>
              <w:pStyle w:val="Normal"/>
              <w:widowControl w:val="false"/>
              <w:spacing w:lineRule="auto" w:line="264" w:before="20" w:after="20"/>
              <w:rPr/>
            </w:pPr>
            <w:r>
              <w:rPr>
                <w:sz w:val="16"/>
                <w:szCs w:val="16"/>
              </w:rPr>
              <w:t>course code</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3203058</w:t>
            </w:r>
          </w:p>
        </w:tc>
        <w:tc>
          <w:tcPr>
            <w:tcW w:w="240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全英文授課</w:t>
            </w:r>
            <w:r>
              <w:rPr>
                <w:sz w:val="16"/>
                <w:szCs w:val="16"/>
              </w:rPr>
              <w:t xml:space="preserve"> </w:t>
            </w:r>
            <w:r>
              <w:rPr>
                <w:sz w:val="16"/>
                <w:szCs w:val="16"/>
              </w:rPr>
              <w:t>EMI</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是　■否</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課程類別</w:t>
            </w:r>
          </w:p>
          <w:p>
            <w:pPr>
              <w:pStyle w:val="Normal"/>
              <w:widowControl w:val="false"/>
              <w:spacing w:lineRule="auto" w:line="264" w:before="20" w:after="20"/>
              <w:rPr/>
            </w:pPr>
            <w:r>
              <w:rPr>
                <w:sz w:val="16"/>
                <w:szCs w:val="16"/>
              </w:rPr>
              <w:t>course type</w:t>
            </w:r>
          </w:p>
        </w:tc>
        <w:tc>
          <w:tcPr>
            <w:tcW w:w="744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人文關懷課程　□競賽專題課程　■問題導向課程</w:t>
            </w:r>
          </w:p>
          <w:p>
            <w:pPr>
              <w:pStyle w:val="Normal"/>
              <w:widowControl w:val="false"/>
              <w:spacing w:lineRule="auto" w:line="264" w:before="20" w:after="20"/>
              <w:rPr/>
            </w:pPr>
            <w:r>
              <w:rPr/>
              <w:t>■</w:t>
            </w:r>
            <w:r>
              <w:rPr/>
              <w:t>專題導向課程　□總整課程　□實作課程</w:t>
            </w:r>
          </w:p>
          <w:p>
            <w:pPr>
              <w:pStyle w:val="Normal"/>
              <w:widowControl w:val="false"/>
              <w:spacing w:lineRule="auto" w:line="264" w:before="20" w:after="20"/>
              <w:rPr/>
            </w:pPr>
            <w:r>
              <w:rPr/>
              <w:t>□</w:t>
            </w:r>
            <w:r>
              <w:rPr/>
              <w:t>實習　□其他</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課程名稱（中文）</w:t>
            </w:r>
          </w:p>
          <w:p>
            <w:pPr>
              <w:pStyle w:val="Normal"/>
              <w:widowControl w:val="false"/>
              <w:spacing w:lineRule="auto" w:line="264" w:before="20" w:after="20"/>
              <w:rPr/>
            </w:pPr>
            <w:r>
              <w:rPr>
                <w:sz w:val="16"/>
                <w:szCs w:val="16"/>
              </w:rPr>
              <w:t>Chinese course name</w:t>
            </w:r>
          </w:p>
        </w:tc>
        <w:tc>
          <w:tcPr>
            <w:tcW w:w="744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高齡社會導論</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課程名稱（英文）</w:t>
            </w:r>
          </w:p>
          <w:p>
            <w:pPr>
              <w:pStyle w:val="Normal"/>
              <w:widowControl w:val="false"/>
              <w:spacing w:lineRule="auto" w:line="264" w:before="20" w:after="20"/>
              <w:rPr/>
            </w:pPr>
            <w:r>
              <w:rPr>
                <w:sz w:val="16"/>
                <w:szCs w:val="16"/>
              </w:rPr>
              <w:t>English course name</w:t>
            </w:r>
          </w:p>
        </w:tc>
        <w:tc>
          <w:tcPr>
            <w:tcW w:w="744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Introduction of Aged Society</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學年</w:t>
            </w:r>
            <w:r>
              <w:rPr>
                <w:b/>
                <w:bCs/>
              </w:rPr>
              <w:t>/</w:t>
            </w:r>
            <w:r>
              <w:rPr>
                <w:b/>
                <w:bCs/>
              </w:rPr>
              <w:t>學期</w:t>
            </w:r>
          </w:p>
          <w:p>
            <w:pPr>
              <w:pStyle w:val="Normal"/>
              <w:widowControl w:val="false"/>
              <w:spacing w:lineRule="auto" w:line="264" w:before="20" w:after="20"/>
              <w:rPr/>
            </w:pPr>
            <w:r>
              <w:rPr>
                <w:sz w:val="16"/>
                <w:szCs w:val="16"/>
              </w:rPr>
              <w:t>academic year /semester</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115/1</w:t>
            </w:r>
          </w:p>
        </w:tc>
        <w:tc>
          <w:tcPr>
            <w:tcW w:w="240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學分</w:t>
            </w:r>
            <w:r>
              <w:rPr>
                <w:sz w:val="16"/>
                <w:szCs w:val="16"/>
              </w:rPr>
              <w:t xml:space="preserve"> </w:t>
            </w:r>
            <w:r>
              <w:rPr>
                <w:sz w:val="16"/>
                <w:szCs w:val="16"/>
              </w:rPr>
              <w:t>credits</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3</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學系（所）</w:t>
            </w:r>
          </w:p>
          <w:p>
            <w:pPr>
              <w:pStyle w:val="Normal"/>
              <w:widowControl w:val="false"/>
              <w:spacing w:lineRule="auto" w:line="264" w:before="20" w:after="20"/>
              <w:rPr/>
            </w:pPr>
            <w:r>
              <w:rPr>
                <w:sz w:val="16"/>
                <w:szCs w:val="16"/>
              </w:rPr>
              <w:t>department</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勞工關係學系</w:t>
            </w:r>
          </w:p>
        </w:tc>
        <w:tc>
          <w:tcPr>
            <w:tcW w:w="240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必選修</w:t>
            </w:r>
            <w:r>
              <w:rPr>
                <w:sz w:val="14"/>
                <w:szCs w:val="14"/>
              </w:rPr>
              <w:t xml:space="preserve"> </w:t>
            </w:r>
            <w:r>
              <w:rPr>
                <w:sz w:val="14"/>
                <w:szCs w:val="14"/>
              </w:rPr>
              <w:t>required/selected</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必修　■選修</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上課時間</w:t>
            </w:r>
          </w:p>
          <w:p>
            <w:pPr>
              <w:pStyle w:val="Normal"/>
              <w:widowControl w:val="false"/>
              <w:spacing w:lineRule="auto" w:line="264" w:before="20" w:after="20"/>
              <w:rPr/>
            </w:pPr>
            <w:r>
              <w:rPr>
                <w:sz w:val="16"/>
                <w:szCs w:val="16"/>
              </w:rPr>
              <w:t>class hours</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星期三上午 </w:t>
            </w:r>
            <w:r>
              <w:rPr/>
              <w:t>10-13</w:t>
            </w:r>
          </w:p>
        </w:tc>
        <w:tc>
          <w:tcPr>
            <w:tcW w:w="240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上課地點</w:t>
            </w:r>
            <w:r>
              <w:rPr>
                <w:sz w:val="16"/>
                <w:szCs w:val="16"/>
              </w:rPr>
              <w:t xml:space="preserve"> </w:t>
            </w:r>
            <w:r>
              <w:rPr>
                <w:sz w:val="16"/>
                <w:szCs w:val="16"/>
              </w:rPr>
              <w:t>classroom</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社科院一館 </w:t>
            </w:r>
            <w:r>
              <w:rPr/>
              <w:t xml:space="preserve">326 </w:t>
            </w:r>
            <w:r>
              <w:rPr/>
              <w:t>教室</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教師</w:t>
            </w:r>
          </w:p>
          <w:p>
            <w:pPr>
              <w:pStyle w:val="Normal"/>
              <w:widowControl w:val="false"/>
              <w:spacing w:lineRule="auto" w:line="264" w:before="20" w:after="20"/>
              <w:rPr/>
            </w:pPr>
            <w:r>
              <w:rPr>
                <w:sz w:val="16"/>
                <w:szCs w:val="16"/>
              </w:rPr>
              <w:t>instructor</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周玟琪教授</w:t>
            </w:r>
          </w:p>
        </w:tc>
        <w:tc>
          <w:tcPr>
            <w:tcW w:w="240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 xml:space="preserve">教師 </w:t>
            </w:r>
            <w:r>
              <w:rPr>
                <w:b/>
                <w:bCs/>
              </w:rPr>
              <w:t>email</w:t>
            </w:r>
            <w:r>
              <w:rPr>
                <w:sz w:val="14"/>
                <w:szCs w:val="14"/>
              </w:rPr>
              <w:t xml:space="preserve"> Instructor's email</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sz w:val="18"/>
                <w:szCs w:val="18"/>
              </w:rPr>
              <w:t>chouwenchi2012@gmail.com</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助教</w:t>
            </w:r>
          </w:p>
          <w:p>
            <w:pPr>
              <w:pStyle w:val="Normal"/>
              <w:widowControl w:val="false"/>
              <w:spacing w:lineRule="auto" w:line="264" w:before="20" w:after="20"/>
              <w:rPr/>
            </w:pPr>
            <w:r>
              <w:rPr>
                <w:sz w:val="16"/>
                <w:szCs w:val="16"/>
              </w:rPr>
              <w:t>teaching assistant</w:t>
            </w:r>
          </w:p>
        </w:tc>
        <w:tc>
          <w:tcPr>
            <w:tcW w:w="24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廖妍榛</w:t>
            </w:r>
          </w:p>
        </w:tc>
        <w:tc>
          <w:tcPr>
            <w:tcW w:w="2401"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 xml:space="preserve">助教 </w:t>
            </w:r>
            <w:r>
              <w:rPr>
                <w:b/>
                <w:bCs/>
              </w:rPr>
              <w:t>email</w:t>
            </w:r>
            <w:r>
              <w:rPr>
                <w:sz w:val="14"/>
                <w:szCs w:val="14"/>
              </w:rPr>
              <w:t xml:space="preserve"> TA's email</w:t>
            </w:r>
          </w:p>
        </w:tc>
        <w:tc>
          <w:tcPr>
            <w:tcW w:w="25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410710002@alum.ccu.edu.tw</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先修科目或先備能力</w:t>
            </w:r>
          </w:p>
          <w:p>
            <w:pPr>
              <w:pStyle w:val="Normal"/>
              <w:widowControl w:val="false"/>
              <w:spacing w:lineRule="auto" w:line="264" w:before="20" w:after="20"/>
              <w:rPr/>
            </w:pPr>
            <w:r>
              <w:rPr>
                <w:sz w:val="16"/>
                <w:szCs w:val="16"/>
              </w:rPr>
              <w:t>prerequisites</w:t>
            </w:r>
          </w:p>
        </w:tc>
        <w:tc>
          <w:tcPr>
            <w:tcW w:w="744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樂於學習與成長的心！</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課程概述</w:t>
            </w:r>
          </w:p>
          <w:p>
            <w:pPr>
              <w:pStyle w:val="Normal"/>
              <w:widowControl w:val="false"/>
              <w:spacing w:lineRule="auto" w:line="264" w:before="20" w:after="20"/>
              <w:rPr/>
            </w:pPr>
            <w:r>
              <w:rPr>
                <w:sz w:val="16"/>
                <w:szCs w:val="16"/>
              </w:rPr>
              <w:t>course descriptions</w:t>
            </w:r>
          </w:p>
        </w:tc>
        <w:tc>
          <w:tcPr>
            <w:tcW w:w="744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20" w:after="20"/>
              <w:jc w:val="both"/>
              <w:rPr/>
            </w:pPr>
            <w:r>
              <w:rPr/>
              <w:t>台灣在</w:t>
            </w:r>
            <w:r>
              <w:rPr/>
              <w:t>2025</w:t>
            </w:r>
            <w:r>
              <w:rPr/>
              <w:t>年已正式進入超高齡社會，</w:t>
            </w:r>
            <w:r>
              <w:rPr/>
              <w:t>65</w:t>
            </w:r>
            <w:r>
              <w:rPr/>
              <w:t>歲以上人口數超過</w:t>
            </w:r>
            <w:r>
              <w:rPr/>
              <w:t>20%</w:t>
            </w:r>
            <w:r>
              <w:rPr/>
              <w:t>，將突破</w:t>
            </w:r>
            <w:r>
              <w:rPr/>
              <w:t>450</w:t>
            </w:r>
            <w:r>
              <w:rPr/>
              <w:t>萬人。</w:t>
            </w:r>
            <w:r>
              <w:rPr/>
              <w:t>2020</w:t>
            </w:r>
            <w:r>
              <w:rPr/>
              <w:t>年</w:t>
            </w:r>
            <w:r>
              <w:rPr/>
              <w:t>12</w:t>
            </w:r>
            <w:r>
              <w:rPr/>
              <w:t>月</w:t>
            </w:r>
            <w:r>
              <w:rPr/>
              <w:t>2</w:t>
            </w:r>
            <w:r>
              <w:rPr/>
              <w:t>日政府正式公布</w:t>
            </w:r>
            <w:r>
              <w:rPr/>
              <w:t>2019</w:t>
            </w:r>
            <w:r>
              <w:rPr/>
              <w:t>年</w:t>
            </w:r>
            <w:r>
              <w:rPr/>
              <w:t>11</w:t>
            </w:r>
            <w:r>
              <w:rPr/>
              <w:t>月</w:t>
            </w:r>
            <w:r>
              <w:rPr/>
              <w:t>15</w:t>
            </w:r>
            <w:r>
              <w:rPr/>
              <w:t>日於立法院通過的「中高齡者及高齡者就業促進法」，象徵台灣的高齡人才運用將越來越重要，因此這門課將先全面帶領同學們認識高齡社會的人口趨勢與挑戰議題，並進而從退休制度、退休後繼續雇用、人才運用、世代合作、職務再設計、家庭照顧離職與照顧安排假、老人經濟安全、退休後多元與在地就業機會開發等面向，帶領同學們瞑解超高齡社會所帶來的新需求與因應之道。</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學習目標</w:t>
            </w:r>
          </w:p>
          <w:p>
            <w:pPr>
              <w:pStyle w:val="Normal"/>
              <w:widowControl w:val="false"/>
              <w:spacing w:lineRule="auto" w:line="264" w:before="20" w:after="20"/>
              <w:rPr/>
            </w:pPr>
            <w:r>
              <w:rPr>
                <w:sz w:val="16"/>
                <w:szCs w:val="16"/>
              </w:rPr>
              <w:t>learning objectives</w:t>
            </w:r>
          </w:p>
        </w:tc>
        <w:tc>
          <w:tcPr>
            <w:tcW w:w="744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20" w:after="20"/>
              <w:jc w:val="both"/>
              <w:rPr/>
            </w:pPr>
            <w:r>
              <w:rPr/>
              <w:t xml:space="preserve">1. </w:t>
            </w:r>
            <w:r>
              <w:rPr/>
              <w:t>希望協助學生認識與掌握台灣重大人口變遷趨勢、挑戰與機會</w:t>
            </w:r>
          </w:p>
          <w:p>
            <w:pPr>
              <w:pStyle w:val="Normal"/>
              <w:widowControl w:val="false"/>
              <w:spacing w:lineRule="auto" w:line="264" w:before="20" w:after="20"/>
              <w:jc w:val="both"/>
              <w:rPr/>
            </w:pPr>
            <w:r>
              <w:rPr/>
              <w:t xml:space="preserve">2. </w:t>
            </w:r>
            <w:r>
              <w:rPr/>
              <w:t>希望協助學生認識高齡社會所帶來的全面性衡擊與影響</w:t>
            </w:r>
          </w:p>
          <w:p>
            <w:pPr>
              <w:pStyle w:val="Normal"/>
              <w:widowControl w:val="false"/>
              <w:spacing w:lineRule="auto" w:line="264" w:before="20" w:after="20"/>
              <w:jc w:val="both"/>
              <w:rPr/>
            </w:pPr>
            <w:r>
              <w:rPr/>
              <w:t xml:space="preserve">3. </w:t>
            </w:r>
            <w:r>
              <w:rPr/>
              <w:t>希望協助學生認識工作人口減少與產業快速變遷的時代，重新建構與創</w:t>
            </w:r>
          </w:p>
          <w:p>
            <w:pPr>
              <w:pStyle w:val="Normal"/>
              <w:widowControl w:val="false"/>
              <w:spacing w:lineRule="auto" w:line="264" w:before="20" w:after="20"/>
              <w:ind w:firstLine="220"/>
              <w:jc w:val="both"/>
              <w:rPr/>
            </w:pPr>
            <w:r>
              <w:rPr/>
              <w:t>造勞動新價值</w:t>
            </w:r>
          </w:p>
          <w:p>
            <w:pPr>
              <w:pStyle w:val="Normal"/>
              <w:widowControl w:val="false"/>
              <w:spacing w:lineRule="auto" w:line="264" w:before="20" w:after="20"/>
              <w:jc w:val="both"/>
              <w:rPr/>
            </w:pPr>
            <w:r>
              <w:rPr/>
              <w:t xml:space="preserve">4. </w:t>
            </w:r>
            <w:r>
              <w:rPr/>
              <w:t>帶領同學一同透過影劇、電影、閱讀、體驗與分享的學習方法認識高齡</w:t>
            </w:r>
          </w:p>
          <w:p>
            <w:pPr>
              <w:pStyle w:val="Normal"/>
              <w:widowControl w:val="false"/>
              <w:spacing w:lineRule="auto" w:line="264" w:before="20" w:after="20"/>
              <w:ind w:firstLine="220"/>
              <w:jc w:val="both"/>
              <w:rPr/>
            </w:pPr>
            <w:r>
              <w:rPr/>
              <w:t>社會</w:t>
            </w:r>
          </w:p>
          <w:p>
            <w:pPr>
              <w:pStyle w:val="Normal"/>
              <w:widowControl w:val="false"/>
              <w:spacing w:lineRule="auto" w:line="264" w:before="20" w:after="20"/>
              <w:ind w:left="220" w:hanging="220"/>
              <w:jc w:val="both"/>
              <w:rPr/>
            </w:pPr>
            <w:r>
              <w:rPr/>
              <w:t xml:space="preserve">5. </w:t>
            </w:r>
            <w:r>
              <w:rPr/>
              <w:t>帶領同學一起透過行動研究的精神，創意思考如何透過創造性勞動為自己與社會帶來更美好的未來。</w:t>
            </w:r>
          </w:p>
        </w:tc>
      </w:tr>
    </w:tbl>
    <w:p>
      <w:pPr>
        <w:pStyle w:val="Normal"/>
        <w:rPr/>
      </w:pPr>
      <w:r>
        <w:rPr/>
      </w:r>
    </w:p>
    <w:tbl>
      <w:tblPr>
        <w:tblW w:w="9746" w:type="dxa"/>
        <w:jc w:val="left"/>
        <w:tblInd w:w="0" w:type="dxa"/>
        <w:tblLayout w:type="fixed"/>
        <w:tblCellMar>
          <w:top w:w="60" w:type="dxa"/>
          <w:left w:w="100" w:type="dxa"/>
          <w:bottom w:w="60" w:type="dxa"/>
          <w:right w:w="100" w:type="dxa"/>
        </w:tblCellMar>
        <w:tblLook w:firstRow="1" w:noVBand="1" w:lastRow="0" w:firstColumn="1" w:lastColumn="0" w:noHBand="0" w:val="04a0"/>
      </w:tblPr>
      <w:tblGrid>
        <w:gridCol w:w="2300"/>
        <w:gridCol w:w="7445"/>
      </w:tblGrid>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教科書及參考書</w:t>
            </w:r>
          </w:p>
          <w:p>
            <w:pPr>
              <w:pStyle w:val="Normal"/>
              <w:widowControl w:val="false"/>
              <w:spacing w:lineRule="auto" w:line="264" w:before="20" w:after="20"/>
              <w:rPr/>
            </w:pPr>
            <w:r>
              <w:rPr>
                <w:sz w:val="16"/>
                <w:szCs w:val="16"/>
              </w:rPr>
              <w:t>textbooks and references</w:t>
            </w:r>
          </w:p>
        </w:tc>
        <w:tc>
          <w:tcPr>
            <w:tcW w:w="7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自編</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教學要點概述  教材編選</w:t>
            </w:r>
          </w:p>
          <w:p>
            <w:pPr>
              <w:pStyle w:val="Normal"/>
              <w:widowControl w:val="false"/>
              <w:spacing w:lineRule="auto" w:line="264" w:before="20" w:after="20"/>
              <w:rPr/>
            </w:pPr>
            <w:r>
              <w:rPr>
                <w:sz w:val="16"/>
                <w:szCs w:val="16"/>
              </w:rPr>
              <w:t>teaching materials</w:t>
            </w:r>
          </w:p>
        </w:tc>
        <w:tc>
          <w:tcPr>
            <w:tcW w:w="7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自製簡報</w:t>
            </w:r>
            <w:r>
              <w:rPr/>
              <w:t>(ppt)</w:t>
            </w:r>
            <w:r>
              <w:rPr/>
              <w:t>　■課程講義　□自編教科書</w:t>
            </w:r>
          </w:p>
          <w:p>
            <w:pPr>
              <w:pStyle w:val="Normal"/>
              <w:widowControl w:val="false"/>
              <w:spacing w:lineRule="auto" w:line="264" w:before="20" w:after="20"/>
              <w:rPr/>
            </w:pPr>
            <w:r>
              <w:rPr/>
              <w:t>□</w:t>
            </w:r>
            <w:r>
              <w:rPr/>
              <w:t>教學程式　□自製教學影片　□其他</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教學方法</w:t>
            </w:r>
          </w:p>
          <w:p>
            <w:pPr>
              <w:pStyle w:val="Normal"/>
              <w:widowControl w:val="false"/>
              <w:spacing w:lineRule="auto" w:line="264" w:before="20" w:after="20"/>
              <w:rPr/>
            </w:pPr>
            <w:r>
              <w:rPr>
                <w:sz w:val="16"/>
                <w:szCs w:val="16"/>
              </w:rPr>
              <w:t>teaching methods</w:t>
            </w:r>
          </w:p>
        </w:tc>
        <w:tc>
          <w:tcPr>
            <w:tcW w:w="7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講述　■小組討論　■學生口頭報告　■問題導向學習</w:t>
            </w:r>
          </w:p>
          <w:p>
            <w:pPr>
              <w:pStyle w:val="Normal"/>
              <w:widowControl w:val="false"/>
              <w:spacing w:lineRule="auto" w:line="264" w:before="20" w:after="20"/>
              <w:rPr/>
            </w:pPr>
            <w:r>
              <w:rPr/>
              <w:t>□</w:t>
            </w:r>
            <w:r>
              <w:rPr/>
              <w:t>個案研究　□其他</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評量工具</w:t>
            </w:r>
          </w:p>
          <w:p>
            <w:pPr>
              <w:pStyle w:val="Normal"/>
              <w:widowControl w:val="false"/>
              <w:spacing w:lineRule="auto" w:line="264" w:before="20" w:after="20"/>
              <w:rPr/>
            </w:pPr>
            <w:r>
              <w:rPr>
                <w:sz w:val="16"/>
                <w:szCs w:val="16"/>
              </w:rPr>
              <w:t>Evaluation tools</w:t>
            </w:r>
          </w:p>
        </w:tc>
        <w:tc>
          <w:tcPr>
            <w:tcW w:w="7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期中考　□期末考　□隨堂測驗　□隨堂作業</w:t>
            </w:r>
          </w:p>
          <w:p>
            <w:pPr>
              <w:pStyle w:val="Normal"/>
              <w:widowControl w:val="false"/>
              <w:spacing w:lineRule="auto" w:line="264" w:before="20" w:after="20"/>
              <w:rPr/>
            </w:pPr>
            <w:r>
              <w:rPr/>
              <w:t>■</w:t>
            </w:r>
            <w:r>
              <w:rPr/>
              <w:t>課後作業　■期中報告　□期末報告　■專題報告</w:t>
            </w:r>
          </w:p>
          <w:p>
            <w:pPr>
              <w:pStyle w:val="Normal"/>
              <w:widowControl w:val="false"/>
              <w:spacing w:lineRule="auto" w:line="264" w:before="20" w:after="20"/>
              <w:rPr/>
            </w:pPr>
            <w:r>
              <w:rPr/>
              <w:t>□</w:t>
            </w:r>
            <w:r>
              <w:rPr/>
              <w:t>評量尺規　□其他</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教學資源</w:t>
            </w:r>
          </w:p>
          <w:p>
            <w:pPr>
              <w:pStyle w:val="Normal"/>
              <w:widowControl w:val="false"/>
              <w:spacing w:lineRule="auto" w:line="264" w:before="20" w:after="20"/>
              <w:rPr/>
            </w:pPr>
            <w:r>
              <w:rPr>
                <w:sz w:val="16"/>
                <w:szCs w:val="16"/>
              </w:rPr>
              <w:t>teaching resources</w:t>
            </w:r>
          </w:p>
        </w:tc>
        <w:tc>
          <w:tcPr>
            <w:tcW w:w="7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w:t>
            </w:r>
            <w:r>
              <w:rPr/>
              <w:t>課程網站　■教材電子檔供下載　□實習網站</w:t>
            </w:r>
          </w:p>
        </w:tc>
      </w:tr>
      <w:tr>
        <w:trPr>
          <w:cantSplit w:val="true"/>
        </w:trPr>
        <w:tc>
          <w:tcPr>
            <w:tcW w:w="23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rPr/>
            </w:pPr>
            <w:r>
              <w:rPr>
                <w:b/>
                <w:bCs/>
              </w:rPr>
              <w:t>教師相關訊息</w:t>
            </w:r>
          </w:p>
          <w:p>
            <w:pPr>
              <w:pStyle w:val="Normal"/>
              <w:widowControl w:val="false"/>
              <w:spacing w:lineRule="auto" w:line="264" w:before="20" w:after="20"/>
              <w:rPr/>
            </w:pPr>
            <w:r>
              <w:rPr>
                <w:sz w:val="16"/>
                <w:szCs w:val="16"/>
              </w:rPr>
              <w:t>instructor's information</w:t>
            </w:r>
          </w:p>
        </w:tc>
        <w:tc>
          <w:tcPr>
            <w:tcW w:w="7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任教於本校逾</w:t>
            </w:r>
            <w:r>
              <w:rPr/>
              <w:t>26</w:t>
            </w:r>
            <w:r>
              <w:rPr/>
              <w:t>年，詳見系上網站，歡迎一起來學習與成長！</w:t>
            </w:r>
          </w:p>
        </w:tc>
      </w:tr>
    </w:tbl>
    <w:p>
      <w:pPr>
        <w:pStyle w:val="Normal"/>
        <w:rPr/>
      </w:pPr>
      <w:r>
        <w:rPr/>
      </w:r>
    </w:p>
    <w:tbl>
      <w:tblPr>
        <w:tblW w:w="9746" w:type="dxa"/>
        <w:jc w:val="left"/>
        <w:tblInd w:w="0" w:type="dxa"/>
        <w:tblLayout w:type="fixed"/>
        <w:tblCellMar>
          <w:top w:w="60" w:type="dxa"/>
          <w:left w:w="100" w:type="dxa"/>
          <w:bottom w:w="60" w:type="dxa"/>
          <w:right w:w="100" w:type="dxa"/>
        </w:tblCellMar>
        <w:tblLook w:firstRow="1" w:noVBand="1" w:lastRow="0" w:firstColumn="1" w:lastColumn="0" w:noHBand="0" w:val="04a0"/>
      </w:tblPr>
      <w:tblGrid>
        <w:gridCol w:w="1300"/>
        <w:gridCol w:w="8445"/>
      </w:tblGrid>
      <w:tr>
        <w:trPr>
          <w:tblHeader w:val="true"/>
          <w:cantSplit w:val="true"/>
        </w:trPr>
        <w:tc>
          <w:tcPr>
            <w:tcW w:w="9745" w:type="dxa"/>
            <w:gridSpan w:val="2"/>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264" w:before="20" w:after="20"/>
              <w:jc w:val="center"/>
              <w:rPr/>
            </w:pPr>
            <w:r>
              <w:rPr>
                <w:b/>
                <w:bCs/>
              </w:rPr>
              <w:t>每週課程內容</w:t>
            </w:r>
            <w:r>
              <w:rPr>
                <w:b/>
                <w:bCs/>
                <w:sz w:val="16"/>
                <w:szCs w:val="16"/>
              </w:rPr>
              <w:t xml:space="preserve"> </w:t>
            </w:r>
            <w:r>
              <w:rPr>
                <w:b/>
                <w:bCs/>
                <w:sz w:val="16"/>
                <w:szCs w:val="16"/>
              </w:rPr>
              <w:t>weekly scheduled contents</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師生交流學習內容與教學方法</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2</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高齡社會總論（台灣與國際人口趨勢：超高齡社會</w:t>
            </w:r>
            <w:r>
              <w:rPr/>
              <w:t>/</w:t>
            </w:r>
            <w:r>
              <w:rPr/>
              <w:t>永續發展</w:t>
            </w:r>
            <w:r>
              <w:rPr/>
              <w:t>/AI</w:t>
            </w:r>
            <w:r>
              <w:rPr/>
              <w:t>影響</w:t>
            </w:r>
            <w:r>
              <w:rPr/>
              <w:t>/</w:t>
            </w:r>
            <w:r>
              <w:rPr/>
              <w:t>尊嚴勞動）</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3</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高齡社會總論（台灣與國際人口趨勢：超高齡社會</w:t>
            </w:r>
            <w:r>
              <w:rPr/>
              <w:t>/</w:t>
            </w:r>
            <w:r>
              <w:rPr/>
              <w:t>永續發展</w:t>
            </w:r>
            <w:r>
              <w:rPr/>
              <w:t xml:space="preserve">/AI </w:t>
            </w:r>
            <w:r>
              <w:rPr/>
              <w:t>影響</w:t>
            </w:r>
            <w:r>
              <w:rPr/>
              <w:t>/</w:t>
            </w:r>
            <w:r>
              <w:rPr/>
              <w:t>尊嚴勞動）</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4</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幸福勞動與世代合作內涵與趨勢</w:t>
            </w:r>
            <w:r>
              <w:rPr/>
              <w:t xml:space="preserve">: </w:t>
            </w:r>
            <w:r>
              <w:rPr/>
              <w:t xml:space="preserve">年齡歧視到融合 </w:t>
            </w:r>
            <w:r>
              <w:rPr/>
              <w:t>Age-Friendly and Age-Free</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5</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國際高齡社會與就業議題的重點趨勢與國內缺工問題分析</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6</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國際高齡社會與就業議題的重點議題總覽與盤點</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7</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台灣中高齡者與高齡者勞動現況與相關問題、立法過程與政策規劃</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8</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台灣高齡社會、就業趨勢與老年經濟安全現況分析與討論</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9</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中高齡者與高齡者就業</w:t>
            </w:r>
            <w:r>
              <w:rPr/>
              <w:t>/</w:t>
            </w:r>
            <w:r>
              <w:rPr/>
              <w:t>青年就業</w:t>
            </w:r>
            <w:r>
              <w:rPr/>
              <w:t>/</w:t>
            </w:r>
            <w:r>
              <w:rPr/>
              <w:t>世代合作</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10</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中高齡者與高齡者就業</w:t>
            </w:r>
            <w:r>
              <w:rPr/>
              <w:t>/</w:t>
            </w:r>
            <w:r>
              <w:rPr/>
              <w:t>青年就業</w:t>
            </w:r>
            <w:r>
              <w:rPr/>
              <w:t>/</w:t>
            </w:r>
            <w:r>
              <w:rPr/>
              <w:t>世代合作</w:t>
            </w:r>
            <w:r>
              <w:rPr/>
              <w:t>(</w:t>
            </w:r>
            <w:r>
              <w:rPr/>
              <w:t>含期中進度報告</w:t>
            </w:r>
            <w:r>
              <w:rPr/>
              <w:t>)</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11</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老人福利法等相關立法的問題與未來發展</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12</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照顧不離職議題與職務再設計的理念與運用</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13</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退休新定義、退休準備與規劃議題</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14</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銀髮人才在地就業與多元培力計劃與地方創生與勞動合作社等議題</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15</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期末專題成果報告一</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16</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期末專題成果報告二</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17</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內容設計將與修課同學討論後決定</w:t>
            </w:r>
          </w:p>
        </w:tc>
      </w:tr>
      <w:tr>
        <w:trPr>
          <w:cantSplit w:val="true"/>
        </w:trPr>
        <w:tc>
          <w:tcPr>
            <w:tcW w:w="1300" w:type="dxa"/>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jc w:val="center"/>
              <w:rPr/>
            </w:pPr>
            <w:r>
              <w:rPr>
                <w:b/>
                <w:bCs/>
              </w:rPr>
              <w:t>Week 18</w:t>
            </w:r>
          </w:p>
        </w:tc>
        <w:tc>
          <w:tcPr>
            <w:tcW w:w="8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內容設計將與修課同學討論後決定</w:t>
            </w:r>
          </w:p>
        </w:tc>
      </w:tr>
    </w:tbl>
    <w:p>
      <w:pPr>
        <w:pStyle w:val="Normal"/>
        <w:spacing w:before="200" w:after="40"/>
        <w:rPr/>
      </w:pPr>
      <w:r>
        <w:rPr>
          <w:b/>
          <w:bCs/>
          <w:sz w:val="24"/>
          <w:szCs w:val="24"/>
        </w:rPr>
        <w:t>核心能力</w:t>
      </w:r>
      <w:r>
        <w:rPr>
          <w:b/>
          <w:bCs/>
          <w:sz w:val="16"/>
          <w:szCs w:val="16"/>
        </w:rPr>
        <w:t xml:space="preserve">  </w:t>
      </w:r>
      <w:r>
        <w:rPr>
          <w:b/>
          <w:bCs/>
          <w:sz w:val="16"/>
          <w:szCs w:val="16"/>
        </w:rPr>
        <w:t>core competencies</w:t>
      </w:r>
    </w:p>
    <w:tbl>
      <w:tblPr>
        <w:tblW w:w="9746" w:type="dxa"/>
        <w:jc w:val="left"/>
        <w:tblInd w:w="0" w:type="dxa"/>
        <w:tblLayout w:type="fixed"/>
        <w:tblCellMar>
          <w:top w:w="60" w:type="dxa"/>
          <w:left w:w="100" w:type="dxa"/>
          <w:bottom w:w="60" w:type="dxa"/>
          <w:right w:w="100" w:type="dxa"/>
        </w:tblCellMar>
        <w:tblLook w:firstRow="1" w:noVBand="1" w:lastRow="0" w:firstColumn="1" w:lastColumn="0" w:noHBand="0" w:val="04a0"/>
      </w:tblPr>
      <w:tblGrid>
        <w:gridCol w:w="5746"/>
        <w:gridCol w:w="800"/>
        <w:gridCol w:w="799"/>
        <w:gridCol w:w="800"/>
        <w:gridCol w:w="800"/>
        <w:gridCol w:w="800"/>
      </w:tblGrid>
      <w:tr>
        <w:trPr>
          <w:cantSplit w:val="true"/>
        </w:trPr>
        <w:tc>
          <w:tcPr>
            <w:tcW w:w="5746" w:type="dxa"/>
            <w:vMerge w:val="restart"/>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264" w:before="20" w:after="20"/>
              <w:jc w:val="center"/>
              <w:rPr/>
            </w:pPr>
            <w:r>
              <w:rPr>
                <w:b/>
                <w:bCs/>
              </w:rPr>
              <w:t>核心能力</w:t>
            </w:r>
          </w:p>
          <w:p>
            <w:pPr>
              <w:pStyle w:val="Normal"/>
              <w:widowControl w:val="false"/>
              <w:spacing w:lineRule="auto" w:line="264" w:before="20" w:after="20"/>
              <w:jc w:val="center"/>
              <w:rPr/>
            </w:pPr>
            <w:r>
              <w:rPr>
                <w:b/>
                <w:bCs/>
                <w:sz w:val="16"/>
                <w:szCs w:val="16"/>
              </w:rPr>
              <w:t>Core competency</w:t>
            </w:r>
          </w:p>
        </w:tc>
        <w:tc>
          <w:tcPr>
            <w:tcW w:w="3999" w:type="dxa"/>
            <w:gridSpan w:val="5"/>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264" w:before="20" w:after="20"/>
              <w:jc w:val="center"/>
              <w:rPr/>
            </w:pPr>
            <w:r>
              <w:rPr>
                <w:b/>
                <w:bCs/>
              </w:rPr>
              <w:t>本課程與核心能力關聯強度</w:t>
            </w:r>
          </w:p>
          <w:p>
            <w:pPr>
              <w:pStyle w:val="Normal"/>
              <w:widowControl w:val="false"/>
              <w:spacing w:lineRule="auto" w:line="264" w:before="20" w:after="20"/>
              <w:jc w:val="center"/>
              <w:rPr/>
            </w:pPr>
            <w:r>
              <w:rPr>
                <w:b/>
                <w:bCs/>
                <w:sz w:val="14"/>
                <w:szCs w:val="14"/>
              </w:rPr>
              <w:t>Degrees of related to core competencies</w:t>
            </w:r>
          </w:p>
        </w:tc>
      </w:tr>
      <w:tr>
        <w:trPr>
          <w:cantSplit w:val="true"/>
        </w:trPr>
        <w:tc>
          <w:tcPr>
            <w:tcW w:w="5746" w:type="dxa"/>
            <w:vMerge w:val="continue"/>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rPr/>
            </w:pPr>
            <w:r>
              <w:rPr/>
            </w:r>
          </w:p>
        </w:tc>
        <w:tc>
          <w:tcPr>
            <w:tcW w:w="8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jc w:val="center"/>
              <w:rPr/>
            </w:pPr>
            <w:r>
              <w:rPr>
                <w:b/>
                <w:bCs/>
              </w:rPr>
              <w:t>1</w:t>
            </w:r>
          </w:p>
        </w:tc>
        <w:tc>
          <w:tcPr>
            <w:tcW w:w="79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jc w:val="center"/>
              <w:rPr/>
            </w:pPr>
            <w:r>
              <w:rPr>
                <w:b/>
                <w:bCs/>
              </w:rPr>
              <w:t>2</w:t>
            </w:r>
          </w:p>
        </w:tc>
        <w:tc>
          <w:tcPr>
            <w:tcW w:w="8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jc w:val="center"/>
              <w:rPr/>
            </w:pPr>
            <w:r>
              <w:rPr>
                <w:b/>
                <w:bCs/>
              </w:rPr>
              <w:t>3</w:t>
            </w:r>
          </w:p>
        </w:tc>
        <w:tc>
          <w:tcPr>
            <w:tcW w:w="8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jc w:val="center"/>
              <w:rPr/>
            </w:pPr>
            <w:r>
              <w:rPr>
                <w:b/>
                <w:bCs/>
              </w:rPr>
              <w:t>4</w:t>
            </w:r>
          </w:p>
        </w:tc>
        <w:tc>
          <w:tcPr>
            <w:tcW w:w="800"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64" w:before="20" w:after="20"/>
              <w:jc w:val="center"/>
              <w:rPr/>
            </w:pPr>
            <w:r>
              <w:rPr>
                <w:b/>
                <w:bCs/>
              </w:rPr>
              <w:t>5</w:t>
            </w:r>
          </w:p>
        </w:tc>
      </w:tr>
      <w:tr>
        <w:trPr>
          <w:cantSplit w:val="true"/>
        </w:trPr>
        <w:tc>
          <w:tcPr>
            <w:tcW w:w="9745" w:type="dxa"/>
            <w:gridSpan w:val="6"/>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rPr/>
            </w:pPr>
            <w:r>
              <w:rPr>
                <w:b/>
                <w:bCs/>
              </w:rPr>
              <w:t>專業能力</w:t>
            </w:r>
            <w:r>
              <w:rPr>
                <w:sz w:val="16"/>
                <w:szCs w:val="16"/>
              </w:rPr>
              <w:t xml:space="preserve">  </w:t>
            </w:r>
            <w:r>
              <w:rPr>
                <w:sz w:val="16"/>
                <w:szCs w:val="16"/>
              </w:rPr>
              <w:t>Specific competency</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具備對國內外勞工之跨領域專業知識整合與應用之能力。</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具備蒙集資訊、使用資訊及撰寫專業論文之研究能力。</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兼具不同層次「勞工關係與政策」或「人力資源」問題探討與處理之能力。</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具備瞑解「勞工關係與政策」或「人力資源」變革及趨勢之能力。</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具備創新思考及全球化觀點之能力。</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9745" w:type="dxa"/>
            <w:gridSpan w:val="6"/>
            <w:tcBorders>
              <w:top w:val="single" w:sz="4" w:space="0" w:color="000000"/>
              <w:left w:val="single" w:sz="4" w:space="0" w:color="000000"/>
              <w:bottom w:val="single" w:sz="4" w:space="0" w:color="000000"/>
              <w:right w:val="single" w:sz="4" w:space="0" w:color="000000"/>
            </w:tcBorders>
            <w:shd w:color="auto" w:fill="F2F2F2" w:val="clear"/>
            <w:vAlign w:val="center"/>
          </w:tcPr>
          <w:p>
            <w:pPr>
              <w:pStyle w:val="Normal"/>
              <w:widowControl w:val="false"/>
              <w:spacing w:lineRule="auto" w:line="264" w:before="20" w:after="20"/>
              <w:rPr/>
            </w:pPr>
            <w:r>
              <w:rPr>
                <w:b/>
                <w:bCs/>
              </w:rPr>
              <w:t>共通能力</w:t>
            </w:r>
            <w:r>
              <w:rPr>
                <w:sz w:val="16"/>
                <w:szCs w:val="16"/>
              </w:rPr>
              <w:t xml:space="preserve">  </w:t>
            </w:r>
            <w:r>
              <w:rPr>
                <w:sz w:val="16"/>
                <w:szCs w:val="16"/>
              </w:rPr>
              <w:t>General Competence</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共通能力 </w:t>
            </w:r>
            <w:r>
              <w:rPr/>
              <w:t>1</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共通能力 </w:t>
            </w:r>
            <w:r>
              <w:rPr/>
              <w:t>2</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共通能力 </w:t>
            </w:r>
            <w:r>
              <w:rPr/>
              <w:t>3</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共通能力 </w:t>
            </w:r>
            <w:r>
              <w:rPr/>
              <w:t>4</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r>
        <w:trPr>
          <w:cantSplit w:val="true"/>
        </w:trPr>
        <w:tc>
          <w:tcPr>
            <w:tcW w:w="5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rPr/>
            </w:pPr>
            <w:r>
              <w:rPr/>
              <w:t xml:space="preserve">共通能力 </w:t>
            </w:r>
            <w:r>
              <w:rPr/>
              <w:t>5</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20" w:after="20"/>
              <w:jc w:val="center"/>
              <w:rPr/>
            </w:pPr>
            <w:r>
              <w:rPr>
                <w:sz w:val="24"/>
                <w:szCs w:val="24"/>
              </w:rPr>
              <w:t>●</w:t>
            </w:r>
          </w:p>
        </w:tc>
      </w:tr>
    </w:tbl>
    <w:p>
      <w:pPr>
        <w:pStyle w:val="Normal"/>
        <w:spacing w:before="80" w:after="0"/>
        <w:rPr/>
      </w:pPr>
      <w:r>
        <w:rPr>
          <w:sz w:val="18"/>
          <w:szCs w:val="18"/>
        </w:rPr>
        <w:t>註：關聯強度以五點量表標示，</w:t>
      </w:r>
      <w:r>
        <w:rPr>
          <w:sz w:val="18"/>
          <w:szCs w:val="18"/>
        </w:rPr>
        <w:t xml:space="preserve">1 </w:t>
      </w:r>
      <w:r>
        <w:rPr>
          <w:sz w:val="18"/>
          <w:szCs w:val="18"/>
        </w:rPr>
        <w:t>表示沒有關聯，</w:t>
      </w:r>
      <w:r>
        <w:rPr>
          <w:sz w:val="18"/>
          <w:szCs w:val="18"/>
        </w:rPr>
        <w:t xml:space="preserve">5 </w:t>
      </w:r>
      <w:r>
        <w:rPr>
          <w:sz w:val="18"/>
          <w:szCs w:val="18"/>
        </w:rPr>
        <w:t>表示非常有關聯。</w:t>
      </w:r>
    </w:p>
    <w:sectPr>
      <w:type w:val="nextPage"/>
      <w:pgSz w:w="11906" w:h="16838"/>
      <w:pgMar w:left="1080" w:right="1080" w:gutter="0" w:header="0" w:top="1080" w:footer="0" w:bottom="108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61"/>
  <w:defaultTabStop w:val="48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標楷體" w:cs="Times New Roman"/>
        <w:sz w:val="22"/>
        <w:szCs w:val="22"/>
        <w:lang w:val="en-US" w:eastAsia="zh-TW"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Times New Roman" w:hAnsi="Times New Roman" w:eastAsia="標楷體" w:cs="Times New Roman"/>
      <w:color w:val="auto"/>
      <w:kern w:val="0"/>
      <w:sz w:val="22"/>
      <w:szCs w:val="22"/>
      <w:lang w:val="en-US" w:eastAsia="zh-TW" w:bidi="ar-SA"/>
    </w:rPr>
  </w:style>
  <w:style w:type="paragraph" w:styleId="1">
    <w:name w:val="Heading 1"/>
    <w:uiPriority w:val="9"/>
    <w:qFormat/>
    <w:pPr>
      <w:widowControl/>
      <w:bidi w:val="0"/>
      <w:spacing w:before="0" w:after="0"/>
      <w:jc w:val="left"/>
      <w:outlineLvl w:val="0"/>
    </w:pPr>
    <w:rPr>
      <w:rFonts w:ascii="Times New Roman" w:hAnsi="Times New Roman" w:eastAsia="標楷體" w:cs="Times New Roman"/>
      <w:color w:val="2E74B5"/>
      <w:kern w:val="0"/>
      <w:sz w:val="32"/>
      <w:szCs w:val="32"/>
      <w:lang w:val="en-US" w:eastAsia="zh-TW" w:bidi="ar-SA"/>
    </w:rPr>
  </w:style>
  <w:style w:type="paragraph" w:styleId="2">
    <w:name w:val="Heading 2"/>
    <w:uiPriority w:val="9"/>
    <w:semiHidden/>
    <w:unhideWhenUsed/>
    <w:qFormat/>
    <w:pPr>
      <w:widowControl/>
      <w:bidi w:val="0"/>
      <w:spacing w:before="0" w:after="0"/>
      <w:jc w:val="left"/>
      <w:outlineLvl w:val="1"/>
    </w:pPr>
    <w:rPr>
      <w:rFonts w:ascii="Times New Roman" w:hAnsi="Times New Roman" w:eastAsia="標楷體" w:cs="Times New Roman"/>
      <w:color w:val="2E74B5"/>
      <w:kern w:val="0"/>
      <w:sz w:val="26"/>
      <w:szCs w:val="26"/>
      <w:lang w:val="en-US" w:eastAsia="zh-TW" w:bidi="ar-SA"/>
    </w:rPr>
  </w:style>
  <w:style w:type="paragraph" w:styleId="3">
    <w:name w:val="Heading 3"/>
    <w:uiPriority w:val="9"/>
    <w:semiHidden/>
    <w:unhideWhenUsed/>
    <w:qFormat/>
    <w:pPr>
      <w:widowControl/>
      <w:bidi w:val="0"/>
      <w:spacing w:before="0" w:after="0"/>
      <w:jc w:val="left"/>
      <w:outlineLvl w:val="2"/>
    </w:pPr>
    <w:rPr>
      <w:rFonts w:ascii="Times New Roman" w:hAnsi="Times New Roman" w:eastAsia="標楷體" w:cs="Times New Roman"/>
      <w:color w:val="1F4D78"/>
      <w:kern w:val="0"/>
      <w:sz w:val="24"/>
      <w:szCs w:val="24"/>
      <w:lang w:val="en-US" w:eastAsia="zh-TW" w:bidi="ar-SA"/>
    </w:rPr>
  </w:style>
  <w:style w:type="paragraph" w:styleId="4">
    <w:name w:val="Heading 4"/>
    <w:uiPriority w:val="9"/>
    <w:semiHidden/>
    <w:unhideWhenUsed/>
    <w:qFormat/>
    <w:pPr>
      <w:widowControl/>
      <w:bidi w:val="0"/>
      <w:spacing w:before="0" w:after="0"/>
      <w:jc w:val="left"/>
      <w:outlineLvl w:val="3"/>
    </w:pPr>
    <w:rPr>
      <w:rFonts w:ascii="Times New Roman" w:hAnsi="Times New Roman" w:eastAsia="標楷體" w:cs="Times New Roman"/>
      <w:i/>
      <w:iCs/>
      <w:color w:val="2E74B5"/>
      <w:kern w:val="0"/>
      <w:sz w:val="22"/>
      <w:szCs w:val="22"/>
      <w:lang w:val="en-US" w:eastAsia="zh-TW" w:bidi="ar-SA"/>
    </w:rPr>
  </w:style>
  <w:style w:type="paragraph" w:styleId="5">
    <w:name w:val="Heading 5"/>
    <w:uiPriority w:val="9"/>
    <w:semiHidden/>
    <w:unhideWhenUsed/>
    <w:qFormat/>
    <w:pPr>
      <w:widowControl/>
      <w:bidi w:val="0"/>
      <w:spacing w:before="0" w:after="0"/>
      <w:jc w:val="left"/>
      <w:outlineLvl w:val="4"/>
    </w:pPr>
    <w:rPr>
      <w:rFonts w:ascii="Times New Roman" w:hAnsi="Times New Roman" w:eastAsia="標楷體" w:cs="Times New Roman"/>
      <w:color w:val="2E74B5"/>
      <w:kern w:val="0"/>
      <w:sz w:val="22"/>
      <w:szCs w:val="22"/>
      <w:lang w:val="en-US" w:eastAsia="zh-TW" w:bidi="ar-SA"/>
    </w:rPr>
  </w:style>
  <w:style w:type="paragraph" w:styleId="6">
    <w:name w:val="Heading 6"/>
    <w:uiPriority w:val="9"/>
    <w:semiHidden/>
    <w:unhideWhenUsed/>
    <w:qFormat/>
    <w:pPr>
      <w:widowControl/>
      <w:bidi w:val="0"/>
      <w:spacing w:before="0" w:after="0"/>
      <w:jc w:val="left"/>
      <w:outlineLvl w:val="5"/>
    </w:pPr>
    <w:rPr>
      <w:rFonts w:ascii="Times New Roman" w:hAnsi="Times New Roman" w:eastAsia="標楷體" w:cs="Times New Roman"/>
      <w:color w:val="1F4D78"/>
      <w:kern w:val="0"/>
      <w:sz w:val="22"/>
      <w:szCs w:val="22"/>
      <w:lang w:val="en-US" w:eastAsia="zh-TW" w:bidi="ar-SA"/>
    </w:rPr>
  </w:style>
  <w:style w:type="character" w:styleId="DefaultParagraphFont" w:default="1">
    <w:name w:val="Default Paragraph Font"/>
    <w:uiPriority w:val="1"/>
    <w:semiHidden/>
    <w:unhideWhenUsed/>
    <w:qFormat/>
    <w:rPr/>
  </w:style>
  <w:style w:type="character" w:styleId="Style8">
    <w:name w:val="網際網路連結"/>
    <w:uiPriority w:val="99"/>
    <w:unhideWhenUsed/>
    <w:rPr>
      <w:color w:val="0563C1"/>
      <w:u w:val="single"/>
    </w:rPr>
  </w:style>
  <w:style w:type="character" w:styleId="Style9">
    <w:name w:val="註腳錨定"/>
    <w:rPr>
      <w:vertAlign w:val="superscript"/>
    </w:rPr>
  </w:style>
  <w:style w:type="character" w:styleId="FootnoteCharacters">
    <w:name w:val="Footnote Characters"/>
    <w:uiPriority w:val="99"/>
    <w:semiHidden/>
    <w:unhideWhenUsed/>
    <w:qFormat/>
    <w:rPr>
      <w:vertAlign w:val="superscript"/>
    </w:rPr>
  </w:style>
  <w:style w:type="character" w:styleId="Style10" w:customStyle="1">
    <w:name w:val="註腳文字 字元"/>
    <w:link w:val="a7"/>
    <w:uiPriority w:val="99"/>
    <w:semiHidden/>
    <w:unhideWhenUsed/>
    <w:qFormat/>
    <w:rPr>
      <w:sz w:val="20"/>
      <w:szCs w:val="20"/>
    </w:rPr>
  </w:style>
  <w:style w:type="character" w:styleId="Style11">
    <w:name w:val="尾註錨定"/>
    <w:rPr>
      <w:vertAlign w:val="superscript"/>
    </w:rPr>
  </w:style>
  <w:style w:type="character" w:styleId="EndnoteCharacters">
    <w:name w:val="Endnote Characters"/>
    <w:uiPriority w:val="99"/>
    <w:semiHidden/>
    <w:unhideWhenUsed/>
    <w:qFormat/>
    <w:rPr>
      <w:vertAlign w:val="superscript"/>
    </w:rPr>
  </w:style>
  <w:style w:type="character" w:styleId="Style12" w:customStyle="1">
    <w:name w:val="章節附註文字 字元"/>
    <w:link w:val="aa"/>
    <w:uiPriority w:val="99"/>
    <w:semiHidden/>
    <w:unhideWhenUsed/>
    <w:qFormat/>
    <w:rPr>
      <w:sz w:val="20"/>
      <w:szCs w:val="20"/>
    </w:rPr>
  </w:style>
  <w:style w:type="paragraph" w:styleId="Style13">
    <w:name w:val="標題"/>
    <w:basedOn w:val="Normal"/>
    <w:next w:val="Style14"/>
    <w:qFormat/>
    <w:pPr>
      <w:keepNext w:val="true"/>
      <w:spacing w:before="240" w:after="120"/>
    </w:pPr>
    <w:rPr>
      <w:rFonts w:ascii="Liberation Sans" w:hAnsi="Liberation Sans" w:eastAsia="Noto Sans TC" w:cs="Lucida Sans"/>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Lucida Sans"/>
    </w:rPr>
  </w:style>
  <w:style w:type="paragraph" w:styleId="Style16">
    <w:name w:val="Caption"/>
    <w:basedOn w:val="Normal"/>
    <w:qFormat/>
    <w:pPr>
      <w:suppressLineNumbers/>
      <w:spacing w:before="120" w:after="120"/>
    </w:pPr>
    <w:rPr>
      <w:rFonts w:cs="Lucida Sans"/>
      <w:i/>
      <w:iCs/>
      <w:sz w:val="24"/>
      <w:szCs w:val="24"/>
    </w:rPr>
  </w:style>
  <w:style w:type="paragraph" w:styleId="Style17">
    <w:name w:val="索引"/>
    <w:basedOn w:val="Normal"/>
    <w:qFormat/>
    <w:pPr>
      <w:suppressLineNumbers/>
    </w:pPr>
    <w:rPr>
      <w:rFonts w:cs="Lucida Sans"/>
      <w:lang w:val="zxx" w:eastAsia="zxx" w:bidi="zxx"/>
    </w:rPr>
  </w:style>
  <w:style w:type="paragraph" w:styleId="Style18">
    <w:name w:val="Title"/>
    <w:uiPriority w:val="10"/>
    <w:qFormat/>
    <w:pPr>
      <w:widowControl/>
      <w:bidi w:val="0"/>
      <w:spacing w:before="0" w:after="0"/>
      <w:jc w:val="left"/>
    </w:pPr>
    <w:rPr>
      <w:rFonts w:ascii="Times New Roman" w:hAnsi="Times New Roman" w:eastAsia="標楷體" w:cs="Times New Roman"/>
      <w:color w:val="auto"/>
      <w:kern w:val="0"/>
      <w:sz w:val="56"/>
      <w:szCs w:val="56"/>
      <w:lang w:val="en-US" w:eastAsia="zh-TW" w:bidi="ar-SA"/>
    </w:rPr>
  </w:style>
  <w:style w:type="paragraph" w:styleId="11" w:customStyle="1">
    <w:name w:val="強調粗體1"/>
    <w:qFormat/>
    <w:pPr>
      <w:widowControl/>
      <w:bidi w:val="0"/>
      <w:spacing w:before="0" w:after="0"/>
      <w:jc w:val="left"/>
    </w:pPr>
    <w:rPr>
      <w:rFonts w:ascii="Times New Roman" w:hAnsi="Times New Roman" w:eastAsia="標楷體" w:cs="Times New Roman"/>
      <w:b/>
      <w:bCs/>
      <w:color w:val="auto"/>
      <w:kern w:val="0"/>
      <w:sz w:val="22"/>
      <w:szCs w:val="22"/>
      <w:lang w:val="en-US" w:eastAsia="zh-TW" w:bidi="ar-SA"/>
    </w:rPr>
  </w:style>
  <w:style w:type="paragraph" w:styleId="ListParagraph">
    <w:name w:val="List Paragraph"/>
    <w:qFormat/>
    <w:pPr>
      <w:widowControl/>
      <w:bidi w:val="0"/>
      <w:spacing w:before="0" w:after="0"/>
      <w:jc w:val="left"/>
    </w:pPr>
    <w:rPr>
      <w:rFonts w:ascii="Times New Roman" w:hAnsi="Times New Roman" w:eastAsia="標楷體" w:cs="Times New Roman"/>
      <w:color w:val="auto"/>
      <w:kern w:val="0"/>
      <w:sz w:val="22"/>
      <w:szCs w:val="22"/>
      <w:lang w:val="en-US" w:eastAsia="zh-TW" w:bidi="ar-SA"/>
    </w:rPr>
  </w:style>
  <w:style w:type="paragraph" w:styleId="Style19">
    <w:name w:val="Footnote Text"/>
    <w:link w:val="a8"/>
    <w:uiPriority w:val="99"/>
    <w:semiHidden/>
    <w:unhideWhenUsed/>
    <w:pPr>
      <w:widowControl/>
      <w:bidi w:val="0"/>
      <w:spacing w:before="0" w:after="0"/>
      <w:jc w:val="left"/>
    </w:pPr>
    <w:rPr>
      <w:rFonts w:ascii="Times New Roman" w:hAnsi="Times New Roman" w:eastAsia="標楷體" w:cs="Times New Roman"/>
      <w:color w:val="auto"/>
      <w:kern w:val="0"/>
      <w:sz w:val="20"/>
      <w:szCs w:val="20"/>
      <w:lang w:val="en-US" w:eastAsia="zh-TW" w:bidi="ar-SA"/>
    </w:rPr>
  </w:style>
  <w:style w:type="paragraph" w:styleId="Style20">
    <w:name w:val="Endnote Text"/>
    <w:link w:val="ab"/>
    <w:uiPriority w:val="99"/>
    <w:semiHidden/>
    <w:unhideWhenUsed/>
    <w:pPr>
      <w:widowControl/>
      <w:bidi w:val="0"/>
      <w:spacing w:before="0" w:after="0"/>
      <w:jc w:val="left"/>
    </w:pPr>
    <w:rPr>
      <w:rFonts w:ascii="Times New Roman" w:hAnsi="Times New Roman" w:eastAsia="標楷體" w:cs="Times New Roman"/>
      <w:color w:val="auto"/>
      <w:kern w:val="0"/>
      <w:sz w:val="20"/>
      <w:szCs w:val="20"/>
      <w:lang w:val="en-US" w:eastAsia="zh-TW"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LibreOffice/7.2.1.2$Windows_X86_64 LibreOffice_project/87b77fad49947c1441b67c559c339af8f3517e22</Application>
  <AppVersion>15.0000</AppVersion>
  <Pages>3</Pages>
  <Words>1498</Words>
  <Characters>2137</Characters>
  <CharactersWithSpaces>2255</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2026-05-26T06:34:00Z</dcterms:created>
  <dc:creator>Un-named</dc:creator>
  <dc:description/>
  <dc:language>zh-TW</dc:language>
  <cp:lastModifiedBy/>
  <dcterms:modified xsi:type="dcterms:W3CDTF">2026-09-09T21:27:45Z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