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2893A" w14:textId="77777777" w:rsidR="00FB719A" w:rsidRDefault="00000000">
      <w:pPr>
        <w:spacing w:after="60" w:line="276" w:lineRule="auto"/>
        <w:jc w:val="center"/>
        <w:rPr>
          <w:rFonts w:ascii="標楷體-繁" w:eastAsia="標楷體-繁" w:hAnsi="標楷體-繁" w:cs="標楷體-繁"/>
        </w:rPr>
      </w:pPr>
      <w:r>
        <w:rPr>
          <w:rFonts w:ascii="標楷體-繁" w:eastAsia="標楷體-繁" w:hAnsi="標楷體-繁" w:cs="標楷體-繁"/>
          <w:color w:val="595959"/>
          <w:sz w:val="20"/>
          <w:szCs w:val="20"/>
        </w:rPr>
        <w:t xml:space="preserve"> </w:t>
      </w:r>
    </w:p>
    <w:p w14:paraId="57375DEB" w14:textId="77777777" w:rsidR="00FB719A" w:rsidRDefault="00000000">
      <w:pPr>
        <w:spacing w:after="60" w:line="276" w:lineRule="auto"/>
        <w:jc w:val="center"/>
        <w:rPr>
          <w:rFonts w:ascii="標楷體-繁" w:eastAsia="標楷體-繁" w:hAnsi="標楷體-繁" w:cs="標楷體-繁"/>
        </w:rPr>
      </w:pPr>
      <w:r>
        <w:rPr>
          <w:rFonts w:ascii="標楷體-繁" w:eastAsia="標楷體-繁" w:hAnsi="標楷體-繁" w:cs="標楷體-繁"/>
          <w:b/>
          <w:bCs/>
          <w:color w:val="1F3864"/>
          <w:sz w:val="30"/>
          <w:szCs w:val="30"/>
        </w:rPr>
        <w:t>災難治理與社會福利整備：戰爭、危機與制度回應</w:t>
      </w:r>
    </w:p>
    <w:p w14:paraId="021AF723" w14:textId="77777777" w:rsidR="00FB719A" w:rsidRDefault="00000000">
      <w:pPr>
        <w:spacing w:line="276" w:lineRule="auto"/>
        <w:jc w:val="center"/>
        <w:rPr>
          <w:rFonts w:ascii="標楷體-繁" w:eastAsia="標楷體-繁" w:hAnsi="標楷體-繁" w:cs="標楷體-繁"/>
        </w:rPr>
      </w:pPr>
      <w:r>
        <w:rPr>
          <w:rFonts w:ascii="標楷體-繁" w:eastAsia="標楷體-繁" w:hAnsi="標楷體-繁" w:cs="標楷體-繁"/>
          <w:i/>
          <w:iCs/>
          <w:color w:val="595959"/>
        </w:rPr>
        <w:t>Disaster Governance and Social Welfare Preparedness:</w:t>
      </w:r>
    </w:p>
    <w:p w14:paraId="5F87A95E" w14:textId="77777777" w:rsidR="00FB719A" w:rsidRDefault="00000000">
      <w:pPr>
        <w:spacing w:after="240" w:line="276" w:lineRule="auto"/>
        <w:jc w:val="center"/>
        <w:rPr>
          <w:rFonts w:ascii="標楷體-繁" w:eastAsia="標楷體-繁" w:hAnsi="標楷體-繁" w:cs="標楷體-繁"/>
        </w:rPr>
      </w:pPr>
      <w:r>
        <w:rPr>
          <w:rFonts w:ascii="標楷體-繁" w:eastAsia="標楷體-繁" w:hAnsi="標楷體-繁" w:cs="標楷體-繁"/>
          <w:i/>
          <w:iCs/>
          <w:color w:val="595959"/>
        </w:rPr>
        <w:t>War, Crisis, and Institutional Responses</w:t>
      </w:r>
    </w:p>
    <w:tbl>
      <w:tblPr>
        <w:tblStyle w:val="ad"/>
        <w:tblW w:w="9000" w:type="dxa"/>
        <w:tblInd w:w="0" w:type="dxa"/>
        <w:tblBorders>
          <w:top w:val="single" w:sz="4" w:space="0" w:color="BFBFBF"/>
          <w:bottom w:val="single" w:sz="4" w:space="0" w:color="BFBFBF"/>
          <w:insideH w:val="single" w:sz="4" w:space="0" w:color="BFBFBF"/>
        </w:tblBorders>
        <w:tblLayout w:type="fixed"/>
        <w:tblLook w:val="0400" w:firstRow="0" w:lastRow="0" w:firstColumn="0" w:lastColumn="0" w:noHBand="0" w:noVBand="1"/>
      </w:tblPr>
      <w:tblGrid>
        <w:gridCol w:w="1500"/>
        <w:gridCol w:w="3000"/>
        <w:gridCol w:w="1500"/>
        <w:gridCol w:w="3000"/>
      </w:tblGrid>
      <w:tr w:rsidR="00FB719A" w14:paraId="0FE08B48" w14:textId="77777777">
        <w:tc>
          <w:tcPr>
            <w:tcW w:w="1500" w:type="dxa"/>
            <w:tcMar>
              <w:top w:w="80" w:type="dxa"/>
              <w:left w:w="120" w:type="dxa"/>
              <w:bottom w:w="80" w:type="dxa"/>
              <w:right w:w="120" w:type="dxa"/>
            </w:tcMar>
          </w:tcPr>
          <w:p w14:paraId="72796911"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授課教師</w:t>
            </w:r>
          </w:p>
        </w:tc>
        <w:tc>
          <w:tcPr>
            <w:tcW w:w="3000" w:type="dxa"/>
            <w:tcMar>
              <w:top w:w="80" w:type="dxa"/>
              <w:left w:w="120" w:type="dxa"/>
              <w:bottom w:w="80" w:type="dxa"/>
              <w:right w:w="120" w:type="dxa"/>
            </w:tcMar>
          </w:tcPr>
          <w:p w14:paraId="36C0B3ED"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劉豐佾</w:t>
            </w:r>
          </w:p>
        </w:tc>
        <w:tc>
          <w:tcPr>
            <w:tcW w:w="1500" w:type="dxa"/>
            <w:tcMar>
              <w:top w:w="80" w:type="dxa"/>
              <w:left w:w="120" w:type="dxa"/>
              <w:bottom w:w="80" w:type="dxa"/>
              <w:right w:w="120" w:type="dxa"/>
            </w:tcMar>
          </w:tcPr>
          <w:p w14:paraId="19C36397"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學分數</w:t>
            </w:r>
          </w:p>
        </w:tc>
        <w:tc>
          <w:tcPr>
            <w:tcW w:w="3000" w:type="dxa"/>
            <w:tcMar>
              <w:top w:w="80" w:type="dxa"/>
              <w:left w:w="120" w:type="dxa"/>
              <w:bottom w:w="80" w:type="dxa"/>
              <w:right w:w="120" w:type="dxa"/>
            </w:tcMar>
          </w:tcPr>
          <w:p w14:paraId="77D05F2F"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3 學分</w:t>
            </w:r>
          </w:p>
        </w:tc>
      </w:tr>
      <w:tr w:rsidR="00FB719A" w14:paraId="6AA433D8" w14:textId="77777777">
        <w:tc>
          <w:tcPr>
            <w:tcW w:w="1500" w:type="dxa"/>
            <w:tcMar>
              <w:top w:w="80" w:type="dxa"/>
              <w:left w:w="120" w:type="dxa"/>
              <w:bottom w:w="80" w:type="dxa"/>
              <w:right w:w="120" w:type="dxa"/>
            </w:tcMar>
          </w:tcPr>
          <w:p w14:paraId="344C10B7"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開課單位</w:t>
            </w:r>
          </w:p>
        </w:tc>
        <w:tc>
          <w:tcPr>
            <w:tcW w:w="3000" w:type="dxa"/>
            <w:tcMar>
              <w:top w:w="80" w:type="dxa"/>
              <w:left w:w="120" w:type="dxa"/>
              <w:bottom w:w="80" w:type="dxa"/>
              <w:right w:w="120" w:type="dxa"/>
            </w:tcMar>
          </w:tcPr>
          <w:p w14:paraId="652A01DD"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社會福利學系</w:t>
            </w:r>
          </w:p>
        </w:tc>
        <w:tc>
          <w:tcPr>
            <w:tcW w:w="1500" w:type="dxa"/>
            <w:tcMar>
              <w:top w:w="80" w:type="dxa"/>
              <w:left w:w="120" w:type="dxa"/>
              <w:bottom w:w="80" w:type="dxa"/>
              <w:right w:w="120" w:type="dxa"/>
            </w:tcMar>
          </w:tcPr>
          <w:p w14:paraId="17965CC5"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修課對象</w:t>
            </w:r>
          </w:p>
        </w:tc>
        <w:tc>
          <w:tcPr>
            <w:tcW w:w="3000" w:type="dxa"/>
            <w:tcMar>
              <w:top w:w="80" w:type="dxa"/>
              <w:left w:w="120" w:type="dxa"/>
              <w:bottom w:w="80" w:type="dxa"/>
              <w:right w:w="120" w:type="dxa"/>
            </w:tcMar>
          </w:tcPr>
          <w:p w14:paraId="7E71B11A"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碩士班／博士班</w:t>
            </w:r>
          </w:p>
        </w:tc>
      </w:tr>
      <w:tr w:rsidR="00FB719A" w14:paraId="4C69C68E" w14:textId="77777777">
        <w:tc>
          <w:tcPr>
            <w:tcW w:w="1500" w:type="dxa"/>
            <w:tcMar>
              <w:top w:w="80" w:type="dxa"/>
              <w:left w:w="120" w:type="dxa"/>
              <w:bottom w:w="80" w:type="dxa"/>
              <w:right w:w="120" w:type="dxa"/>
            </w:tcMar>
          </w:tcPr>
          <w:p w14:paraId="3865D9FC"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上課時間</w:t>
            </w:r>
          </w:p>
        </w:tc>
        <w:tc>
          <w:tcPr>
            <w:tcW w:w="3000" w:type="dxa"/>
            <w:tcMar>
              <w:top w:w="80" w:type="dxa"/>
              <w:left w:w="120" w:type="dxa"/>
              <w:bottom w:w="80" w:type="dxa"/>
              <w:right w:w="120" w:type="dxa"/>
            </w:tcMar>
          </w:tcPr>
          <w:p w14:paraId="36685D55" w14:textId="77777777" w:rsidR="00FB719A" w:rsidRDefault="00FB719A">
            <w:pPr>
              <w:spacing w:line="276" w:lineRule="auto"/>
              <w:rPr>
                <w:rFonts w:ascii="標楷體-繁" w:eastAsia="標楷體-繁" w:hAnsi="標楷體-繁" w:cs="標楷體-繁"/>
              </w:rPr>
            </w:pPr>
          </w:p>
        </w:tc>
        <w:tc>
          <w:tcPr>
            <w:tcW w:w="1500" w:type="dxa"/>
            <w:tcMar>
              <w:top w:w="80" w:type="dxa"/>
              <w:left w:w="120" w:type="dxa"/>
              <w:bottom w:w="80" w:type="dxa"/>
              <w:right w:w="120" w:type="dxa"/>
            </w:tcMar>
          </w:tcPr>
          <w:p w14:paraId="5CD155FA"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上課地點</w:t>
            </w:r>
          </w:p>
        </w:tc>
        <w:tc>
          <w:tcPr>
            <w:tcW w:w="3000" w:type="dxa"/>
            <w:tcMar>
              <w:top w:w="80" w:type="dxa"/>
              <w:left w:w="120" w:type="dxa"/>
              <w:bottom w:w="80" w:type="dxa"/>
              <w:right w:w="120" w:type="dxa"/>
            </w:tcMar>
          </w:tcPr>
          <w:p w14:paraId="65DC3853" w14:textId="77777777" w:rsidR="00FB719A" w:rsidRDefault="00FB719A">
            <w:pPr>
              <w:spacing w:line="276" w:lineRule="auto"/>
              <w:rPr>
                <w:rFonts w:ascii="標楷體-繁" w:eastAsia="標楷體-繁" w:hAnsi="標楷體-繁" w:cs="標楷體-繁"/>
              </w:rPr>
            </w:pPr>
          </w:p>
        </w:tc>
      </w:tr>
      <w:tr w:rsidR="00FB719A" w14:paraId="49B0FF7F" w14:textId="77777777">
        <w:tc>
          <w:tcPr>
            <w:tcW w:w="1500" w:type="dxa"/>
            <w:tcMar>
              <w:top w:w="80" w:type="dxa"/>
              <w:left w:w="120" w:type="dxa"/>
              <w:bottom w:w="80" w:type="dxa"/>
              <w:right w:w="120" w:type="dxa"/>
            </w:tcMar>
          </w:tcPr>
          <w:p w14:paraId="10F31FD6"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授課語言</w:t>
            </w:r>
          </w:p>
        </w:tc>
        <w:tc>
          <w:tcPr>
            <w:tcW w:w="3000" w:type="dxa"/>
            <w:tcMar>
              <w:top w:w="80" w:type="dxa"/>
              <w:left w:w="120" w:type="dxa"/>
              <w:bottom w:w="80" w:type="dxa"/>
              <w:right w:w="120" w:type="dxa"/>
            </w:tcMar>
          </w:tcPr>
          <w:p w14:paraId="5A191DF2"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中文（指定閱讀以英文為主）</w:t>
            </w:r>
          </w:p>
        </w:tc>
        <w:tc>
          <w:tcPr>
            <w:tcW w:w="1500" w:type="dxa"/>
            <w:tcMar>
              <w:top w:w="80" w:type="dxa"/>
              <w:left w:w="120" w:type="dxa"/>
              <w:bottom w:w="80" w:type="dxa"/>
              <w:right w:w="120" w:type="dxa"/>
            </w:tcMar>
          </w:tcPr>
          <w:p w14:paraId="109EB884"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Office Hours</w:t>
            </w:r>
          </w:p>
        </w:tc>
        <w:tc>
          <w:tcPr>
            <w:tcW w:w="3000" w:type="dxa"/>
            <w:tcMar>
              <w:top w:w="80" w:type="dxa"/>
              <w:left w:w="120" w:type="dxa"/>
              <w:bottom w:w="80" w:type="dxa"/>
              <w:right w:w="120" w:type="dxa"/>
            </w:tcMar>
          </w:tcPr>
          <w:p w14:paraId="34194D23" w14:textId="77777777" w:rsidR="00FB719A" w:rsidRDefault="00FB719A">
            <w:pPr>
              <w:spacing w:line="276" w:lineRule="auto"/>
              <w:rPr>
                <w:rFonts w:ascii="標楷體-繁" w:eastAsia="標楷體-繁" w:hAnsi="標楷體-繁" w:cs="標楷體-繁"/>
              </w:rPr>
            </w:pPr>
          </w:p>
        </w:tc>
      </w:tr>
      <w:tr w:rsidR="00FB719A" w14:paraId="736F60E2" w14:textId="77777777">
        <w:tc>
          <w:tcPr>
            <w:tcW w:w="1500" w:type="dxa"/>
            <w:tcMar>
              <w:top w:w="80" w:type="dxa"/>
              <w:left w:w="120" w:type="dxa"/>
              <w:bottom w:w="80" w:type="dxa"/>
              <w:right w:w="120" w:type="dxa"/>
            </w:tcMar>
          </w:tcPr>
          <w:p w14:paraId="2646856D"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聯絡方式</w:t>
            </w:r>
          </w:p>
        </w:tc>
        <w:tc>
          <w:tcPr>
            <w:tcW w:w="3000" w:type="dxa"/>
            <w:tcMar>
              <w:top w:w="80" w:type="dxa"/>
              <w:left w:w="120" w:type="dxa"/>
              <w:bottom w:w="80" w:type="dxa"/>
              <w:right w:w="120" w:type="dxa"/>
            </w:tcMar>
          </w:tcPr>
          <w:p w14:paraId="7A797BB7" w14:textId="77777777" w:rsidR="00FB719A" w:rsidRDefault="00FB719A">
            <w:pPr>
              <w:spacing w:line="276" w:lineRule="auto"/>
              <w:rPr>
                <w:rFonts w:ascii="標楷體-繁" w:eastAsia="標楷體-繁" w:hAnsi="標楷體-繁" w:cs="標楷體-繁"/>
              </w:rPr>
            </w:pPr>
          </w:p>
        </w:tc>
        <w:tc>
          <w:tcPr>
            <w:tcW w:w="1500" w:type="dxa"/>
            <w:tcMar>
              <w:top w:w="80" w:type="dxa"/>
              <w:left w:w="120" w:type="dxa"/>
              <w:bottom w:w="80" w:type="dxa"/>
              <w:right w:w="120" w:type="dxa"/>
            </w:tcMar>
          </w:tcPr>
          <w:p w14:paraId="218C0282"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課程週數</w:t>
            </w:r>
          </w:p>
        </w:tc>
        <w:tc>
          <w:tcPr>
            <w:tcW w:w="3000" w:type="dxa"/>
            <w:tcMar>
              <w:top w:w="80" w:type="dxa"/>
              <w:left w:w="120" w:type="dxa"/>
              <w:bottom w:w="80" w:type="dxa"/>
              <w:right w:w="120" w:type="dxa"/>
            </w:tcMar>
          </w:tcPr>
          <w:p w14:paraId="134905C7"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15 週閱讀＋1 週報告</w:t>
            </w:r>
          </w:p>
        </w:tc>
      </w:tr>
    </w:tbl>
    <w:p w14:paraId="12E4A3C8" w14:textId="77777777" w:rsidR="00FB719A" w:rsidRDefault="00000000">
      <w:pPr>
        <w:pStyle w:val="1"/>
        <w:keepNext/>
        <w:pBdr>
          <w:bottom w:val="single" w:sz="8" w:space="6" w:color="1F3864"/>
        </w:pBdr>
        <w:spacing w:before="360" w:after="160"/>
        <w:rPr>
          <w:rFonts w:ascii="標楷體-繁" w:eastAsia="標楷體-繁" w:hAnsi="標楷體-繁" w:cs="標楷體-繁"/>
        </w:rPr>
      </w:pPr>
      <w:r>
        <w:rPr>
          <w:rFonts w:ascii="標楷體-繁" w:eastAsia="標楷體-繁" w:hAnsi="標楷體-繁" w:cs="標楷體-繁"/>
          <w:b/>
          <w:bCs/>
          <w:color w:val="1F3864"/>
          <w:sz w:val="26"/>
          <w:szCs w:val="26"/>
        </w:rPr>
        <w:t>一、課程簡介</w:t>
      </w:r>
    </w:p>
    <w:p w14:paraId="686BF5DD"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rPr>
        <w:t>本課程處理一個在台灣社會福利研究中長期缺席的問題：當戰爭風險成為日常存在的社會條件時，福利體制會發生什麼事。</w:t>
      </w:r>
    </w:p>
    <w:p w14:paraId="10C400B2"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rPr>
        <w:t>多數災難研究以天然災害為原型，多數福利國家研究則預設和平時期的財政與政治環境。本課程刻意讓兩者相撞，並以台灣為主要分析場域——一個同時面臨高頻天災與長期軍事威脅、而其災防體系與社政體系分屬不同主管機關的社會。</w:t>
      </w:r>
    </w:p>
    <w:p w14:paraId="4A5B653C"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rPr>
        <w:t>課程分為三個部分。第一部分（第 1–5 週）建立災難社工的理論轉向、脆弱性與災難正義的分析框架，以及台灣災防法制的制度地圖。第二部分（第 6–8 週）為講者專題，集中閱讀劉文（中央研究院民族學研究所）關於台灣民防動員的三部作品，並於第 8 週進行客座演講與對談。第三部分（第 9–15 週）回到社會行政與服務輸送，依序處理基層官僚、助人者創傷、流離失所人口、NGO 與公私協力、社區韌性與重建正義，以及性別、高齡與障礙者的整備需求。</w:t>
      </w:r>
    </w:p>
    <w:p w14:paraId="2F478DF5"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rPr>
        <w:t>本課程不預設學生對軍事或安全研究有背景知識，但預期學生願意處理一個政治上敏感、且在台灣課堂中容易引發分歧的題目。授課立場是：呈現對立的學術觀點，而非說服學生接受特定立場。</w:t>
      </w:r>
    </w:p>
    <w:p w14:paraId="671DBDB4" w14:textId="77777777" w:rsidR="00FB719A" w:rsidRDefault="00000000">
      <w:pPr>
        <w:pStyle w:val="1"/>
        <w:keepNext/>
        <w:pBdr>
          <w:bottom w:val="single" w:sz="8" w:space="6" w:color="1F3864"/>
        </w:pBdr>
        <w:spacing w:before="360" w:after="160"/>
        <w:rPr>
          <w:rFonts w:ascii="標楷體-繁" w:eastAsia="標楷體-繁" w:hAnsi="標楷體-繁" w:cs="標楷體-繁"/>
        </w:rPr>
      </w:pPr>
      <w:r>
        <w:rPr>
          <w:rFonts w:ascii="標楷體-繁" w:eastAsia="標楷體-繁" w:hAnsi="標楷體-繁" w:cs="標楷體-繁"/>
          <w:b/>
          <w:bCs/>
          <w:color w:val="1F3864"/>
          <w:sz w:val="26"/>
          <w:szCs w:val="26"/>
        </w:rPr>
        <w:t>二、學習目標</w:t>
      </w:r>
    </w:p>
    <w:p w14:paraId="7B038A17" w14:textId="77777777" w:rsidR="00FB719A" w:rsidRDefault="00000000">
      <w:pPr>
        <w:spacing w:after="80" w:line="276" w:lineRule="auto"/>
        <w:ind w:left="340" w:hanging="340"/>
        <w:rPr>
          <w:rFonts w:ascii="標楷體-繁" w:eastAsia="標楷體-繁" w:hAnsi="標楷體-繁" w:cs="標楷體-繁"/>
        </w:rPr>
      </w:pPr>
      <w:r>
        <w:rPr>
          <w:rFonts w:ascii="標楷體-繁" w:eastAsia="標楷體-繁" w:hAnsi="標楷體-繁" w:cs="標楷體-繁"/>
          <w:b/>
          <w:bCs/>
        </w:rPr>
        <w:t xml:space="preserve">1. </w:t>
      </w:r>
      <w:r>
        <w:rPr>
          <w:rFonts w:ascii="標楷體-繁" w:eastAsia="標楷體-繁" w:hAnsi="標楷體-繁" w:cs="標楷體-繁"/>
        </w:rPr>
        <w:t>能運用脆弱性、交織性與災難正義等理論框架，分析災難中社會福利風險的結構性生成機制，而非將災難視為隨機的自然事件。</w:t>
      </w:r>
    </w:p>
    <w:p w14:paraId="51D57D2E" w14:textId="77777777" w:rsidR="00FB719A" w:rsidRDefault="00000000">
      <w:pPr>
        <w:spacing w:after="80" w:line="276" w:lineRule="auto"/>
        <w:ind w:left="340" w:hanging="340"/>
        <w:rPr>
          <w:rFonts w:ascii="標楷體-繁" w:eastAsia="標楷體-繁" w:hAnsi="標楷體-繁" w:cs="標楷體-繁"/>
        </w:rPr>
      </w:pPr>
      <w:r>
        <w:rPr>
          <w:rFonts w:ascii="標楷體-繁" w:eastAsia="標楷體-繁" w:hAnsi="標楷體-繁" w:cs="標楷體-繁"/>
          <w:b/>
          <w:bCs/>
        </w:rPr>
        <w:t xml:space="preserve">2. </w:t>
      </w:r>
      <w:r>
        <w:rPr>
          <w:rFonts w:ascii="標楷體-繁" w:eastAsia="標楷體-繁" w:hAnsi="標楷體-繁" w:cs="標楷體-繁"/>
        </w:rPr>
        <w:t>能比較不同福利體制（北歐總體防衛、東亞發展型、烏克蘭戰時體制）在戰爭與極端危機下的制度回應差異，並評估其對台灣的適用性與限制。</w:t>
      </w:r>
    </w:p>
    <w:p w14:paraId="06302C0D" w14:textId="77777777" w:rsidR="00FB719A" w:rsidRDefault="00000000">
      <w:pPr>
        <w:spacing w:after="80" w:line="276" w:lineRule="auto"/>
        <w:ind w:left="340" w:hanging="340"/>
        <w:rPr>
          <w:rFonts w:ascii="標楷體-繁" w:eastAsia="標楷體-繁" w:hAnsi="標楷體-繁" w:cs="標楷體-繁"/>
        </w:rPr>
      </w:pPr>
      <w:r>
        <w:rPr>
          <w:rFonts w:ascii="標楷體-繁" w:eastAsia="標楷體-繁" w:hAnsi="標楷體-繁" w:cs="標楷體-繁"/>
          <w:b/>
          <w:bCs/>
        </w:rPr>
        <w:t xml:space="preserve">3. </w:t>
      </w:r>
      <w:r>
        <w:rPr>
          <w:rFonts w:ascii="標楷體-繁" w:eastAsia="標楷體-繁" w:hAnsi="標楷體-繁" w:cs="標楷體-繁"/>
        </w:rPr>
        <w:t>能分析緊急狀態下基層社政人員的裁量空間、道德困境與職業風險，並提出制度性支持方案。</w:t>
      </w:r>
    </w:p>
    <w:p w14:paraId="01169624" w14:textId="77777777" w:rsidR="00FB719A" w:rsidRDefault="00000000">
      <w:pPr>
        <w:spacing w:after="80" w:line="276" w:lineRule="auto"/>
        <w:ind w:left="340" w:hanging="340"/>
        <w:rPr>
          <w:rFonts w:ascii="標楷體-繁" w:eastAsia="標楷體-繁" w:hAnsi="標楷體-繁" w:cs="標楷體-繁"/>
        </w:rPr>
      </w:pPr>
      <w:r>
        <w:rPr>
          <w:rFonts w:ascii="標楷體-繁" w:eastAsia="標楷體-繁" w:hAnsi="標楷體-繁" w:cs="標楷體-繁"/>
          <w:b/>
          <w:bCs/>
        </w:rPr>
        <w:t xml:space="preserve">4. </w:t>
      </w:r>
      <w:r>
        <w:rPr>
          <w:rFonts w:ascii="標楷體-繁" w:eastAsia="標楷體-繁" w:hAnsi="標楷體-繁" w:cs="標楷體-繁"/>
        </w:rPr>
        <w:t>能解析台灣災防體系與社政體系的法規接合縫隙，指出跨部會權責分工的制度癥結。</w:t>
      </w:r>
    </w:p>
    <w:p w14:paraId="5A8A8505" w14:textId="77777777" w:rsidR="00FB719A" w:rsidRDefault="00000000">
      <w:pPr>
        <w:spacing w:after="80" w:line="276" w:lineRule="auto"/>
        <w:ind w:left="340" w:hanging="340"/>
        <w:rPr>
          <w:rFonts w:ascii="標楷體-繁" w:eastAsia="標楷體-繁" w:hAnsi="標楷體-繁" w:cs="標楷體-繁"/>
        </w:rPr>
      </w:pPr>
      <w:r>
        <w:rPr>
          <w:rFonts w:ascii="標楷體-繁" w:eastAsia="標楷體-繁" w:hAnsi="標楷體-繁" w:cs="標楷體-繁"/>
          <w:b/>
          <w:bCs/>
        </w:rPr>
        <w:t xml:space="preserve">5. </w:t>
      </w:r>
      <w:r>
        <w:rPr>
          <w:rFonts w:ascii="標楷體-繁" w:eastAsia="標楷體-繁" w:hAnsi="標楷體-繁" w:cs="標楷體-繁"/>
        </w:rPr>
        <w:t>能評估 NGO、公私協力與社區社會資本在災難各階段的功能與限制，包括社會資本可能再製既有不平等的風險。</w:t>
      </w:r>
    </w:p>
    <w:p w14:paraId="0F1DF586" w14:textId="77777777" w:rsidR="00FB719A" w:rsidRDefault="00000000">
      <w:pPr>
        <w:spacing w:after="80" w:line="276" w:lineRule="auto"/>
        <w:ind w:left="340" w:hanging="340"/>
        <w:rPr>
          <w:rFonts w:ascii="標楷體-繁" w:eastAsia="標楷體-繁" w:hAnsi="標楷體-繁" w:cs="標楷體-繁"/>
        </w:rPr>
      </w:pPr>
      <w:r>
        <w:rPr>
          <w:rFonts w:ascii="標楷體-繁" w:eastAsia="標楷體-繁" w:hAnsi="標楷體-繁" w:cs="標楷體-繁"/>
          <w:b/>
          <w:bCs/>
        </w:rPr>
        <w:t xml:space="preserve">6. </w:t>
      </w:r>
      <w:r>
        <w:rPr>
          <w:rFonts w:ascii="標楷體-繁" w:eastAsia="標楷體-繁" w:hAnsi="標楷體-繁" w:cs="標楷體-繁"/>
        </w:rPr>
        <w:t>能針對高齡者、障礙者、原住民族、女性、兒童與多元性別等群體，設計兼顧服務連續性與文</w:t>
      </w:r>
      <w:r>
        <w:rPr>
          <w:rFonts w:ascii="標楷體-繁" w:eastAsia="標楷體-繁" w:hAnsi="標楷體-繁" w:cs="標楷體-繁"/>
        </w:rPr>
        <w:lastRenderedPageBreak/>
        <w:t>化敏感度的整備方案。</w:t>
      </w:r>
    </w:p>
    <w:p w14:paraId="0B60D96B" w14:textId="77777777" w:rsidR="00FB719A" w:rsidRDefault="00000000">
      <w:pPr>
        <w:pStyle w:val="1"/>
        <w:keepNext/>
        <w:pBdr>
          <w:bottom w:val="single" w:sz="8" w:space="6" w:color="1F3864"/>
        </w:pBdr>
        <w:spacing w:before="360" w:after="160"/>
        <w:rPr>
          <w:rFonts w:ascii="標楷體-繁" w:eastAsia="標楷體-繁" w:hAnsi="標楷體-繁" w:cs="標楷體-繁"/>
        </w:rPr>
      </w:pPr>
      <w:r>
        <w:rPr>
          <w:rFonts w:ascii="標楷體-繁" w:eastAsia="標楷體-繁" w:hAnsi="標楷體-繁" w:cs="標楷體-繁"/>
          <w:b/>
          <w:bCs/>
          <w:color w:val="1F3864"/>
          <w:sz w:val="26"/>
          <w:szCs w:val="26"/>
        </w:rPr>
        <w:t>三、評量方式</w:t>
      </w:r>
    </w:p>
    <w:p w14:paraId="1D819924"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color w:val="595959"/>
          <w:sz w:val="20"/>
          <w:szCs w:val="20"/>
        </w:rPr>
        <w:t>以下配分為建議值，將於第 1 週與修課同學討論後確定。</w:t>
      </w:r>
    </w:p>
    <w:tbl>
      <w:tblPr>
        <w:tblStyle w:val="ae"/>
        <w:tblW w:w="9000" w:type="dxa"/>
        <w:tblInd w:w="0" w:type="dxa"/>
        <w:tblBorders>
          <w:top w:val="single" w:sz="4" w:space="0" w:color="BFBFBF"/>
          <w:bottom w:val="single" w:sz="4" w:space="0" w:color="BFBFBF"/>
          <w:insideH w:val="single" w:sz="4" w:space="0" w:color="BFBFBF"/>
        </w:tblBorders>
        <w:tblLayout w:type="fixed"/>
        <w:tblLook w:val="0400" w:firstRow="0" w:lastRow="0" w:firstColumn="0" w:lastColumn="0" w:noHBand="0" w:noVBand="1"/>
      </w:tblPr>
      <w:tblGrid>
        <w:gridCol w:w="2200"/>
        <w:gridCol w:w="1100"/>
        <w:gridCol w:w="5700"/>
      </w:tblGrid>
      <w:tr w:rsidR="00FB719A" w14:paraId="398E45BC" w14:textId="77777777">
        <w:trPr>
          <w:tblHeader/>
        </w:trPr>
        <w:tc>
          <w:tcPr>
            <w:tcW w:w="2200" w:type="dxa"/>
            <w:shd w:val="clear" w:color="auto" w:fill="EDF1F8"/>
            <w:tcMar>
              <w:top w:w="80" w:type="dxa"/>
              <w:left w:w="120" w:type="dxa"/>
              <w:bottom w:w="80" w:type="dxa"/>
              <w:right w:w="120" w:type="dxa"/>
            </w:tcMar>
          </w:tcPr>
          <w:p w14:paraId="0FDCC78F"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b/>
                <w:bCs/>
                <w:sz w:val="20"/>
                <w:szCs w:val="20"/>
              </w:rPr>
              <w:t>項目</w:t>
            </w:r>
          </w:p>
        </w:tc>
        <w:tc>
          <w:tcPr>
            <w:tcW w:w="1100" w:type="dxa"/>
            <w:shd w:val="clear" w:color="auto" w:fill="EDF1F8"/>
            <w:tcMar>
              <w:top w:w="80" w:type="dxa"/>
              <w:left w:w="120" w:type="dxa"/>
              <w:bottom w:w="80" w:type="dxa"/>
              <w:right w:w="120" w:type="dxa"/>
            </w:tcMar>
          </w:tcPr>
          <w:p w14:paraId="23E06562"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b/>
                <w:bCs/>
                <w:sz w:val="20"/>
                <w:szCs w:val="20"/>
              </w:rPr>
              <w:t>比重</w:t>
            </w:r>
          </w:p>
        </w:tc>
        <w:tc>
          <w:tcPr>
            <w:tcW w:w="5700" w:type="dxa"/>
            <w:shd w:val="clear" w:color="auto" w:fill="EDF1F8"/>
            <w:tcMar>
              <w:top w:w="80" w:type="dxa"/>
              <w:left w:w="120" w:type="dxa"/>
              <w:bottom w:w="80" w:type="dxa"/>
              <w:right w:w="120" w:type="dxa"/>
            </w:tcMar>
          </w:tcPr>
          <w:p w14:paraId="729E2F6C"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b/>
                <w:bCs/>
                <w:sz w:val="20"/>
                <w:szCs w:val="20"/>
              </w:rPr>
              <w:t>說明</w:t>
            </w:r>
          </w:p>
        </w:tc>
      </w:tr>
      <w:tr w:rsidR="00FB719A" w14:paraId="0724F094" w14:textId="77777777">
        <w:tc>
          <w:tcPr>
            <w:tcW w:w="2200" w:type="dxa"/>
            <w:tcMar>
              <w:top w:w="80" w:type="dxa"/>
              <w:left w:w="120" w:type="dxa"/>
              <w:bottom w:w="80" w:type="dxa"/>
              <w:right w:w="120" w:type="dxa"/>
            </w:tcMar>
          </w:tcPr>
          <w:p w14:paraId="22160EBF"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課堂參與與討論</w:t>
            </w:r>
          </w:p>
        </w:tc>
        <w:tc>
          <w:tcPr>
            <w:tcW w:w="1100" w:type="dxa"/>
            <w:tcMar>
              <w:top w:w="80" w:type="dxa"/>
              <w:left w:w="120" w:type="dxa"/>
              <w:bottom w:w="80" w:type="dxa"/>
              <w:right w:w="120" w:type="dxa"/>
            </w:tcMar>
          </w:tcPr>
          <w:p w14:paraId="434079DF"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35%</w:t>
            </w:r>
          </w:p>
        </w:tc>
        <w:tc>
          <w:tcPr>
            <w:tcW w:w="5700" w:type="dxa"/>
            <w:tcMar>
              <w:top w:w="80" w:type="dxa"/>
              <w:left w:w="120" w:type="dxa"/>
              <w:bottom w:w="80" w:type="dxa"/>
              <w:right w:w="120" w:type="dxa"/>
            </w:tcMar>
          </w:tcPr>
          <w:p w14:paraId="1B903A9A" w14:textId="26C5A2FD" w:rsidR="00FB719A" w:rsidRDefault="00A16F52">
            <w:pPr>
              <w:spacing w:line="276" w:lineRule="auto"/>
              <w:rPr>
                <w:rFonts w:ascii="標楷體-繁" w:eastAsia="標楷體-繁" w:hAnsi="標楷體-繁" w:cs="標楷體-繁"/>
                <w:sz w:val="20"/>
                <w:szCs w:val="20"/>
              </w:rPr>
            </w:pPr>
            <w:r>
              <w:rPr>
                <w:rFonts w:ascii="標楷體-繁" w:eastAsia="標楷體-繁" w:hAnsi="標楷體-繁" w:cs="標楷體-繁" w:hint="eastAsia"/>
                <w:sz w:val="20"/>
                <w:szCs w:val="20"/>
              </w:rPr>
              <w:t>每堂課前提出針對文本提出五個問題，將</w:t>
            </w:r>
            <w:r>
              <w:rPr>
                <w:rFonts w:ascii="標楷體-繁" w:eastAsia="標楷體-繁" w:hAnsi="標楷體-繁" w:cs="標楷體-繁"/>
                <w:sz w:val="20"/>
                <w:szCs w:val="20"/>
              </w:rPr>
              <w:t>針對上課同學提問以及回應他人論點為評量重點，而非發言次數。每堂課後老師會立刻評分。</w:t>
            </w:r>
          </w:p>
        </w:tc>
      </w:tr>
      <w:tr w:rsidR="00FB719A" w14:paraId="4C8838E4" w14:textId="77777777">
        <w:tc>
          <w:tcPr>
            <w:tcW w:w="2200" w:type="dxa"/>
            <w:tcMar>
              <w:top w:w="80" w:type="dxa"/>
              <w:left w:w="120" w:type="dxa"/>
              <w:bottom w:w="80" w:type="dxa"/>
              <w:right w:w="120" w:type="dxa"/>
            </w:tcMar>
          </w:tcPr>
          <w:p w14:paraId="2F2E0DF2"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每週閱讀筆記</w:t>
            </w:r>
          </w:p>
        </w:tc>
        <w:tc>
          <w:tcPr>
            <w:tcW w:w="1100" w:type="dxa"/>
            <w:tcMar>
              <w:top w:w="80" w:type="dxa"/>
              <w:left w:w="120" w:type="dxa"/>
              <w:bottom w:w="80" w:type="dxa"/>
              <w:right w:w="120" w:type="dxa"/>
            </w:tcMar>
          </w:tcPr>
          <w:p w14:paraId="14D9CEE3"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35%</w:t>
            </w:r>
          </w:p>
        </w:tc>
        <w:tc>
          <w:tcPr>
            <w:tcW w:w="5700" w:type="dxa"/>
            <w:tcMar>
              <w:top w:w="80" w:type="dxa"/>
              <w:left w:w="120" w:type="dxa"/>
              <w:bottom w:w="80" w:type="dxa"/>
              <w:right w:w="120" w:type="dxa"/>
            </w:tcMar>
          </w:tcPr>
          <w:p w14:paraId="02E2A95E"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全學期擇 8 週繳交，每篇 600–800 字。須包含一項對指定閱讀的質疑，不接受摘要。</w:t>
            </w:r>
          </w:p>
        </w:tc>
      </w:tr>
      <w:tr w:rsidR="00FB719A" w14:paraId="54C8FD4F" w14:textId="77777777">
        <w:tc>
          <w:tcPr>
            <w:tcW w:w="2200" w:type="dxa"/>
            <w:tcMar>
              <w:top w:w="80" w:type="dxa"/>
              <w:left w:w="120" w:type="dxa"/>
              <w:bottom w:w="80" w:type="dxa"/>
              <w:right w:w="120" w:type="dxa"/>
            </w:tcMar>
          </w:tcPr>
          <w:p w14:paraId="20FB5015"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期末口頭報告與演練</w:t>
            </w:r>
          </w:p>
        </w:tc>
        <w:tc>
          <w:tcPr>
            <w:tcW w:w="1100" w:type="dxa"/>
            <w:tcMar>
              <w:top w:w="80" w:type="dxa"/>
              <w:left w:w="120" w:type="dxa"/>
              <w:bottom w:w="80" w:type="dxa"/>
              <w:right w:w="120" w:type="dxa"/>
            </w:tcMar>
          </w:tcPr>
          <w:p w14:paraId="643C0A85"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30%</w:t>
            </w:r>
          </w:p>
        </w:tc>
        <w:tc>
          <w:tcPr>
            <w:tcW w:w="5700" w:type="dxa"/>
            <w:tcMar>
              <w:top w:w="80" w:type="dxa"/>
              <w:left w:w="120" w:type="dxa"/>
              <w:bottom w:w="80" w:type="dxa"/>
              <w:right w:w="120" w:type="dxa"/>
            </w:tcMar>
          </w:tcPr>
          <w:p w14:paraId="6E6C88CC"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第 16 週，10 分鐘。規格見第六節。</w:t>
            </w:r>
          </w:p>
        </w:tc>
      </w:tr>
      <w:tr w:rsidR="00FB719A" w14:paraId="338CD0F9" w14:textId="77777777">
        <w:tc>
          <w:tcPr>
            <w:tcW w:w="2200" w:type="dxa"/>
            <w:tcMar>
              <w:top w:w="80" w:type="dxa"/>
              <w:left w:w="120" w:type="dxa"/>
              <w:bottom w:w="80" w:type="dxa"/>
              <w:right w:w="120" w:type="dxa"/>
            </w:tcMar>
          </w:tcPr>
          <w:p w14:paraId="3DAA9BA3" w14:textId="77777777" w:rsidR="00FB719A" w:rsidRDefault="00FB719A">
            <w:pPr>
              <w:spacing w:line="276" w:lineRule="auto"/>
              <w:rPr>
                <w:rFonts w:ascii="標楷體-繁" w:eastAsia="標楷體-繁" w:hAnsi="標楷體-繁" w:cs="標楷體-繁"/>
              </w:rPr>
            </w:pPr>
          </w:p>
        </w:tc>
        <w:tc>
          <w:tcPr>
            <w:tcW w:w="1100" w:type="dxa"/>
            <w:tcMar>
              <w:top w:w="80" w:type="dxa"/>
              <w:left w:w="120" w:type="dxa"/>
              <w:bottom w:w="80" w:type="dxa"/>
              <w:right w:w="120" w:type="dxa"/>
            </w:tcMar>
          </w:tcPr>
          <w:p w14:paraId="5521912F" w14:textId="77777777" w:rsidR="00FB719A" w:rsidRDefault="00FB719A">
            <w:pPr>
              <w:spacing w:line="276" w:lineRule="auto"/>
              <w:rPr>
                <w:rFonts w:ascii="標楷體-繁" w:eastAsia="標楷體-繁" w:hAnsi="標楷體-繁" w:cs="標楷體-繁"/>
              </w:rPr>
            </w:pPr>
          </w:p>
        </w:tc>
        <w:tc>
          <w:tcPr>
            <w:tcW w:w="5700" w:type="dxa"/>
            <w:tcMar>
              <w:top w:w="80" w:type="dxa"/>
              <w:left w:w="120" w:type="dxa"/>
              <w:bottom w:w="80" w:type="dxa"/>
              <w:right w:w="120" w:type="dxa"/>
            </w:tcMar>
          </w:tcPr>
          <w:p w14:paraId="03CB912B" w14:textId="77777777" w:rsidR="00FB719A" w:rsidRDefault="00FB719A">
            <w:pPr>
              <w:spacing w:line="276" w:lineRule="auto"/>
              <w:rPr>
                <w:rFonts w:ascii="標楷體-繁" w:eastAsia="標楷體-繁" w:hAnsi="標楷體-繁" w:cs="標楷體-繁"/>
              </w:rPr>
            </w:pPr>
          </w:p>
        </w:tc>
      </w:tr>
    </w:tbl>
    <w:p w14:paraId="3C39BCB2" w14:textId="77777777" w:rsidR="00FB719A" w:rsidRDefault="00000000">
      <w:pPr>
        <w:pStyle w:val="1"/>
        <w:keepNext/>
        <w:pBdr>
          <w:bottom w:val="single" w:sz="8" w:space="6" w:color="1F3864"/>
        </w:pBdr>
        <w:spacing w:before="360" w:after="160"/>
        <w:rPr>
          <w:rFonts w:ascii="標楷體-繁" w:eastAsia="標楷體-繁" w:hAnsi="標楷體-繁" w:cs="標楷體-繁"/>
        </w:rPr>
      </w:pPr>
      <w:r>
        <w:rPr>
          <w:rFonts w:ascii="標楷體-繁" w:eastAsia="標楷體-繁" w:hAnsi="標楷體-繁" w:cs="標楷體-繁"/>
          <w:b/>
          <w:bCs/>
          <w:color w:val="1F3864"/>
          <w:sz w:val="26"/>
          <w:szCs w:val="26"/>
        </w:rPr>
        <w:t>四、閱讀說明</w:t>
      </w:r>
    </w:p>
    <w:p w14:paraId="39984B5C" w14:textId="29C23E41" w:rsidR="00A16F52" w:rsidRDefault="00000000">
      <w:pPr>
        <w:spacing w:after="100" w:line="276" w:lineRule="auto"/>
        <w:rPr>
          <w:rFonts w:ascii="標楷體-繁" w:eastAsia="標楷體-繁" w:hAnsi="標楷體-繁" w:cs="標楷體-繁"/>
          <w:lang w:val="en-US"/>
        </w:rPr>
      </w:pPr>
      <w:r>
        <w:rPr>
          <w:rFonts w:ascii="標楷體-繁" w:eastAsia="標楷體-繁" w:hAnsi="標楷體-繁" w:cs="標楷體-繁"/>
        </w:rPr>
        <w:t>每週指定 2–4 篇必讀，另有標示［選讀］的延伸文獻，供期末報告取材之用。</w:t>
      </w:r>
      <w:r w:rsidR="00A16F52">
        <w:rPr>
          <w:rFonts w:ascii="標楷體-繁" w:eastAsia="標楷體-繁" w:hAnsi="標楷體-繁" w:cs="標楷體-繁" w:hint="eastAsia"/>
        </w:rPr>
        <w:t>每週課前須針對文獻內容提出五個問題並上傳至ecourse 2平台中。</w:t>
      </w:r>
    </w:p>
    <w:p w14:paraId="0E08C325" w14:textId="070A84E0" w:rsidR="00FB719A" w:rsidRDefault="00000000">
      <w:pPr>
        <w:spacing w:after="100" w:line="276" w:lineRule="auto"/>
        <w:rPr>
          <w:rFonts w:ascii="標楷體-繁" w:eastAsia="標楷體-繁" w:hAnsi="標楷體-繁" w:cs="標楷體-繁"/>
        </w:rPr>
      </w:pPr>
      <w:r>
        <w:rPr>
          <w:rFonts w:ascii="標楷體-繁" w:eastAsia="標楷體-繁" w:hAnsi="標楷體-繁" w:cs="標楷體-繁"/>
        </w:rPr>
        <w:t>全學期共 61 筆，其中 4 筆為專書章節（Obinger, Petersen &amp; Starke 編，Warfare and Welfare，Oxford University Press, 2018），將提供電子檔。第 6、7 週為講者專題，集中閱讀劉文的三部作品。請務必在第 8 週演講前讀完，並於課前一週上傳至少一則提問，老師將彙整後轉交講者。</w:t>
      </w:r>
    </w:p>
    <w:p w14:paraId="01332B0D" w14:textId="77777777" w:rsidR="00FB719A" w:rsidRDefault="00000000">
      <w:pPr>
        <w:pStyle w:val="1"/>
        <w:keepNext/>
        <w:pBdr>
          <w:bottom w:val="single" w:sz="8" w:space="6" w:color="1F3864"/>
        </w:pBdr>
        <w:spacing w:before="360" w:after="160"/>
        <w:rPr>
          <w:rFonts w:ascii="標楷體-繁" w:eastAsia="標楷體-繁" w:hAnsi="標楷體-繁" w:cs="標楷體-繁"/>
        </w:rPr>
      </w:pPr>
      <w:r>
        <w:rPr>
          <w:rFonts w:ascii="標楷體-繁" w:eastAsia="標楷體-繁" w:hAnsi="標楷體-繁" w:cs="標楷體-繁"/>
          <w:b/>
          <w:bCs/>
          <w:color w:val="1F3864"/>
          <w:sz w:val="26"/>
          <w:szCs w:val="26"/>
        </w:rPr>
        <w:t>五、每週進度與指定閱讀</w:t>
      </w:r>
    </w:p>
    <w:p w14:paraId="23074593" w14:textId="33346ABD" w:rsidR="00FB719A" w:rsidRDefault="000C2D25">
      <w:pPr>
        <w:pStyle w:val="2"/>
        <w:keepNext/>
        <w:spacing w:before="260" w:after="100"/>
        <w:rPr>
          <w:rFonts w:ascii="標楷體-繁" w:eastAsia="標楷體-繁" w:hAnsi="標楷體-繁" w:cs="標楷體-繁"/>
        </w:rPr>
      </w:pPr>
      <w:r>
        <w:rPr>
          <w:rFonts w:ascii="標楷體-繁" w:eastAsia="標楷體-繁" w:hAnsi="標楷體-繁" w:cs="標楷體-繁" w:hint="eastAsia"/>
          <w:b/>
          <w:bCs/>
          <w:color w:val="1F3864"/>
          <w:sz w:val="23"/>
          <w:szCs w:val="23"/>
        </w:rPr>
        <w:t>9/8</w:t>
      </w:r>
      <w:r>
        <w:rPr>
          <w:rFonts w:ascii="標楷體-繁" w:eastAsia="標楷體-繁" w:hAnsi="標楷體-繁" w:cs="標楷體-繁"/>
          <w:b/>
          <w:bCs/>
          <w:color w:val="1F3864"/>
          <w:sz w:val="23"/>
          <w:szCs w:val="23"/>
        </w:rPr>
        <w:t>｜</w:t>
      </w:r>
      <w:r w:rsidR="00000000">
        <w:rPr>
          <w:rFonts w:ascii="標楷體-繁" w:eastAsia="標楷體-繁" w:hAnsi="標楷體-繁" w:cs="標楷體-繁"/>
          <w:b/>
          <w:bCs/>
          <w:color w:val="1F3864"/>
          <w:sz w:val="23"/>
          <w:szCs w:val="23"/>
        </w:rPr>
        <w:t>第 1 週｜導論：災難視角下的社會福利風險</w:t>
      </w:r>
    </w:p>
    <w:p w14:paraId="6904E68D"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i/>
          <w:iCs/>
          <w:color w:val="1F3864"/>
          <w:sz w:val="20"/>
          <w:szCs w:val="20"/>
        </w:rPr>
        <w:t>本週提問｜如果社會給付本身就是一種災難整備，那麼社會救助的資格門檻是否同時在削弱整備能力？</w:t>
      </w:r>
    </w:p>
    <w:p w14:paraId="7C0DA5DE"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Smitha Rao et al.（2024）。</w:t>
      </w:r>
      <w:r>
        <w:rPr>
          <w:rFonts w:ascii="標楷體-繁" w:eastAsia="標楷體-繁" w:hAnsi="標楷體-繁" w:cs="標楷體-繁"/>
          <w:i/>
          <w:iCs/>
          <w:sz w:val="20"/>
          <w:szCs w:val="20"/>
        </w:rPr>
        <w:t>Social protection and absorptive capacity: Disaster preparedness and social welfare policy in the United States。</w:t>
      </w:r>
      <w:r>
        <w:rPr>
          <w:rFonts w:ascii="標楷體-繁" w:eastAsia="標楷體-繁" w:hAnsi="標楷體-繁" w:cs="標楷體-繁"/>
          <w:color w:val="595959"/>
          <w:sz w:val="20"/>
          <w:szCs w:val="20"/>
        </w:rPr>
        <w:t>World Development。</w:t>
      </w:r>
    </w:p>
    <w:p w14:paraId="32A13AB9" w14:textId="77777777" w:rsidR="00FB719A" w:rsidRDefault="00000000">
      <w:pPr>
        <w:spacing w:after="60" w:line="250" w:lineRule="auto"/>
        <w:ind w:left="340" w:hanging="340"/>
        <w:rPr>
          <w:rFonts w:ascii="標楷體-繁" w:eastAsia="標楷體-繁" w:hAnsi="標楷體-繁" w:cs="標楷體-繁"/>
        </w:rPr>
      </w:pPr>
      <w:bookmarkStart w:id="0" w:name="_Hlk237951415"/>
      <w:r w:rsidRPr="00F56C84">
        <w:rPr>
          <w:rFonts w:ascii="標楷體-繁" w:eastAsia="標楷體-繁" w:hAnsi="標楷體-繁" w:cs="標楷體-繁"/>
          <w:sz w:val="20"/>
          <w:szCs w:val="20"/>
        </w:rPr>
        <w:t>Ethan J. Raker（2023）。</w:t>
      </w:r>
      <w:r w:rsidRPr="00F56C84">
        <w:rPr>
          <w:rFonts w:ascii="標楷體-繁" w:eastAsia="標楷體-繁" w:hAnsi="標楷體-繁" w:cs="標楷體-繁"/>
          <w:i/>
          <w:iCs/>
          <w:sz w:val="20"/>
          <w:szCs w:val="20"/>
        </w:rPr>
        <w:t>Stratifying Disaster: State Aid, Institutional Processes, and Inequality in American Communities。</w:t>
      </w:r>
      <w:r w:rsidRPr="00F56C84">
        <w:rPr>
          <w:rFonts w:ascii="標楷體-繁" w:eastAsia="標楷體-繁" w:hAnsi="標楷體-繁" w:cs="標楷體-繁"/>
          <w:color w:val="595959"/>
          <w:sz w:val="20"/>
          <w:szCs w:val="20"/>
        </w:rPr>
        <w:t>Social Forces。</w:t>
      </w:r>
    </w:p>
    <w:bookmarkEnd w:id="0"/>
    <w:p w14:paraId="6E569575"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Su-Chuin Soon et al.（2021）。</w:t>
      </w:r>
      <w:r>
        <w:rPr>
          <w:rFonts w:ascii="標楷體-繁" w:eastAsia="標楷體-繁" w:hAnsi="標楷體-繁" w:cs="標楷體-繁"/>
          <w:i/>
          <w:iCs/>
          <w:sz w:val="20"/>
          <w:szCs w:val="20"/>
        </w:rPr>
        <w:t>Withstanding the plague: Institutional resilience of the East Asian welfare state。</w:t>
      </w:r>
      <w:r>
        <w:rPr>
          <w:rFonts w:ascii="標楷體-繁" w:eastAsia="標楷體-繁" w:hAnsi="標楷體-繁" w:cs="標楷體-繁"/>
          <w:color w:val="595959"/>
          <w:sz w:val="20"/>
          <w:szCs w:val="20"/>
        </w:rPr>
        <w:t>Social Policy &amp; Administration。</w:t>
      </w:r>
    </w:p>
    <w:p w14:paraId="0AB0A9EF" w14:textId="77777777" w:rsidR="00FB719A" w:rsidRDefault="00FB719A">
      <w:pPr>
        <w:spacing w:after="60"/>
        <w:rPr>
          <w:rFonts w:ascii="標楷體-繁" w:eastAsia="標楷體-繁" w:hAnsi="標楷體-繁" w:cs="標楷體-繁"/>
        </w:rPr>
      </w:pPr>
    </w:p>
    <w:p w14:paraId="3673F630" w14:textId="6AE279C7" w:rsidR="00FB719A" w:rsidRDefault="000C2D25">
      <w:pPr>
        <w:pStyle w:val="2"/>
        <w:keepNext/>
        <w:spacing w:before="260" w:after="100"/>
        <w:rPr>
          <w:rFonts w:ascii="標楷體-繁" w:eastAsia="標楷體-繁" w:hAnsi="標楷體-繁" w:cs="標楷體-繁"/>
        </w:rPr>
      </w:pPr>
      <w:r>
        <w:rPr>
          <w:rFonts w:ascii="標楷體-繁" w:eastAsia="標楷體-繁" w:hAnsi="標楷體-繁" w:cs="標楷體-繁" w:hint="eastAsia"/>
          <w:b/>
          <w:bCs/>
          <w:color w:val="1F3864"/>
          <w:sz w:val="23"/>
          <w:szCs w:val="23"/>
        </w:rPr>
        <w:t>9/17</w:t>
      </w:r>
      <w:r>
        <w:rPr>
          <w:rFonts w:ascii="標楷體-繁" w:eastAsia="標楷體-繁" w:hAnsi="標楷體-繁" w:cs="標楷體-繁"/>
          <w:b/>
          <w:bCs/>
          <w:color w:val="1F3864"/>
          <w:sz w:val="23"/>
          <w:szCs w:val="23"/>
        </w:rPr>
        <w:t>｜</w:t>
      </w:r>
      <w:r w:rsidR="00000000">
        <w:rPr>
          <w:rFonts w:ascii="標楷體-繁" w:eastAsia="標楷體-繁" w:hAnsi="標楷體-繁" w:cs="標楷體-繁"/>
          <w:b/>
          <w:bCs/>
          <w:color w:val="1F3864"/>
          <w:sz w:val="23"/>
          <w:szCs w:val="23"/>
        </w:rPr>
        <w:t>第 2 週｜災難社會工作理論：從個人心理到社會結構</w:t>
      </w:r>
    </w:p>
    <w:p w14:paraId="19B86A67"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i/>
          <w:iCs/>
          <w:color w:val="1F3864"/>
          <w:sz w:val="20"/>
          <w:szCs w:val="20"/>
        </w:rPr>
        <w:t>本週提問｜災難社工被呼籲轉向巨視取向已近三十年，為什麼實務上仍停留在災後個案輔導？</w:t>
      </w:r>
    </w:p>
    <w:p w14:paraId="52D6B886" w14:textId="77777777" w:rsidR="00FB719A" w:rsidRDefault="00000000">
      <w:pPr>
        <w:spacing w:after="60" w:line="250" w:lineRule="auto"/>
        <w:ind w:left="340" w:hanging="340"/>
        <w:rPr>
          <w:rFonts w:ascii="標楷體-繁" w:eastAsia="標楷體-繁" w:hAnsi="標楷體-繁" w:cs="標楷體-繁"/>
        </w:rPr>
      </w:pPr>
      <w:bookmarkStart w:id="1" w:name="_Hlk237951447"/>
      <w:r w:rsidRPr="00332408">
        <w:rPr>
          <w:rFonts w:ascii="標楷體-繁" w:eastAsia="標楷體-繁" w:hAnsi="標楷體-繁" w:cs="標楷體-繁"/>
          <w:sz w:val="20"/>
          <w:szCs w:val="20"/>
          <w:highlight w:val="yellow"/>
        </w:rPr>
        <w:t>Michael J. Zakour（1997）。</w:t>
      </w:r>
      <w:r w:rsidRPr="00332408">
        <w:rPr>
          <w:rFonts w:ascii="標楷體-繁" w:eastAsia="標楷體-繁" w:hAnsi="標楷體-繁" w:cs="標楷體-繁"/>
          <w:i/>
          <w:iCs/>
          <w:sz w:val="20"/>
          <w:szCs w:val="20"/>
          <w:highlight w:val="yellow"/>
        </w:rPr>
        <w:t>Disaster Research in Social Work。</w:t>
      </w:r>
      <w:r w:rsidRPr="00332408">
        <w:rPr>
          <w:rFonts w:ascii="標楷體-繁" w:eastAsia="標楷體-繁" w:hAnsi="標楷體-繁" w:cs="標楷體-繁"/>
          <w:color w:val="595959"/>
          <w:sz w:val="20"/>
          <w:szCs w:val="20"/>
          <w:highlight w:val="yellow"/>
        </w:rPr>
        <w:t>Journal of Social Service Research。</w:t>
      </w:r>
    </w:p>
    <w:p w14:paraId="1271D4FC" w14:textId="77777777" w:rsidR="00FB719A" w:rsidRPr="00F56C84" w:rsidRDefault="00000000">
      <w:pPr>
        <w:spacing w:after="60" w:line="250" w:lineRule="auto"/>
        <w:ind w:left="340" w:hanging="340"/>
        <w:rPr>
          <w:rFonts w:ascii="標楷體-繁" w:eastAsia="標楷體-繁" w:hAnsi="標楷體-繁" w:cs="標楷體-繁"/>
        </w:rPr>
      </w:pPr>
      <w:r w:rsidRPr="00F56C84">
        <w:rPr>
          <w:rFonts w:ascii="標楷體-繁" w:eastAsia="標楷體-繁" w:hAnsi="標楷體-繁" w:cs="標楷體-繁"/>
          <w:sz w:val="20"/>
          <w:szCs w:val="20"/>
        </w:rPr>
        <w:t>Heather Boetto et al.（2021）。</w:t>
      </w:r>
      <w:r w:rsidRPr="00F56C84">
        <w:rPr>
          <w:rFonts w:ascii="標楷體-繁" w:eastAsia="標楷體-繁" w:hAnsi="標楷體-繁" w:cs="標楷體-繁"/>
          <w:i/>
          <w:iCs/>
          <w:sz w:val="20"/>
          <w:szCs w:val="20"/>
        </w:rPr>
        <w:t xml:space="preserve">Disaster Preparedness in Social Work: A Scoping Review of </w:t>
      </w:r>
      <w:r w:rsidRPr="00F56C84">
        <w:rPr>
          <w:rFonts w:ascii="標楷體-繁" w:eastAsia="標楷體-繁" w:hAnsi="標楷體-繁" w:cs="標楷體-繁"/>
          <w:i/>
          <w:iCs/>
          <w:sz w:val="20"/>
          <w:szCs w:val="20"/>
        </w:rPr>
        <w:lastRenderedPageBreak/>
        <w:t>Evidence for Further Research, Theory and Practice。</w:t>
      </w:r>
      <w:r w:rsidRPr="00F56C84">
        <w:rPr>
          <w:rFonts w:ascii="標楷體-繁" w:eastAsia="標楷體-繁" w:hAnsi="標楷體-繁" w:cs="標楷體-繁"/>
          <w:color w:val="595959"/>
          <w:sz w:val="20"/>
          <w:szCs w:val="20"/>
        </w:rPr>
        <w:t>The British Journal of Social Work。</w:t>
      </w:r>
    </w:p>
    <w:p w14:paraId="34047508" w14:textId="77777777" w:rsidR="00FB719A" w:rsidRDefault="00000000">
      <w:pPr>
        <w:spacing w:after="60" w:line="250" w:lineRule="auto"/>
        <w:ind w:left="340" w:hanging="340"/>
        <w:rPr>
          <w:rFonts w:ascii="標楷體-繁" w:eastAsia="標楷體-繁" w:hAnsi="標楷體-繁" w:cs="標楷體-繁"/>
        </w:rPr>
      </w:pPr>
      <w:r w:rsidRPr="00F56C84">
        <w:rPr>
          <w:rFonts w:ascii="標楷體-繁" w:eastAsia="標楷體-繁" w:hAnsi="標楷體-繁" w:cs="標楷體-繁"/>
          <w:sz w:val="20"/>
          <w:szCs w:val="20"/>
        </w:rPr>
        <w:t>J. Joseph et al.（2026）。</w:t>
      </w:r>
      <w:r w:rsidRPr="00F56C84">
        <w:rPr>
          <w:rFonts w:ascii="標楷體-繁" w:eastAsia="標楷體-繁" w:hAnsi="標楷體-繁" w:cs="標楷體-繁"/>
          <w:i/>
          <w:iCs/>
          <w:sz w:val="20"/>
          <w:szCs w:val="20"/>
        </w:rPr>
        <w:t>Emergence of Disaster Social Work as a New Frontier Setting in Macro Social Work Practice。</w:t>
      </w:r>
      <w:r w:rsidRPr="00F56C84">
        <w:rPr>
          <w:rFonts w:ascii="標楷體-繁" w:eastAsia="標楷體-繁" w:hAnsi="標楷體-繁" w:cs="標楷體-繁"/>
          <w:color w:val="595959"/>
          <w:sz w:val="20"/>
          <w:szCs w:val="20"/>
        </w:rPr>
        <w:t>Asian Social Work and Policy Review。</w:t>
      </w:r>
    </w:p>
    <w:bookmarkEnd w:id="1"/>
    <w:p w14:paraId="2A0A7133" w14:textId="77777777" w:rsidR="00FB719A" w:rsidRDefault="00FB719A">
      <w:pPr>
        <w:spacing w:after="60"/>
        <w:rPr>
          <w:rFonts w:ascii="標楷體-繁" w:eastAsia="標楷體-繁" w:hAnsi="標楷體-繁" w:cs="標楷體-繁"/>
        </w:rPr>
      </w:pPr>
    </w:p>
    <w:p w14:paraId="6DA57B54" w14:textId="0388D22D" w:rsidR="00FB719A" w:rsidRDefault="000C2D25">
      <w:pPr>
        <w:pStyle w:val="2"/>
        <w:keepNext/>
        <w:spacing w:before="260" w:after="100"/>
        <w:rPr>
          <w:rFonts w:ascii="標楷體-繁" w:eastAsia="標楷體-繁" w:hAnsi="標楷體-繁" w:cs="標楷體-繁"/>
        </w:rPr>
      </w:pPr>
      <w:r>
        <w:rPr>
          <w:rFonts w:ascii="標楷體-繁" w:eastAsia="標楷體-繁" w:hAnsi="標楷體-繁" w:cs="標楷體-繁" w:hint="eastAsia"/>
          <w:b/>
          <w:bCs/>
          <w:color w:val="1F3864"/>
          <w:sz w:val="23"/>
          <w:szCs w:val="23"/>
        </w:rPr>
        <w:t>9/24</w:t>
      </w:r>
      <w:r>
        <w:rPr>
          <w:rFonts w:ascii="標楷體-繁" w:eastAsia="標楷體-繁" w:hAnsi="標楷體-繁" w:cs="標楷體-繁"/>
          <w:b/>
          <w:bCs/>
          <w:color w:val="1F3864"/>
          <w:sz w:val="23"/>
          <w:szCs w:val="23"/>
        </w:rPr>
        <w:t>｜</w:t>
      </w:r>
      <w:r w:rsidR="00000000">
        <w:rPr>
          <w:rFonts w:ascii="標楷體-繁" w:eastAsia="標楷體-繁" w:hAnsi="標楷體-繁" w:cs="標楷體-繁"/>
          <w:b/>
          <w:bCs/>
          <w:color w:val="1F3864"/>
          <w:sz w:val="23"/>
          <w:szCs w:val="23"/>
        </w:rPr>
        <w:t>第 3 週｜脆弱性與社會正義：誰是災難中最容易被遺忘的人？</w:t>
      </w:r>
    </w:p>
    <w:p w14:paraId="00794280"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i/>
          <w:iCs/>
          <w:color w:val="1F3864"/>
          <w:sz w:val="20"/>
          <w:szCs w:val="20"/>
        </w:rPr>
        <w:t>本週提問｜把某些人標定為「脆弱」帶來了政策可見度，也帶來了什麼代價？</w:t>
      </w:r>
    </w:p>
    <w:p w14:paraId="46F8DB14"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Susan L. Cutter（2024）。</w:t>
      </w:r>
      <w:r>
        <w:rPr>
          <w:rFonts w:ascii="標楷體-繁" w:eastAsia="標楷體-繁" w:hAnsi="標楷體-繁" w:cs="標楷體-繁"/>
          <w:i/>
          <w:iCs/>
          <w:sz w:val="20"/>
          <w:szCs w:val="20"/>
        </w:rPr>
        <w:t>The Origin and Diffusion of the Social Vulnerability Index (SoVI)。</w:t>
      </w:r>
      <w:r>
        <w:rPr>
          <w:rFonts w:ascii="標楷體-繁" w:eastAsia="標楷體-繁" w:hAnsi="標楷體-繁" w:cs="標楷體-繁"/>
          <w:color w:val="595959"/>
          <w:sz w:val="20"/>
          <w:szCs w:val="20"/>
        </w:rPr>
        <w:t>International Journal of Disaster Risk Reduction。</w:t>
      </w:r>
    </w:p>
    <w:p w14:paraId="53F9590B"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Christian Kuran et al.（2020）。</w:t>
      </w:r>
      <w:r>
        <w:rPr>
          <w:rFonts w:ascii="標楷體-繁" w:eastAsia="標楷體-繁" w:hAnsi="標楷體-繁" w:cs="標楷體-繁"/>
          <w:i/>
          <w:iCs/>
          <w:sz w:val="20"/>
          <w:szCs w:val="20"/>
        </w:rPr>
        <w:t>Vulnerability and vulnerable groups from an intersectionality perspective。</w:t>
      </w:r>
      <w:r>
        <w:rPr>
          <w:rFonts w:ascii="標楷體-繁" w:eastAsia="標楷體-繁" w:hAnsi="標楷體-繁" w:cs="標楷體-繁"/>
          <w:color w:val="595959"/>
          <w:sz w:val="20"/>
          <w:szCs w:val="20"/>
        </w:rPr>
        <w:t>International Journal of Disaster Risk Reduction。</w:t>
      </w:r>
    </w:p>
    <w:p w14:paraId="1FD9EAF1"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Elizabeth Marino et al.（2020）。</w:t>
      </w:r>
      <w:r>
        <w:rPr>
          <w:rFonts w:ascii="標楷體-繁" w:eastAsia="標楷體-繁" w:hAnsi="標楷體-繁" w:cs="標楷體-繁"/>
          <w:i/>
          <w:iCs/>
          <w:sz w:val="20"/>
          <w:szCs w:val="20"/>
        </w:rPr>
        <w:t>Is Vulnerability an Outdated Concept? After Subjects and Spaces。</w:t>
      </w:r>
      <w:r>
        <w:rPr>
          <w:rFonts w:ascii="標楷體-繁" w:eastAsia="標楷體-繁" w:hAnsi="標楷體-繁" w:cs="標楷體-繁"/>
          <w:color w:val="595959"/>
          <w:sz w:val="20"/>
          <w:szCs w:val="20"/>
        </w:rPr>
        <w:t>The Annals of Anthropological Practice。</w:t>
      </w:r>
    </w:p>
    <w:p w14:paraId="0616E144" w14:textId="77777777" w:rsidR="00FB719A" w:rsidRDefault="00FB719A">
      <w:pPr>
        <w:spacing w:after="60"/>
        <w:rPr>
          <w:rFonts w:ascii="標楷體-繁" w:eastAsia="標楷體-繁" w:hAnsi="標楷體-繁" w:cs="標楷體-繁"/>
        </w:rPr>
      </w:pPr>
    </w:p>
    <w:p w14:paraId="36CCACA5" w14:textId="434EBA08" w:rsidR="00FB719A" w:rsidRDefault="000C2D25">
      <w:pPr>
        <w:pStyle w:val="2"/>
        <w:keepNext/>
        <w:spacing w:before="260" w:after="100"/>
        <w:rPr>
          <w:rFonts w:ascii="標楷體-繁" w:eastAsia="標楷體-繁" w:hAnsi="標楷體-繁" w:cs="標楷體-繁"/>
        </w:rPr>
      </w:pPr>
      <w:r>
        <w:rPr>
          <w:rFonts w:ascii="標楷體-繁" w:eastAsia="標楷體-繁" w:hAnsi="標楷體-繁" w:cs="標楷體-繁" w:hint="eastAsia"/>
          <w:b/>
          <w:bCs/>
          <w:color w:val="1F3864"/>
          <w:sz w:val="23"/>
          <w:szCs w:val="23"/>
        </w:rPr>
        <w:t>10/01</w:t>
      </w:r>
      <w:r>
        <w:rPr>
          <w:rFonts w:ascii="標楷體-繁" w:eastAsia="標楷體-繁" w:hAnsi="標楷體-繁" w:cs="標楷體-繁"/>
          <w:b/>
          <w:bCs/>
          <w:color w:val="1F3864"/>
          <w:sz w:val="23"/>
          <w:szCs w:val="23"/>
        </w:rPr>
        <w:t>｜</w:t>
      </w:r>
      <w:r w:rsidR="00000000">
        <w:rPr>
          <w:rFonts w:ascii="標楷體-繁" w:eastAsia="標楷體-繁" w:hAnsi="標楷體-繁" w:cs="標楷體-繁"/>
          <w:b/>
          <w:bCs/>
          <w:color w:val="1F3864"/>
          <w:sz w:val="23"/>
          <w:szCs w:val="23"/>
        </w:rPr>
        <w:t>第 4 週｜戰爭、防衛與福利國家：歷史機制與比較個案</w:t>
      </w:r>
    </w:p>
    <w:p w14:paraId="6507FF98"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i/>
          <w:iCs/>
          <w:color w:val="1F3864"/>
          <w:sz w:val="20"/>
          <w:szCs w:val="20"/>
        </w:rPr>
        <w:t>本週提問｜戰爭擴張福利國家的歷史機制，在「長期備戰但未開戰」的台灣還適用嗎？</w:t>
      </w:r>
    </w:p>
    <w:p w14:paraId="7EE55942" w14:textId="77777777" w:rsidR="00FB719A" w:rsidRPr="00A7275B" w:rsidRDefault="00000000">
      <w:pPr>
        <w:spacing w:after="60" w:line="250" w:lineRule="auto"/>
        <w:ind w:left="340" w:hanging="340"/>
        <w:rPr>
          <w:rFonts w:ascii="標楷體-繁" w:eastAsia="標楷體-繁" w:hAnsi="標楷體-繁" w:cs="標楷體-繁"/>
        </w:rPr>
      </w:pPr>
      <w:r w:rsidRPr="00A7275B">
        <w:rPr>
          <w:rFonts w:ascii="標楷體-繁" w:eastAsia="標楷體-繁" w:hAnsi="標楷體-繁" w:cs="標楷體-繁"/>
          <w:sz w:val="20"/>
          <w:szCs w:val="20"/>
        </w:rPr>
        <w:t>Herbert Obinger, Klaus Petersen &amp; Peter Starke（2018）。</w:t>
      </w:r>
      <w:r w:rsidRPr="00A7275B">
        <w:rPr>
          <w:rFonts w:ascii="標楷體-繁" w:eastAsia="標楷體-繁" w:hAnsi="標楷體-繁" w:cs="標楷體-繁"/>
          <w:i/>
          <w:iCs/>
          <w:sz w:val="20"/>
          <w:szCs w:val="20"/>
        </w:rPr>
        <w:t>Ch.1 Introduction: Studying the Warfare–Welfare Nexus。</w:t>
      </w:r>
      <w:r w:rsidRPr="00A7275B">
        <w:rPr>
          <w:rFonts w:ascii="標楷體-繁" w:eastAsia="標楷體-繁" w:hAnsi="標楷體-繁" w:cs="標楷體-繁"/>
          <w:color w:val="595959"/>
          <w:sz w:val="20"/>
          <w:szCs w:val="20"/>
        </w:rPr>
        <w:t>專書章節，pp. 1–35，收於 Obinger, Petersen &amp; Starke 編《Warfare and Welfare》(Oxford University Press, 2018)。</w:t>
      </w:r>
    </w:p>
    <w:p w14:paraId="3F9E4086" w14:textId="77777777" w:rsidR="00FB719A" w:rsidRDefault="00000000">
      <w:pPr>
        <w:spacing w:after="60" w:line="250" w:lineRule="auto"/>
        <w:ind w:left="340" w:hanging="340"/>
        <w:rPr>
          <w:rFonts w:ascii="標楷體-繁" w:eastAsia="標楷體-繁" w:hAnsi="標楷體-繁" w:cs="標楷體-繁"/>
        </w:rPr>
      </w:pPr>
      <w:r w:rsidRPr="00A7275B">
        <w:rPr>
          <w:rFonts w:ascii="標楷體-繁" w:eastAsia="標楷體-繁" w:hAnsi="標楷體-繁" w:cs="標楷體-繁"/>
          <w:sz w:val="20"/>
          <w:szCs w:val="20"/>
        </w:rPr>
        <w:t>Michael Shalev &amp; John Gal（2018）。</w:t>
      </w:r>
      <w:r w:rsidRPr="00A7275B">
        <w:rPr>
          <w:rFonts w:ascii="標楷體-繁" w:eastAsia="標楷體-繁" w:hAnsi="標楷體-繁" w:cs="標楷體-繁"/>
          <w:i/>
          <w:iCs/>
          <w:sz w:val="20"/>
          <w:szCs w:val="20"/>
        </w:rPr>
        <w:t>Ch.14 Bullets and Benefits in the Israeli Welfare State。</w:t>
      </w:r>
      <w:r w:rsidRPr="00A7275B">
        <w:rPr>
          <w:rFonts w:ascii="標楷體-繁" w:eastAsia="標楷體-繁" w:hAnsi="標楷體-繁" w:cs="標楷體-繁"/>
          <w:color w:val="595959"/>
          <w:sz w:val="20"/>
          <w:szCs w:val="20"/>
        </w:rPr>
        <w:t>專書章節，pp. 393–425，收於 Obinger, Petersen &amp; Starke 編《Warfare and Welfare》(Oxford University Press, 2018)。</w:t>
      </w:r>
    </w:p>
    <w:p w14:paraId="351E1EC9"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Stefano Sacchi et al.（2025）。</w:t>
      </w:r>
      <w:r>
        <w:rPr>
          <w:rFonts w:ascii="標楷體-繁" w:eastAsia="標楷體-繁" w:hAnsi="標楷體-繁" w:cs="標楷體-繁"/>
          <w:i/>
          <w:iCs/>
          <w:sz w:val="20"/>
          <w:szCs w:val="20"/>
        </w:rPr>
        <w:t>'Guns versus butter' in public opinion: the politicization of the warfare-welfare trade-off。</w:t>
      </w:r>
      <w:r>
        <w:rPr>
          <w:rFonts w:ascii="標楷體-繁" w:eastAsia="標楷體-繁" w:hAnsi="標楷體-繁" w:cs="標楷體-繁"/>
          <w:color w:val="595959"/>
          <w:sz w:val="20"/>
          <w:szCs w:val="20"/>
        </w:rPr>
        <w:t>Journal of European Public Policy。</w:t>
      </w:r>
    </w:p>
    <w:p w14:paraId="5F8FD125" w14:textId="77777777" w:rsidR="00FB719A" w:rsidRPr="00A7275B" w:rsidRDefault="00000000">
      <w:pPr>
        <w:spacing w:after="60" w:line="250" w:lineRule="auto"/>
        <w:ind w:left="340" w:hanging="340"/>
        <w:rPr>
          <w:rFonts w:ascii="標楷體-繁" w:eastAsia="標楷體-繁" w:hAnsi="標楷體-繁" w:cs="標楷體-繁"/>
        </w:rPr>
      </w:pPr>
      <w:r w:rsidRPr="00A7275B">
        <w:rPr>
          <w:rFonts w:ascii="標楷體-繁" w:eastAsia="標楷體-繁" w:hAnsi="標楷體-繁" w:cs="標楷體-繁"/>
          <w:b/>
          <w:bCs/>
          <w:color w:val="595959"/>
          <w:sz w:val="19"/>
          <w:szCs w:val="19"/>
        </w:rPr>
        <w:t>［選讀］</w:t>
      </w:r>
      <w:r w:rsidRPr="00A7275B">
        <w:rPr>
          <w:rFonts w:ascii="標楷體-繁" w:eastAsia="標楷體-繁" w:hAnsi="標楷體-繁" w:cs="標楷體-繁"/>
          <w:sz w:val="20"/>
          <w:szCs w:val="20"/>
        </w:rPr>
        <w:t>Gregory J. Kasza（2018）。</w:t>
      </w:r>
      <w:r w:rsidRPr="00A7275B">
        <w:rPr>
          <w:rFonts w:ascii="標楷體-繁" w:eastAsia="標楷體-繁" w:hAnsi="標楷體-繁" w:cs="標楷體-繁"/>
          <w:i/>
          <w:iCs/>
          <w:sz w:val="20"/>
          <w:szCs w:val="20"/>
        </w:rPr>
        <w:t>Ch.6 Welfare Policy and War in Japan。</w:t>
      </w:r>
      <w:r w:rsidRPr="00A7275B">
        <w:rPr>
          <w:rFonts w:ascii="標楷體-繁" w:eastAsia="標楷體-繁" w:hAnsi="標楷體-繁" w:cs="標楷體-繁"/>
          <w:color w:val="595959"/>
          <w:sz w:val="20"/>
          <w:szCs w:val="20"/>
        </w:rPr>
        <w:t>專書章節，pp. 149–175，收於 Obinger, Petersen &amp; Starke 編《Warfare and Welfare》(Oxford University Press, 2018)。</w:t>
      </w:r>
    </w:p>
    <w:p w14:paraId="2B576743" w14:textId="77777777" w:rsidR="00FB719A" w:rsidRDefault="00000000">
      <w:pPr>
        <w:spacing w:after="60" w:line="250" w:lineRule="auto"/>
        <w:ind w:left="340" w:hanging="340"/>
        <w:rPr>
          <w:rFonts w:ascii="標楷體-繁" w:eastAsia="標楷體-繁" w:hAnsi="標楷體-繁" w:cs="標楷體-繁"/>
        </w:rPr>
      </w:pPr>
      <w:r w:rsidRPr="00A7275B">
        <w:rPr>
          <w:rFonts w:ascii="標楷體-繁" w:eastAsia="標楷體-繁" w:hAnsi="標楷體-繁" w:cs="標楷體-繁"/>
          <w:b/>
          <w:bCs/>
          <w:color w:val="595959"/>
          <w:sz w:val="19"/>
          <w:szCs w:val="19"/>
        </w:rPr>
        <w:t>［選讀］</w:t>
      </w:r>
      <w:r w:rsidRPr="00A7275B">
        <w:rPr>
          <w:rFonts w:ascii="標楷體-繁" w:eastAsia="標楷體-繁" w:hAnsi="標楷體-繁" w:cs="標楷體-繁"/>
          <w:sz w:val="20"/>
          <w:szCs w:val="20"/>
        </w:rPr>
        <w:t>Pauli Kettunen（2018）。</w:t>
      </w:r>
      <w:r w:rsidRPr="00A7275B">
        <w:rPr>
          <w:rFonts w:ascii="標楷體-繁" w:eastAsia="標楷體-繁" w:hAnsi="標楷體-繁" w:cs="標楷體-繁"/>
          <w:i/>
          <w:iCs/>
          <w:sz w:val="20"/>
          <w:szCs w:val="20"/>
        </w:rPr>
        <w:t>Ch.10 Wars, Nation, and the Welfare State in Finland。</w:t>
      </w:r>
      <w:r w:rsidRPr="00A7275B">
        <w:rPr>
          <w:rFonts w:ascii="標楷體-繁" w:eastAsia="標楷體-繁" w:hAnsi="標楷體-繁" w:cs="標楷體-繁"/>
          <w:color w:val="595959"/>
          <w:sz w:val="20"/>
          <w:szCs w:val="20"/>
        </w:rPr>
        <w:t>專書章節，pp. 260–289，收於 Obinger, Petersen &amp; Starke 編《Warfare and Welfare》(Oxford University Press, 2018)。</w:t>
      </w:r>
    </w:p>
    <w:p w14:paraId="5321419E"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b/>
          <w:bCs/>
          <w:color w:val="595959"/>
          <w:sz w:val="19"/>
          <w:szCs w:val="19"/>
        </w:rPr>
        <w:t>［選讀］</w:t>
      </w:r>
      <w:r>
        <w:rPr>
          <w:rFonts w:ascii="標楷體-繁" w:eastAsia="標楷體-繁" w:hAnsi="標楷體-繁" w:cs="標楷體-繁"/>
          <w:sz w:val="20"/>
          <w:szCs w:val="20"/>
        </w:rPr>
        <w:t>James K. Wither（2020）。</w:t>
      </w:r>
      <w:r>
        <w:rPr>
          <w:rFonts w:ascii="標楷體-繁" w:eastAsia="標楷體-繁" w:hAnsi="標楷體-繁" w:cs="標楷體-繁"/>
          <w:i/>
          <w:iCs/>
          <w:sz w:val="20"/>
          <w:szCs w:val="20"/>
        </w:rPr>
        <w:t>Back to the future? Nordic total defence concepts。</w:t>
      </w:r>
      <w:r>
        <w:rPr>
          <w:rFonts w:ascii="標楷體-繁" w:eastAsia="標楷體-繁" w:hAnsi="標楷體-繁" w:cs="標楷體-繁"/>
          <w:color w:val="595959"/>
          <w:sz w:val="20"/>
          <w:szCs w:val="20"/>
        </w:rPr>
        <w:t>Defence Studies。</w:t>
      </w:r>
    </w:p>
    <w:p w14:paraId="3DDF20CB" w14:textId="77777777" w:rsidR="00FB719A" w:rsidRDefault="00FB719A">
      <w:pPr>
        <w:spacing w:after="60"/>
        <w:rPr>
          <w:rFonts w:ascii="標楷體-繁" w:eastAsia="標楷體-繁" w:hAnsi="標楷體-繁" w:cs="標楷體-繁"/>
        </w:rPr>
      </w:pPr>
    </w:p>
    <w:p w14:paraId="33F9CFC8" w14:textId="44C622DA" w:rsidR="00FB719A" w:rsidRDefault="000C2D25">
      <w:pPr>
        <w:pStyle w:val="2"/>
        <w:keepNext/>
        <w:spacing w:before="260" w:after="100"/>
        <w:rPr>
          <w:rFonts w:ascii="標楷體-繁" w:eastAsia="標楷體-繁" w:hAnsi="標楷體-繁" w:cs="標楷體-繁"/>
        </w:rPr>
      </w:pPr>
      <w:r>
        <w:rPr>
          <w:rFonts w:ascii="標楷體-繁" w:eastAsia="標楷體-繁" w:hAnsi="標楷體-繁" w:cs="標楷體-繁" w:hint="eastAsia"/>
          <w:b/>
          <w:bCs/>
          <w:color w:val="1F3864"/>
          <w:sz w:val="23"/>
          <w:szCs w:val="23"/>
        </w:rPr>
        <w:t>10/8</w:t>
      </w:r>
      <w:r>
        <w:rPr>
          <w:rFonts w:ascii="標楷體-繁" w:eastAsia="標楷體-繁" w:hAnsi="標楷體-繁" w:cs="標楷體-繁"/>
          <w:b/>
          <w:bCs/>
          <w:color w:val="1F3864"/>
          <w:sz w:val="23"/>
          <w:szCs w:val="23"/>
        </w:rPr>
        <w:t>｜</w:t>
      </w:r>
      <w:r w:rsidR="00000000">
        <w:rPr>
          <w:rFonts w:ascii="標楷體-繁" w:eastAsia="標楷體-繁" w:hAnsi="標楷體-繁" w:cs="標楷體-繁"/>
          <w:b/>
          <w:bCs/>
          <w:color w:val="1F3864"/>
          <w:sz w:val="23"/>
          <w:szCs w:val="23"/>
        </w:rPr>
        <w:t>第 5 週｜台灣災防與戰備的法制接合【講前基礎】</w:t>
      </w:r>
    </w:p>
    <w:p w14:paraId="11A502CD"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i/>
          <w:iCs/>
          <w:color w:val="1F3864"/>
          <w:sz w:val="20"/>
          <w:szCs w:val="20"/>
        </w:rPr>
        <w:t>本週提問｜台灣的災防體系與社政體系在收容安置與弱勢照顧上的權責縫隙落在哪裡？</w:t>
      </w:r>
    </w:p>
    <w:p w14:paraId="02692F78" w14:textId="77777777" w:rsidR="00FB719A" w:rsidRDefault="00000000">
      <w:pPr>
        <w:spacing w:after="60" w:line="250" w:lineRule="auto"/>
        <w:ind w:left="340" w:hanging="340"/>
        <w:rPr>
          <w:rFonts w:ascii="標楷體-繁" w:eastAsia="標楷體-繁" w:hAnsi="標楷體-繁" w:cs="標楷體-繁"/>
        </w:rPr>
      </w:pPr>
      <w:bookmarkStart w:id="2" w:name="_Hlk237951462"/>
      <w:r w:rsidRPr="00AF068C">
        <w:rPr>
          <w:rFonts w:ascii="標楷體-繁" w:eastAsia="標楷體-繁" w:hAnsi="標楷體-繁" w:cs="標楷體-繁"/>
          <w:sz w:val="20"/>
          <w:szCs w:val="20"/>
        </w:rPr>
        <w:t>Wen-Jiun Wang（2018）。</w:t>
      </w:r>
      <w:r w:rsidRPr="00AF068C">
        <w:rPr>
          <w:rFonts w:ascii="標楷體-繁" w:eastAsia="標楷體-繁" w:hAnsi="標楷體-繁" w:cs="標楷體-繁"/>
          <w:i/>
          <w:iCs/>
          <w:sz w:val="20"/>
          <w:szCs w:val="20"/>
        </w:rPr>
        <w:t>Disaster Response After Extreme Events in Taiwan: The Influence of Formal Institutions on Inter-Organizational Interaction。</w:t>
      </w:r>
      <w:r w:rsidRPr="00AF068C">
        <w:rPr>
          <w:rFonts w:ascii="標楷體-繁" w:eastAsia="標楷體-繁" w:hAnsi="標楷體-繁" w:cs="標楷體-繁"/>
          <w:color w:val="595959"/>
          <w:sz w:val="20"/>
          <w:szCs w:val="20"/>
        </w:rPr>
        <w:t>Risk, Hazards &amp; Crisis in Public Policy。</w:t>
      </w:r>
    </w:p>
    <w:bookmarkEnd w:id="2"/>
    <w:p w14:paraId="184EBC87"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Hsiao-Wen Wang et al.（2021）。</w:t>
      </w:r>
      <w:r>
        <w:rPr>
          <w:rFonts w:ascii="標楷體-繁" w:eastAsia="標楷體-繁" w:hAnsi="標楷體-繁" w:cs="標楷體-繁"/>
          <w:i/>
          <w:iCs/>
          <w:sz w:val="20"/>
          <w:szCs w:val="20"/>
        </w:rPr>
        <w:t>Learning From Each Other in the Management of Natural Disaster and COVID-19 Pandemic: A Case Study in Taiwan。</w:t>
      </w:r>
      <w:r>
        <w:rPr>
          <w:rFonts w:ascii="標楷體-繁" w:eastAsia="標楷體-繁" w:hAnsi="標楷體-繁" w:cs="標楷體-繁"/>
          <w:color w:val="595959"/>
          <w:sz w:val="20"/>
          <w:szCs w:val="20"/>
        </w:rPr>
        <w:t>Frontiers in Public Health。</w:t>
      </w:r>
    </w:p>
    <w:p w14:paraId="1FA347C9"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Ching-Fu Lin et al.（2020）。</w:t>
      </w:r>
      <w:r>
        <w:rPr>
          <w:rFonts w:ascii="標楷體-繁" w:eastAsia="標楷體-繁" w:hAnsi="標楷體-繁" w:cs="標楷體-繁"/>
          <w:i/>
          <w:iCs/>
          <w:sz w:val="20"/>
          <w:szCs w:val="20"/>
        </w:rPr>
        <w:t xml:space="preserve">Reimagining the Administrative State in Times of Global Health Crisis: An Anatomy of Taiwan's Regulatory Actions in Response to the COVID-19 </w:t>
      </w:r>
      <w:r>
        <w:rPr>
          <w:rFonts w:ascii="標楷體-繁" w:eastAsia="標楷體-繁" w:hAnsi="標楷體-繁" w:cs="標楷體-繁"/>
          <w:i/>
          <w:iCs/>
          <w:sz w:val="20"/>
          <w:szCs w:val="20"/>
        </w:rPr>
        <w:lastRenderedPageBreak/>
        <w:t>Pandemic。</w:t>
      </w:r>
      <w:r>
        <w:rPr>
          <w:rFonts w:ascii="標楷體-繁" w:eastAsia="標楷體-繁" w:hAnsi="標楷體-繁" w:cs="標楷體-繁"/>
          <w:color w:val="595959"/>
          <w:sz w:val="20"/>
          <w:szCs w:val="20"/>
        </w:rPr>
        <w:t>European Journal of Risk Regulation。</w:t>
      </w:r>
    </w:p>
    <w:p w14:paraId="5605B219"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b/>
          <w:bCs/>
          <w:color w:val="595959"/>
          <w:sz w:val="19"/>
          <w:szCs w:val="19"/>
        </w:rPr>
        <w:t>［選讀］</w:t>
      </w:r>
      <w:r>
        <w:rPr>
          <w:rFonts w:ascii="標楷體-繁" w:eastAsia="標楷體-繁" w:hAnsi="標楷體-繁" w:cs="標楷體-繁"/>
          <w:sz w:val="20"/>
          <w:szCs w:val="20"/>
        </w:rPr>
        <w:t>Chun-hao Chang（2016）。</w:t>
      </w:r>
      <w:r>
        <w:rPr>
          <w:rFonts w:ascii="標楷體-繁" w:eastAsia="標楷體-繁" w:hAnsi="標楷體-繁" w:cs="標楷體-繁"/>
          <w:i/>
          <w:iCs/>
          <w:sz w:val="20"/>
          <w:szCs w:val="20"/>
        </w:rPr>
        <w:t>The Constitutional System and Disaster Risk Governance in Taiwan: a Perspective on Institutional Resilience。</w:t>
      </w:r>
      <w:r>
        <w:rPr>
          <w:rFonts w:ascii="標楷體-繁" w:eastAsia="標楷體-繁" w:hAnsi="標楷體-繁" w:cs="標楷體-繁"/>
          <w:color w:val="595959"/>
          <w:sz w:val="20"/>
          <w:szCs w:val="20"/>
        </w:rPr>
        <w:t>（會議／專書論文）。</w:t>
      </w:r>
    </w:p>
    <w:p w14:paraId="338E5F3F"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b/>
          <w:bCs/>
          <w:color w:val="595959"/>
          <w:sz w:val="19"/>
          <w:szCs w:val="19"/>
        </w:rPr>
        <w:t>［選讀］</w:t>
      </w:r>
      <w:r>
        <w:rPr>
          <w:rFonts w:ascii="標楷體-繁" w:eastAsia="標楷體-繁" w:hAnsi="標楷體-繁" w:cs="標楷體-繁"/>
          <w:sz w:val="20"/>
          <w:szCs w:val="20"/>
        </w:rPr>
        <w:t>Jiin-Song Tsai et al.（2011）。</w:t>
      </w:r>
      <w:r>
        <w:rPr>
          <w:rFonts w:ascii="標楷體-繁" w:eastAsia="標楷體-繁" w:hAnsi="標楷體-繁" w:cs="標楷體-繁"/>
          <w:i/>
          <w:iCs/>
          <w:sz w:val="20"/>
          <w:szCs w:val="20"/>
        </w:rPr>
        <w:t>Dysfunction of governmental emergency management system for natural disaster: a case study of Taiwan Xiaolin village。</w:t>
      </w:r>
      <w:r>
        <w:rPr>
          <w:rFonts w:ascii="標楷體-繁" w:eastAsia="標楷體-繁" w:hAnsi="標楷體-繁" w:cs="標楷體-繁"/>
          <w:color w:val="595959"/>
          <w:sz w:val="20"/>
          <w:szCs w:val="20"/>
        </w:rPr>
        <w:t>（研討會論文）。</w:t>
      </w:r>
    </w:p>
    <w:p w14:paraId="77E8B885"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b/>
          <w:bCs/>
          <w:color w:val="595959"/>
          <w:sz w:val="19"/>
          <w:szCs w:val="19"/>
        </w:rPr>
        <w:t>［選讀］</w:t>
      </w:r>
      <w:r>
        <w:rPr>
          <w:rFonts w:ascii="標楷體-繁" w:eastAsia="標楷體-繁" w:hAnsi="標楷體-繁" w:cs="標楷體-繁"/>
          <w:sz w:val="20"/>
          <w:szCs w:val="20"/>
        </w:rPr>
        <w:t>Hsiang-Chieh Lee et al.（2019）。</w:t>
      </w:r>
      <w:r>
        <w:rPr>
          <w:rFonts w:ascii="標楷體-繁" w:eastAsia="標楷體-繁" w:hAnsi="標楷體-繁" w:cs="標楷體-繁"/>
          <w:i/>
          <w:iCs/>
          <w:sz w:val="20"/>
          <w:szCs w:val="20"/>
        </w:rPr>
        <w:t>Implementing the Sendai Framework for disaster risk reduction 2015–2030: Disaster governance strategies for persons with disabilities in Taiwan。</w:t>
      </w:r>
      <w:r>
        <w:rPr>
          <w:rFonts w:ascii="標楷體-繁" w:eastAsia="標楷體-繁" w:hAnsi="標楷體-繁" w:cs="標楷體-繁"/>
          <w:color w:val="595959"/>
          <w:sz w:val="20"/>
          <w:szCs w:val="20"/>
        </w:rPr>
        <w:t>International Journal of Disaster Risk Reduction。</w:t>
      </w:r>
    </w:p>
    <w:p w14:paraId="35FBAED8" w14:textId="77777777" w:rsidR="00FB719A" w:rsidRDefault="00FB719A">
      <w:pPr>
        <w:spacing w:after="60"/>
        <w:rPr>
          <w:rFonts w:ascii="標楷體-繁" w:eastAsia="標楷體-繁" w:hAnsi="標楷體-繁" w:cs="標楷體-繁"/>
        </w:rPr>
      </w:pPr>
    </w:p>
    <w:p w14:paraId="136F56EF" w14:textId="23A3E094" w:rsidR="00FB719A" w:rsidRDefault="000C2D25">
      <w:pPr>
        <w:pStyle w:val="2"/>
        <w:keepNext/>
        <w:spacing w:before="260" w:after="100"/>
        <w:rPr>
          <w:rFonts w:ascii="標楷體-繁" w:eastAsia="標楷體-繁" w:hAnsi="標楷體-繁" w:cs="標楷體-繁"/>
        </w:rPr>
      </w:pPr>
      <w:r>
        <w:rPr>
          <w:rFonts w:ascii="標楷體-繁" w:eastAsia="標楷體-繁" w:hAnsi="標楷體-繁" w:cs="標楷體-繁" w:hint="eastAsia"/>
          <w:b/>
          <w:bCs/>
          <w:color w:val="1F3864"/>
          <w:sz w:val="23"/>
          <w:szCs w:val="23"/>
        </w:rPr>
        <w:t>10/15</w:t>
      </w:r>
      <w:r>
        <w:rPr>
          <w:rFonts w:ascii="標楷體-繁" w:eastAsia="標楷體-繁" w:hAnsi="標楷體-繁" w:cs="標楷體-繁"/>
          <w:b/>
          <w:bCs/>
          <w:color w:val="1F3864"/>
          <w:sz w:val="23"/>
          <w:szCs w:val="23"/>
        </w:rPr>
        <w:t>｜</w:t>
      </w:r>
      <w:r w:rsidR="00000000">
        <w:rPr>
          <w:rFonts w:ascii="標楷體-繁" w:eastAsia="標楷體-繁" w:hAnsi="標楷體-繁" w:cs="標楷體-繁"/>
          <w:b/>
          <w:bCs/>
          <w:color w:val="1F3864"/>
          <w:sz w:val="23"/>
          <w:szCs w:val="23"/>
        </w:rPr>
        <w:t>第 6 週｜講者專題一：戰爭的日常政治與準備型公民</w:t>
      </w:r>
    </w:p>
    <w:p w14:paraId="3166C6B9"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i/>
          <w:iCs/>
          <w:color w:val="1F3864"/>
          <w:sz w:val="20"/>
          <w:szCs w:val="20"/>
        </w:rPr>
        <w:t>本週提問｜民防團體刻意以災害防救作為談論戰爭的入口——這個策略的代價是什麼？</w:t>
      </w:r>
    </w:p>
    <w:p w14:paraId="4EE26E04"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Wen Liu（劉文）（2024）。</w:t>
      </w:r>
      <w:r>
        <w:rPr>
          <w:rFonts w:ascii="標楷體-繁" w:eastAsia="標楷體-繁" w:hAnsi="標楷體-繁" w:cs="標楷體-繁"/>
          <w:i/>
          <w:iCs/>
          <w:sz w:val="20"/>
          <w:szCs w:val="20"/>
        </w:rPr>
        <w:t>The mundane politics of war in Taiwan: Psychological preparedness, civil defense, and permanent war。</w:t>
      </w:r>
      <w:r>
        <w:rPr>
          <w:rFonts w:ascii="標楷體-繁" w:eastAsia="標楷體-繁" w:hAnsi="標楷體-繁" w:cs="標楷體-繁"/>
          <w:color w:val="595959"/>
          <w:sz w:val="20"/>
          <w:szCs w:val="20"/>
        </w:rPr>
        <w:t>Security Dialogue, 55(1): 103–122。</w:t>
      </w:r>
    </w:p>
    <w:p w14:paraId="5FA35BE1"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劉文（2026）。</w:t>
      </w:r>
      <w:r>
        <w:rPr>
          <w:rFonts w:ascii="標楷體-繁" w:eastAsia="標楷體-繁" w:hAnsi="標楷體-繁" w:cs="標楷體-繁"/>
          <w:i/>
          <w:iCs/>
          <w:sz w:val="20"/>
          <w:szCs w:val="20"/>
        </w:rPr>
        <w:t>從大罷免到民防自訓：戰爭時間性與「準備型公民」的生成。</w:t>
      </w:r>
      <w:r>
        <w:rPr>
          <w:rFonts w:ascii="標楷體-繁" w:eastAsia="標楷體-繁" w:hAnsi="標楷體-繁" w:cs="標楷體-繁"/>
          <w:color w:val="595959"/>
          <w:sz w:val="20"/>
          <w:szCs w:val="20"/>
        </w:rPr>
        <w:t>臺灣社會學刊，第 80 期（即將出版）。</w:t>
      </w:r>
    </w:p>
    <w:p w14:paraId="1908AB12"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b/>
          <w:bCs/>
          <w:color w:val="595959"/>
          <w:sz w:val="19"/>
          <w:szCs w:val="19"/>
        </w:rPr>
        <w:t>［選讀］</w:t>
      </w:r>
      <w:bookmarkStart w:id="3" w:name="_Hlk237951473"/>
      <w:r w:rsidRPr="00F56C84">
        <w:rPr>
          <w:rFonts w:ascii="標楷體-繁" w:eastAsia="標楷體-繁" w:hAnsi="標楷體-繁" w:cs="標楷體-繁"/>
          <w:sz w:val="20"/>
          <w:szCs w:val="20"/>
        </w:rPr>
        <w:t>Josh Wenger et al.（2026）。</w:t>
      </w:r>
      <w:r w:rsidRPr="00F56C84">
        <w:rPr>
          <w:rFonts w:ascii="標楷體-繁" w:eastAsia="標楷體-繁" w:hAnsi="標楷體-繁" w:cs="標楷體-繁"/>
          <w:i/>
          <w:iCs/>
          <w:sz w:val="20"/>
          <w:szCs w:val="20"/>
        </w:rPr>
        <w:t>The shifting social foundations of public trust in Taiwan's military。</w:t>
      </w:r>
      <w:r w:rsidRPr="00F56C84">
        <w:rPr>
          <w:rFonts w:ascii="標楷體-繁" w:eastAsia="標楷體-繁" w:hAnsi="標楷體-繁" w:cs="標楷體-繁"/>
          <w:color w:val="595959"/>
          <w:sz w:val="20"/>
          <w:szCs w:val="20"/>
        </w:rPr>
        <w:t>The Sociological Review。</w:t>
      </w:r>
      <w:bookmarkEnd w:id="3"/>
    </w:p>
    <w:p w14:paraId="7C978D54"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b/>
          <w:bCs/>
          <w:color w:val="595959"/>
          <w:sz w:val="19"/>
          <w:szCs w:val="19"/>
        </w:rPr>
        <w:t>［選讀］</w:t>
      </w:r>
      <w:r>
        <w:rPr>
          <w:rFonts w:ascii="標楷體-繁" w:eastAsia="標楷體-繁" w:hAnsi="標楷體-繁" w:cs="標楷體-繁"/>
          <w:sz w:val="20"/>
          <w:szCs w:val="20"/>
        </w:rPr>
        <w:t>Ming-sho Ho（何明修）et al.（2025）。</w:t>
      </w:r>
      <w:r>
        <w:rPr>
          <w:rFonts w:ascii="標楷體-繁" w:eastAsia="標楷體-繁" w:hAnsi="標楷體-繁" w:cs="標楷體-繁"/>
          <w:i/>
          <w:iCs/>
          <w:sz w:val="20"/>
          <w:szCs w:val="20"/>
        </w:rPr>
        <w:t>Solidarity, democracy, or peace? Competing Taiwanese perspectives on the Russo-Ukrainian war。</w:t>
      </w:r>
      <w:r>
        <w:rPr>
          <w:rFonts w:ascii="標楷體-繁" w:eastAsia="標楷體-繁" w:hAnsi="標楷體-繁" w:cs="標楷體-繁"/>
          <w:color w:val="595959"/>
          <w:sz w:val="20"/>
          <w:szCs w:val="20"/>
        </w:rPr>
        <w:t>China Information。</w:t>
      </w:r>
    </w:p>
    <w:p w14:paraId="5D15CDC5" w14:textId="77777777" w:rsidR="00FB719A" w:rsidRDefault="00FB719A">
      <w:pPr>
        <w:spacing w:after="60"/>
        <w:rPr>
          <w:rFonts w:ascii="標楷體-繁" w:eastAsia="標楷體-繁" w:hAnsi="標楷體-繁" w:cs="標楷體-繁"/>
        </w:rPr>
      </w:pPr>
    </w:p>
    <w:p w14:paraId="2883DAF4" w14:textId="2ABA85EF" w:rsidR="00FB719A" w:rsidRDefault="000C2D25">
      <w:pPr>
        <w:pStyle w:val="2"/>
        <w:keepNext/>
        <w:spacing w:before="260" w:after="100"/>
        <w:rPr>
          <w:rFonts w:ascii="標楷體-繁" w:eastAsia="標楷體-繁" w:hAnsi="標楷體-繁" w:cs="標楷體-繁"/>
        </w:rPr>
      </w:pPr>
      <w:r>
        <w:rPr>
          <w:rFonts w:ascii="標楷體-繁" w:eastAsia="標楷體-繁" w:hAnsi="標楷體-繁" w:cs="標楷體-繁" w:hint="eastAsia"/>
          <w:b/>
          <w:bCs/>
          <w:color w:val="1F3864"/>
          <w:sz w:val="23"/>
          <w:szCs w:val="23"/>
        </w:rPr>
        <w:t>10/22</w:t>
      </w:r>
      <w:r>
        <w:rPr>
          <w:rFonts w:ascii="標楷體-繁" w:eastAsia="標楷體-繁" w:hAnsi="標楷體-繁" w:cs="標楷體-繁"/>
          <w:b/>
          <w:bCs/>
          <w:color w:val="1F3864"/>
          <w:sz w:val="23"/>
          <w:szCs w:val="23"/>
        </w:rPr>
        <w:t>｜</w:t>
      </w:r>
      <w:r w:rsidR="00000000">
        <w:rPr>
          <w:rFonts w:ascii="標楷體-繁" w:eastAsia="標楷體-繁" w:hAnsi="標楷體-繁" w:cs="標楷體-繁"/>
          <w:b/>
          <w:bCs/>
          <w:color w:val="1F3864"/>
          <w:sz w:val="23"/>
          <w:szCs w:val="23"/>
        </w:rPr>
        <w:t>第 7 週｜講者專題二：演練作為時間—情感機器</w:t>
      </w:r>
    </w:p>
    <w:p w14:paraId="65739B0E"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i/>
          <w:iCs/>
          <w:color w:val="1F3864"/>
          <w:sz w:val="20"/>
          <w:szCs w:val="20"/>
        </w:rPr>
        <w:t>本週提問｜國家演習追求腳本順暢，民間演習刻意製造混亂。哪一種才是整備？</w:t>
      </w:r>
    </w:p>
    <w:p w14:paraId="1F104ED1"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Wen Liu（劉文）（2026）。</w:t>
      </w:r>
      <w:r>
        <w:rPr>
          <w:rFonts w:ascii="標楷體-繁" w:eastAsia="標楷體-繁" w:hAnsi="標楷體-繁" w:cs="標楷體-繁"/>
          <w:i/>
          <w:iCs/>
          <w:sz w:val="20"/>
          <w:szCs w:val="20"/>
        </w:rPr>
        <w:t>Performing war, anticipating futures: affect and security in wartime simulations。</w:t>
      </w:r>
      <w:r>
        <w:rPr>
          <w:rFonts w:ascii="標楷體-繁" w:eastAsia="標楷體-繁" w:hAnsi="標楷體-繁" w:cs="標楷體-繁"/>
          <w:color w:val="595959"/>
          <w:sz w:val="20"/>
          <w:szCs w:val="20"/>
        </w:rPr>
        <w:t>Security Dialogue（advance article, DOI: 10.1093/secdia/xhag007）。</w:t>
      </w:r>
    </w:p>
    <w:p w14:paraId="4FAC5C86"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Elin Montelius et al.（2025）。</w:t>
      </w:r>
      <w:r>
        <w:rPr>
          <w:rFonts w:ascii="標楷體-繁" w:eastAsia="標楷體-繁" w:hAnsi="標楷體-繁" w:cs="標楷體-繁"/>
          <w:i/>
          <w:iCs/>
          <w:sz w:val="20"/>
          <w:szCs w:val="20"/>
        </w:rPr>
        <w:t>A challenged society: constructions of vulnerable and resilient subjects in Swedish total defence policies。</w:t>
      </w:r>
      <w:r>
        <w:rPr>
          <w:rFonts w:ascii="標楷體-繁" w:eastAsia="標楷體-繁" w:hAnsi="標楷體-繁" w:cs="標楷體-繁"/>
          <w:color w:val="595959"/>
          <w:sz w:val="20"/>
          <w:szCs w:val="20"/>
        </w:rPr>
        <w:t>Critical Studies on Security。</w:t>
      </w:r>
    </w:p>
    <w:p w14:paraId="22666E27"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b/>
          <w:bCs/>
          <w:color w:val="595959"/>
          <w:sz w:val="19"/>
          <w:szCs w:val="19"/>
        </w:rPr>
        <w:t>［選讀］</w:t>
      </w:r>
      <w:r>
        <w:rPr>
          <w:rFonts w:ascii="標楷體-繁" w:eastAsia="標楷體-繁" w:hAnsi="標楷體-繁" w:cs="標楷體-繁"/>
          <w:sz w:val="20"/>
          <w:szCs w:val="20"/>
        </w:rPr>
        <w:t>Syed Mahdi et al.（2023）。</w:t>
      </w:r>
      <w:r>
        <w:rPr>
          <w:rFonts w:ascii="標楷體-繁" w:eastAsia="標楷體-繁" w:hAnsi="標楷體-繁" w:cs="標楷體-繁"/>
          <w:i/>
          <w:iCs/>
          <w:sz w:val="20"/>
          <w:szCs w:val="20"/>
        </w:rPr>
        <w:t>Systematic review on the current state of disaster preparation Simulation Exercises (SimEx)。</w:t>
      </w:r>
      <w:r>
        <w:rPr>
          <w:rFonts w:ascii="標楷體-繁" w:eastAsia="標楷體-繁" w:hAnsi="標楷體-繁" w:cs="標楷體-繁"/>
          <w:color w:val="595959"/>
          <w:sz w:val="20"/>
          <w:szCs w:val="20"/>
        </w:rPr>
        <w:t>BMC Emergency Medicine。</w:t>
      </w:r>
    </w:p>
    <w:p w14:paraId="4E9C901B"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b/>
          <w:bCs/>
          <w:color w:val="595959"/>
          <w:sz w:val="19"/>
          <w:szCs w:val="19"/>
        </w:rPr>
        <w:t>［選讀］</w:t>
      </w:r>
      <w:r>
        <w:rPr>
          <w:rFonts w:ascii="標楷體-繁" w:eastAsia="標楷體-繁" w:hAnsi="標楷體-繁" w:cs="標楷體-繁"/>
          <w:sz w:val="20"/>
          <w:szCs w:val="20"/>
        </w:rPr>
        <w:t>Chih-Hsien Chi et al.（2001）。</w:t>
      </w:r>
      <w:r>
        <w:rPr>
          <w:rFonts w:ascii="標楷體-繁" w:eastAsia="標楷體-繁" w:hAnsi="標楷體-繁" w:cs="標楷體-繁"/>
          <w:i/>
          <w:iCs/>
          <w:sz w:val="20"/>
          <w:szCs w:val="20"/>
        </w:rPr>
        <w:t>Emergency medical technicians' disaster training by tabletop exercise。</w:t>
      </w:r>
      <w:r>
        <w:rPr>
          <w:rFonts w:ascii="標楷體-繁" w:eastAsia="標楷體-繁" w:hAnsi="標楷體-繁" w:cs="標楷體-繁"/>
          <w:color w:val="595959"/>
          <w:sz w:val="20"/>
          <w:szCs w:val="20"/>
        </w:rPr>
        <w:t>The American Journal of Emergency Medicine。</w:t>
      </w:r>
    </w:p>
    <w:p w14:paraId="67512FA7"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b/>
          <w:bCs/>
          <w:color w:val="595959"/>
          <w:sz w:val="19"/>
          <w:szCs w:val="19"/>
        </w:rPr>
        <w:t>［選讀］</w:t>
      </w:r>
      <w:bookmarkStart w:id="4" w:name="_Hlk237951483"/>
      <w:r w:rsidRPr="00F56C84">
        <w:rPr>
          <w:rFonts w:ascii="標楷體-繁" w:eastAsia="標楷體-繁" w:hAnsi="標楷體-繁" w:cs="標楷體-繁"/>
          <w:sz w:val="20"/>
          <w:szCs w:val="20"/>
        </w:rPr>
        <w:t>Mohammadreza Shahbazi et al.（2024）。</w:t>
      </w:r>
      <w:r w:rsidRPr="00F56C84">
        <w:rPr>
          <w:rFonts w:ascii="標楷體-繁" w:eastAsia="標楷體-繁" w:hAnsi="標楷體-繁" w:cs="標楷體-繁"/>
          <w:i/>
          <w:iCs/>
          <w:sz w:val="20"/>
          <w:szCs w:val="20"/>
        </w:rPr>
        <w:t>Social media trust: Fighting misinformation in the time of crisis。</w:t>
      </w:r>
      <w:r w:rsidRPr="00F56C84">
        <w:rPr>
          <w:rFonts w:ascii="標楷體-繁" w:eastAsia="標楷體-繁" w:hAnsi="標楷體-繁" w:cs="標楷體-繁"/>
          <w:color w:val="595959"/>
          <w:sz w:val="20"/>
          <w:szCs w:val="20"/>
        </w:rPr>
        <w:t>International Journal of Information Management。</w:t>
      </w:r>
      <w:bookmarkEnd w:id="4"/>
    </w:p>
    <w:p w14:paraId="309DFD53" w14:textId="77777777" w:rsidR="00FB719A" w:rsidRDefault="00FB719A">
      <w:pPr>
        <w:spacing w:after="60"/>
        <w:rPr>
          <w:rFonts w:ascii="標楷體-繁" w:eastAsia="標楷體-繁" w:hAnsi="標楷體-繁" w:cs="標楷體-繁"/>
        </w:rPr>
      </w:pPr>
    </w:p>
    <w:p w14:paraId="380C22F5" w14:textId="10FCB900" w:rsidR="00FB719A" w:rsidRDefault="000C2D25">
      <w:pPr>
        <w:pStyle w:val="2"/>
        <w:keepNext/>
        <w:spacing w:before="260" w:after="100"/>
        <w:rPr>
          <w:rFonts w:ascii="標楷體-繁" w:eastAsia="標楷體-繁" w:hAnsi="標楷體-繁" w:cs="標楷體-繁"/>
          <w:b/>
          <w:bCs/>
          <w:color w:val="1F3864"/>
          <w:sz w:val="23"/>
          <w:szCs w:val="23"/>
        </w:rPr>
      </w:pPr>
      <w:r>
        <w:rPr>
          <w:rFonts w:ascii="標楷體-繁" w:eastAsia="標楷體-繁" w:hAnsi="標楷體-繁" w:cs="標楷體-繁" w:hint="eastAsia"/>
          <w:b/>
          <w:bCs/>
          <w:color w:val="1F3864"/>
          <w:sz w:val="23"/>
          <w:szCs w:val="23"/>
        </w:rPr>
        <w:t>10/29</w:t>
      </w:r>
      <w:r>
        <w:rPr>
          <w:rFonts w:ascii="標楷體-繁" w:eastAsia="標楷體-繁" w:hAnsi="標楷體-繁" w:cs="標楷體-繁"/>
          <w:b/>
          <w:bCs/>
          <w:color w:val="1F3864"/>
          <w:sz w:val="23"/>
          <w:szCs w:val="23"/>
        </w:rPr>
        <w:t>｜</w:t>
      </w:r>
      <w:r w:rsidR="00000000">
        <w:rPr>
          <w:rFonts w:ascii="標楷體-繁" w:eastAsia="標楷體-繁" w:hAnsi="標楷體-繁" w:cs="標楷體-繁"/>
          <w:b/>
          <w:bCs/>
          <w:color w:val="1F3864"/>
          <w:sz w:val="23"/>
          <w:szCs w:val="23"/>
        </w:rPr>
        <w:t>第 8 週｜【客座演講】劉文（中央研究院民族學研究所）</w:t>
      </w:r>
    </w:p>
    <w:p w14:paraId="44A5E79F" w14:textId="77777777" w:rsidR="00FB719A" w:rsidRDefault="00000000">
      <w:pPr>
        <w:pStyle w:val="2"/>
        <w:keepNext/>
        <w:spacing w:before="260" w:after="100"/>
        <w:rPr>
          <w:rFonts w:ascii="標楷體-繁" w:eastAsia="標楷體-繁" w:hAnsi="標楷體-繁" w:cs="標楷體-繁"/>
        </w:rPr>
      </w:pPr>
      <w:r>
        <w:rPr>
          <w:rFonts w:ascii="標楷體-繁" w:eastAsia="標楷體-繁" w:hAnsi="標楷體-繁" w:cs="標楷體-繁"/>
          <w:b/>
          <w:bCs/>
          <w:color w:val="1F3864"/>
          <w:sz w:val="23"/>
          <w:szCs w:val="23"/>
        </w:rPr>
        <w:t>上課時間10:30-12:00</w:t>
      </w:r>
    </w:p>
    <w:p w14:paraId="2BB397B4"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i/>
          <w:iCs/>
          <w:color w:val="1F3864"/>
          <w:sz w:val="20"/>
          <w:szCs w:val="20"/>
        </w:rPr>
        <w:t>本週提問｜（客座演講週：請於課前一週上傳提問）</w:t>
      </w:r>
    </w:p>
    <w:p w14:paraId="23CF9F2C" w14:textId="77777777" w:rsidR="00FB719A" w:rsidRDefault="00000000">
      <w:pPr>
        <w:spacing w:after="60" w:line="250" w:lineRule="auto"/>
        <w:ind w:left="340" w:hanging="340"/>
        <w:rPr>
          <w:rFonts w:ascii="標楷體-繁" w:eastAsia="標楷體-繁" w:hAnsi="標楷體-繁" w:cs="標楷體-繁"/>
          <w:i/>
          <w:iCs/>
          <w:sz w:val="20"/>
          <w:szCs w:val="20"/>
        </w:rPr>
      </w:pPr>
      <w:r>
        <w:rPr>
          <w:rFonts w:ascii="標楷體-繁" w:eastAsia="標楷體-繁" w:hAnsi="標楷體-繁" w:cs="標楷體-繁"/>
          <w:sz w:val="20"/>
          <w:szCs w:val="20"/>
        </w:rPr>
        <w:t>劉文（Wen Liu）（2026）。</w:t>
      </w:r>
      <w:r>
        <w:rPr>
          <w:rFonts w:ascii="標楷體-繁" w:eastAsia="標楷體-繁" w:hAnsi="標楷體-繁" w:cs="標楷體-繁"/>
          <w:i/>
          <w:iCs/>
          <w:sz w:val="20"/>
          <w:szCs w:val="20"/>
        </w:rPr>
        <w:t>客座演講：戰爭整備、民防動員與公民主體。</w:t>
      </w:r>
    </w:p>
    <w:p w14:paraId="6F1A1919"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color w:val="595959"/>
          <w:sz w:val="20"/>
          <w:szCs w:val="20"/>
        </w:rPr>
        <w:t>本週無新指定閱讀。</w:t>
      </w:r>
    </w:p>
    <w:p w14:paraId="5741C42C" w14:textId="77777777" w:rsidR="00FB719A" w:rsidRDefault="00FB719A">
      <w:pPr>
        <w:spacing w:after="60"/>
        <w:rPr>
          <w:rFonts w:ascii="標楷體-繁" w:eastAsia="標楷體-繁" w:hAnsi="標楷體-繁" w:cs="標楷體-繁"/>
        </w:rPr>
      </w:pPr>
    </w:p>
    <w:p w14:paraId="110FC200" w14:textId="586B1D18" w:rsidR="00FB719A" w:rsidRDefault="000C2D25">
      <w:pPr>
        <w:pStyle w:val="2"/>
        <w:keepNext/>
        <w:spacing w:before="260" w:after="100"/>
        <w:rPr>
          <w:rFonts w:ascii="標楷體-繁" w:eastAsia="標楷體-繁" w:hAnsi="標楷體-繁" w:cs="標楷體-繁"/>
        </w:rPr>
      </w:pPr>
      <w:r>
        <w:rPr>
          <w:rFonts w:ascii="標楷體-繁" w:eastAsia="標楷體-繁" w:hAnsi="標楷體-繁" w:cs="標楷體-繁" w:hint="eastAsia"/>
          <w:b/>
          <w:bCs/>
          <w:color w:val="1F3864"/>
          <w:sz w:val="23"/>
          <w:szCs w:val="23"/>
        </w:rPr>
        <w:lastRenderedPageBreak/>
        <w:t>11/5</w:t>
      </w:r>
      <w:r>
        <w:rPr>
          <w:rFonts w:ascii="標楷體-繁" w:eastAsia="標楷體-繁" w:hAnsi="標楷體-繁" w:cs="標楷體-繁"/>
          <w:b/>
          <w:bCs/>
          <w:color w:val="1F3864"/>
          <w:sz w:val="23"/>
          <w:szCs w:val="23"/>
        </w:rPr>
        <w:t>｜</w:t>
      </w:r>
      <w:r w:rsidR="00000000">
        <w:rPr>
          <w:rFonts w:ascii="標楷體-繁" w:eastAsia="標楷體-繁" w:hAnsi="標楷體-繁" w:cs="標楷體-繁"/>
          <w:b/>
          <w:bCs/>
          <w:color w:val="1F3864"/>
          <w:sz w:val="23"/>
          <w:szCs w:val="23"/>
        </w:rPr>
        <w:t>第 9 週｜緊急狀態下的基層官僚：裁量、壓力與課責</w:t>
      </w:r>
    </w:p>
    <w:p w14:paraId="249230B3"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i/>
          <w:iCs/>
          <w:color w:val="1F3864"/>
          <w:sz w:val="20"/>
          <w:szCs w:val="20"/>
        </w:rPr>
        <w:t>本週提問｜危機使基層裁量擴大，同時使課責失效。這兩者能分開處理嗎？</w:t>
      </w:r>
    </w:p>
    <w:p w14:paraId="17630D6F"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Anat Gofen et al.（2021）。</w:t>
      </w:r>
      <w:r>
        <w:rPr>
          <w:rFonts w:ascii="標楷體-繁" w:eastAsia="標楷體-繁" w:hAnsi="標楷體-繁" w:cs="標楷體-繁"/>
          <w:i/>
          <w:iCs/>
          <w:sz w:val="20"/>
          <w:szCs w:val="20"/>
        </w:rPr>
        <w:t>Street-Level Bureaucrats at the Forefront of Pandemic Response: A Comparative Perspective。</w:t>
      </w:r>
      <w:r>
        <w:rPr>
          <w:rFonts w:ascii="標楷體-繁" w:eastAsia="標楷體-繁" w:hAnsi="標楷體-繁" w:cs="標楷體-繁"/>
          <w:color w:val="595959"/>
          <w:sz w:val="20"/>
          <w:szCs w:val="20"/>
        </w:rPr>
        <w:t>Journal of Comparative Policy Analysis。</w:t>
      </w:r>
    </w:p>
    <w:p w14:paraId="4E071CF6" w14:textId="77777777" w:rsidR="00FB719A" w:rsidRDefault="00000000">
      <w:pPr>
        <w:spacing w:after="60" w:line="250" w:lineRule="auto"/>
        <w:ind w:left="340" w:hanging="340"/>
        <w:rPr>
          <w:rFonts w:ascii="標楷體-繁" w:eastAsia="標楷體-繁" w:hAnsi="標楷體-繁" w:cs="標楷體-繁"/>
        </w:rPr>
      </w:pPr>
      <w:bookmarkStart w:id="5" w:name="_Hlk237951497"/>
      <w:r w:rsidRPr="00F56C84">
        <w:rPr>
          <w:rFonts w:ascii="標楷體-繁" w:eastAsia="標楷體-繁" w:hAnsi="標楷體-繁" w:cs="標楷體-繁"/>
          <w:sz w:val="20"/>
          <w:szCs w:val="20"/>
        </w:rPr>
        <w:t>Vicente Ferraro et al.（2025）。</w:t>
      </w:r>
      <w:r w:rsidRPr="00F56C84">
        <w:rPr>
          <w:rFonts w:ascii="標楷體-繁" w:eastAsia="標楷體-繁" w:hAnsi="標楷體-繁" w:cs="標楷體-繁"/>
          <w:i/>
          <w:iCs/>
          <w:sz w:val="20"/>
          <w:szCs w:val="20"/>
        </w:rPr>
        <w:t>How Wars Impact Public Administration and Street-Level Bureaucracy: Teachers and Education Professionals on the Frontlines of the Russian Occupation in Ukraine。</w:t>
      </w:r>
      <w:r w:rsidRPr="00F56C84">
        <w:rPr>
          <w:rFonts w:ascii="標楷體-繁" w:eastAsia="標楷體-繁" w:hAnsi="標楷體-繁" w:cs="標楷體-繁"/>
          <w:color w:val="595959"/>
          <w:sz w:val="20"/>
          <w:szCs w:val="20"/>
        </w:rPr>
        <w:t>Journal of Public Administration Research and Theory。</w:t>
      </w:r>
    </w:p>
    <w:bookmarkEnd w:id="5"/>
    <w:p w14:paraId="01EEE7B5"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Fernanda Lima-Silva et al.（2020）。</w:t>
      </w:r>
      <w:r>
        <w:rPr>
          <w:rFonts w:ascii="標楷體-繁" w:eastAsia="標楷體-繁" w:hAnsi="標楷體-繁" w:cs="標楷體-繁"/>
          <w:i/>
          <w:iCs/>
          <w:sz w:val="20"/>
          <w:szCs w:val="20"/>
        </w:rPr>
        <w:t>Street-level bureaucracy in the pandemic: the perception of frontline social workers on policy implementation。</w:t>
      </w:r>
      <w:r>
        <w:rPr>
          <w:rFonts w:ascii="標楷體-繁" w:eastAsia="標楷體-繁" w:hAnsi="標楷體-繁" w:cs="標楷體-繁"/>
          <w:color w:val="595959"/>
          <w:sz w:val="20"/>
          <w:szCs w:val="20"/>
        </w:rPr>
        <w:t>Revista de Administra</w:t>
      </w:r>
      <w:r>
        <w:rPr>
          <w:rFonts w:ascii="Cambria" w:eastAsia="Cambria" w:hAnsi="Cambria" w:cs="Cambria"/>
          <w:color w:val="595959"/>
          <w:sz w:val="20"/>
          <w:szCs w:val="20"/>
        </w:rPr>
        <w:t>çã</w:t>
      </w:r>
      <w:r>
        <w:rPr>
          <w:rFonts w:ascii="標楷體-繁" w:eastAsia="標楷體-繁" w:hAnsi="標楷體-繁" w:cs="標楷體-繁"/>
          <w:color w:val="595959"/>
          <w:sz w:val="20"/>
          <w:szCs w:val="20"/>
        </w:rPr>
        <w:t>o P</w:t>
      </w:r>
      <w:r>
        <w:rPr>
          <w:rFonts w:ascii="Cambria" w:eastAsia="Cambria" w:hAnsi="Cambria" w:cs="Cambria"/>
          <w:color w:val="595959"/>
          <w:sz w:val="20"/>
          <w:szCs w:val="20"/>
        </w:rPr>
        <w:t>ú</w:t>
      </w:r>
      <w:r>
        <w:rPr>
          <w:rFonts w:ascii="標楷體-繁" w:eastAsia="標楷體-繁" w:hAnsi="標楷體-繁" w:cs="標楷體-繁"/>
          <w:color w:val="595959"/>
          <w:sz w:val="20"/>
          <w:szCs w:val="20"/>
        </w:rPr>
        <w:t>blica。</w:t>
      </w:r>
    </w:p>
    <w:p w14:paraId="453BB22B" w14:textId="77777777" w:rsidR="00FB719A" w:rsidRDefault="00FB719A">
      <w:pPr>
        <w:spacing w:after="60"/>
        <w:rPr>
          <w:rFonts w:ascii="標楷體-繁" w:eastAsia="標楷體-繁" w:hAnsi="標楷體-繁" w:cs="標楷體-繁"/>
        </w:rPr>
      </w:pPr>
    </w:p>
    <w:p w14:paraId="1E2EE3EE" w14:textId="534E309E" w:rsidR="00FB719A" w:rsidRDefault="000C2D25">
      <w:pPr>
        <w:pStyle w:val="2"/>
        <w:keepNext/>
        <w:spacing w:before="260" w:after="100"/>
        <w:rPr>
          <w:rFonts w:ascii="標楷體-繁" w:eastAsia="標楷體-繁" w:hAnsi="標楷體-繁" w:cs="標楷體-繁"/>
        </w:rPr>
      </w:pPr>
      <w:r>
        <w:rPr>
          <w:rFonts w:ascii="標楷體-繁" w:eastAsia="標楷體-繁" w:hAnsi="標楷體-繁" w:cs="標楷體-繁" w:hint="eastAsia"/>
          <w:b/>
          <w:bCs/>
          <w:color w:val="1F3864"/>
          <w:sz w:val="23"/>
          <w:szCs w:val="23"/>
        </w:rPr>
        <w:t>11/12</w:t>
      </w:r>
      <w:r>
        <w:rPr>
          <w:rFonts w:ascii="標楷體-繁" w:eastAsia="標楷體-繁" w:hAnsi="標楷體-繁" w:cs="標楷體-繁"/>
          <w:b/>
          <w:bCs/>
          <w:color w:val="1F3864"/>
          <w:sz w:val="23"/>
          <w:szCs w:val="23"/>
        </w:rPr>
        <w:t>｜</w:t>
      </w:r>
      <w:r w:rsidR="00000000">
        <w:rPr>
          <w:rFonts w:ascii="標楷體-繁" w:eastAsia="標楷體-繁" w:hAnsi="標楷體-繁" w:cs="標楷體-繁"/>
          <w:b/>
          <w:bCs/>
          <w:color w:val="1F3864"/>
          <w:sz w:val="23"/>
          <w:szCs w:val="23"/>
        </w:rPr>
        <w:t>第 10 週｜戰爭中的社會工作實踐與助人者的替代性創傷</w:t>
      </w:r>
    </w:p>
    <w:p w14:paraId="07EAF6CF"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i/>
          <w:iCs/>
          <w:color w:val="1F3864"/>
          <w:sz w:val="20"/>
          <w:szCs w:val="20"/>
        </w:rPr>
        <w:t>本週提問｜當助人者與案主同處危險之中，專業界線的模糊是風險還是資源？</w:t>
      </w:r>
    </w:p>
    <w:p w14:paraId="5C0B1267"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Brian E. Bride（2007）。</w:t>
      </w:r>
      <w:r>
        <w:rPr>
          <w:rFonts w:ascii="標楷體-繁" w:eastAsia="標楷體-繁" w:hAnsi="標楷體-繁" w:cs="標楷體-繁"/>
          <w:i/>
          <w:iCs/>
          <w:sz w:val="20"/>
          <w:szCs w:val="20"/>
        </w:rPr>
        <w:t>Prevalence of secondary traumatic stress among social workers。</w:t>
      </w:r>
      <w:r>
        <w:rPr>
          <w:rFonts w:ascii="標楷體-繁" w:eastAsia="標楷體-繁" w:hAnsi="標楷體-繁" w:cs="標楷體-繁"/>
          <w:color w:val="595959"/>
          <w:sz w:val="20"/>
          <w:szCs w:val="20"/>
        </w:rPr>
        <w:t>Social Work。</w:t>
      </w:r>
    </w:p>
    <w:p w14:paraId="2FCDE3E4"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Becky Leshem et al.（2024）。</w:t>
      </w:r>
      <w:r>
        <w:rPr>
          <w:rFonts w:ascii="標楷體-繁" w:eastAsia="標楷體-繁" w:hAnsi="標楷體-繁" w:cs="標楷體-繁"/>
          <w:i/>
          <w:iCs/>
          <w:sz w:val="20"/>
          <w:szCs w:val="20"/>
        </w:rPr>
        <w:t>Shared Traumatic Reality During the Continuous War in Ukraine and the Protective Role of Transgenerational Transfer: Voices of Mental Health Professionals。</w:t>
      </w:r>
      <w:r>
        <w:rPr>
          <w:rFonts w:ascii="標楷體-繁" w:eastAsia="標楷體-繁" w:hAnsi="標楷體-繁" w:cs="標楷體-繁"/>
          <w:color w:val="595959"/>
          <w:sz w:val="20"/>
          <w:szCs w:val="20"/>
        </w:rPr>
        <w:t>Journal of Community Psychology。</w:t>
      </w:r>
    </w:p>
    <w:p w14:paraId="08AC7FF1" w14:textId="77777777" w:rsidR="00FB719A" w:rsidRDefault="00000000">
      <w:pPr>
        <w:spacing w:after="60" w:line="250" w:lineRule="auto"/>
        <w:ind w:left="340" w:hanging="340"/>
        <w:rPr>
          <w:rFonts w:ascii="標楷體-繁" w:eastAsia="標楷體-繁" w:hAnsi="標楷體-繁" w:cs="標楷體-繁"/>
        </w:rPr>
      </w:pPr>
      <w:bookmarkStart w:id="6" w:name="_Hlk237951506"/>
      <w:r w:rsidRPr="00092A2D">
        <w:rPr>
          <w:rFonts w:ascii="標楷體-繁" w:eastAsia="標楷體-繁" w:hAnsi="標楷體-繁" w:cs="標楷體-繁"/>
          <w:sz w:val="20"/>
          <w:szCs w:val="20"/>
          <w:highlight w:val="yellow"/>
        </w:rPr>
        <w:t>Nataliia Gusak et al.（2024）。</w:t>
      </w:r>
      <w:r w:rsidRPr="00092A2D">
        <w:rPr>
          <w:rFonts w:ascii="標楷體-繁" w:eastAsia="標楷體-繁" w:hAnsi="標楷體-繁" w:cs="標楷體-繁"/>
          <w:i/>
          <w:iCs/>
          <w:sz w:val="20"/>
          <w:szCs w:val="20"/>
          <w:highlight w:val="yellow"/>
        </w:rPr>
        <w:t>Reflections from a Seminar Series Supporting Ukrainian Social Workers in Time of War: Professional Solidarity and Human Rights。</w:t>
      </w:r>
      <w:r w:rsidRPr="00092A2D">
        <w:rPr>
          <w:rFonts w:ascii="標楷體-繁" w:eastAsia="標楷體-繁" w:hAnsi="標楷體-繁" w:cs="標楷體-繁"/>
          <w:color w:val="595959"/>
          <w:sz w:val="20"/>
          <w:szCs w:val="20"/>
          <w:highlight w:val="yellow"/>
        </w:rPr>
        <w:t>Journal of Human Rights and Social Work。</w:t>
      </w:r>
    </w:p>
    <w:bookmarkEnd w:id="6"/>
    <w:p w14:paraId="5CB4F96C" w14:textId="77777777" w:rsidR="00FB719A" w:rsidRDefault="00FB719A">
      <w:pPr>
        <w:spacing w:after="60"/>
        <w:rPr>
          <w:rFonts w:ascii="標楷體-繁" w:eastAsia="標楷體-繁" w:hAnsi="標楷體-繁" w:cs="標楷體-繁"/>
        </w:rPr>
      </w:pPr>
    </w:p>
    <w:p w14:paraId="25D178E8" w14:textId="47E375E8" w:rsidR="00FB719A" w:rsidRDefault="000C2D25">
      <w:pPr>
        <w:pStyle w:val="2"/>
        <w:keepNext/>
        <w:spacing w:before="260" w:after="100"/>
        <w:rPr>
          <w:rFonts w:ascii="標楷體-繁" w:eastAsia="標楷體-繁" w:hAnsi="標楷體-繁" w:cs="標楷體-繁"/>
        </w:rPr>
      </w:pPr>
      <w:r>
        <w:rPr>
          <w:rFonts w:ascii="標楷體-繁" w:eastAsia="標楷體-繁" w:hAnsi="標楷體-繁" w:cs="標楷體-繁" w:hint="eastAsia"/>
          <w:b/>
          <w:bCs/>
          <w:color w:val="1F3864"/>
          <w:sz w:val="23"/>
          <w:szCs w:val="23"/>
        </w:rPr>
        <w:t>11/19</w:t>
      </w:r>
      <w:r>
        <w:rPr>
          <w:rFonts w:ascii="標楷體-繁" w:eastAsia="標楷體-繁" w:hAnsi="標楷體-繁" w:cs="標楷體-繁"/>
          <w:b/>
          <w:bCs/>
          <w:color w:val="1F3864"/>
          <w:sz w:val="23"/>
          <w:szCs w:val="23"/>
        </w:rPr>
        <w:t>｜</w:t>
      </w:r>
      <w:r w:rsidR="00000000">
        <w:rPr>
          <w:rFonts w:ascii="標楷體-繁" w:eastAsia="標楷體-繁" w:hAnsi="標楷體-繁" w:cs="標楷體-繁"/>
          <w:b/>
          <w:bCs/>
          <w:color w:val="1F3864"/>
          <w:sz w:val="23"/>
          <w:szCs w:val="23"/>
        </w:rPr>
        <w:t xml:space="preserve"> </w:t>
      </w:r>
      <w:r>
        <w:rPr>
          <w:rFonts w:ascii="標楷體-繁" w:eastAsia="標楷體-繁" w:hAnsi="標楷體-繁" w:cs="標楷體-繁" w:hint="eastAsia"/>
          <w:b/>
          <w:bCs/>
          <w:color w:val="1F3864"/>
          <w:sz w:val="23"/>
          <w:szCs w:val="23"/>
        </w:rPr>
        <w:t>第</w:t>
      </w:r>
      <w:r w:rsidR="00000000">
        <w:rPr>
          <w:rFonts w:ascii="標楷體-繁" w:eastAsia="標楷體-繁" w:hAnsi="標楷體-繁" w:cs="標楷體-繁"/>
          <w:b/>
          <w:bCs/>
          <w:color w:val="1F3864"/>
          <w:sz w:val="23"/>
          <w:szCs w:val="23"/>
        </w:rPr>
        <w:t>11 週｜流離失所者、難民與移工：跨國人道援助與安置政策</w:t>
      </w:r>
    </w:p>
    <w:p w14:paraId="7018197F"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i/>
          <w:iCs/>
          <w:color w:val="1F3864"/>
          <w:sz w:val="20"/>
          <w:szCs w:val="20"/>
        </w:rPr>
        <w:t>本週提問｜社會保護的資格設計預設了穩定居住與身分登記。大規模流離會讓哪些要件立即失效？</w:t>
      </w:r>
    </w:p>
    <w:p w14:paraId="67970655"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Rachel Sabates-Wheeler（2019）。</w:t>
      </w:r>
      <w:r>
        <w:rPr>
          <w:rFonts w:ascii="標楷體-繁" w:eastAsia="標楷體-繁" w:hAnsi="標楷體-繁" w:cs="標楷體-繁"/>
          <w:i/>
          <w:iCs/>
          <w:sz w:val="20"/>
          <w:szCs w:val="20"/>
        </w:rPr>
        <w:t>Mapping differential vulnerabilities and rights: 'opening' access to social protection for forcibly displaced populations。</w:t>
      </w:r>
      <w:r>
        <w:rPr>
          <w:rFonts w:ascii="標楷體-繁" w:eastAsia="標楷體-繁" w:hAnsi="標楷體-繁" w:cs="標楷體-繁"/>
          <w:color w:val="595959"/>
          <w:sz w:val="20"/>
          <w:szCs w:val="20"/>
        </w:rPr>
        <w:t>Comparative Migration Studies。</w:t>
      </w:r>
    </w:p>
    <w:p w14:paraId="27DAEBFB"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Sandra V. Rozo et al.（2025）。</w:t>
      </w:r>
      <w:r>
        <w:rPr>
          <w:rFonts w:ascii="標楷體-繁" w:eastAsia="標楷體-繁" w:hAnsi="標楷體-繁" w:cs="標楷體-繁"/>
          <w:i/>
          <w:iCs/>
          <w:sz w:val="20"/>
          <w:szCs w:val="20"/>
        </w:rPr>
        <w:t>Refugees and Other Forcibly Displaced Populations。</w:t>
      </w:r>
      <w:r>
        <w:rPr>
          <w:rFonts w:ascii="標楷體-繁" w:eastAsia="標楷體-繁" w:hAnsi="標楷體-繁" w:cs="標楷體-繁"/>
          <w:color w:val="595959"/>
          <w:sz w:val="20"/>
          <w:szCs w:val="20"/>
        </w:rPr>
        <w:t>VoxDevLit。</w:t>
      </w:r>
    </w:p>
    <w:p w14:paraId="149BD4C0"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Hannah Haycox（2022）。</w:t>
      </w:r>
      <w:r>
        <w:rPr>
          <w:rFonts w:ascii="標楷體-繁" w:eastAsia="標楷體-繁" w:hAnsi="標楷體-繁" w:cs="標楷體-繁"/>
          <w:i/>
          <w:iCs/>
          <w:sz w:val="20"/>
          <w:szCs w:val="20"/>
        </w:rPr>
        <w:t>Policy paradoxes and the Vulnerable Persons Resettlement Scheme: How welfare policies impact resettlement support。</w:t>
      </w:r>
      <w:r>
        <w:rPr>
          <w:rFonts w:ascii="標楷體-繁" w:eastAsia="標楷體-繁" w:hAnsi="標楷體-繁" w:cs="標楷體-繁"/>
          <w:color w:val="595959"/>
          <w:sz w:val="20"/>
          <w:szCs w:val="20"/>
        </w:rPr>
        <w:t>Critical Social Policy。</w:t>
      </w:r>
    </w:p>
    <w:p w14:paraId="393D980D" w14:textId="77777777" w:rsidR="00FB719A" w:rsidRDefault="00FB719A">
      <w:pPr>
        <w:spacing w:after="60"/>
        <w:rPr>
          <w:rFonts w:ascii="標楷體-繁" w:eastAsia="標楷體-繁" w:hAnsi="標楷體-繁" w:cs="標楷體-繁"/>
        </w:rPr>
      </w:pPr>
    </w:p>
    <w:p w14:paraId="0AFEFD72" w14:textId="11358991" w:rsidR="00FB719A" w:rsidRDefault="000C2D25">
      <w:pPr>
        <w:pStyle w:val="2"/>
        <w:keepNext/>
        <w:spacing w:before="260" w:after="100"/>
        <w:rPr>
          <w:rFonts w:ascii="標楷體-繁" w:eastAsia="標楷體-繁" w:hAnsi="標楷體-繁" w:cs="標楷體-繁"/>
        </w:rPr>
      </w:pPr>
      <w:r>
        <w:rPr>
          <w:rFonts w:ascii="標楷體-繁" w:eastAsia="標楷體-繁" w:hAnsi="標楷體-繁" w:cs="標楷體-繁" w:hint="eastAsia"/>
          <w:b/>
          <w:bCs/>
          <w:color w:val="1F3864"/>
          <w:sz w:val="23"/>
          <w:szCs w:val="23"/>
        </w:rPr>
        <w:t>11/26</w:t>
      </w:r>
      <w:r>
        <w:rPr>
          <w:rFonts w:ascii="標楷體-繁" w:eastAsia="標楷體-繁" w:hAnsi="標楷體-繁" w:cs="標楷體-繁"/>
          <w:b/>
          <w:bCs/>
          <w:color w:val="1F3864"/>
          <w:sz w:val="23"/>
          <w:szCs w:val="23"/>
        </w:rPr>
        <w:t>｜</w:t>
      </w:r>
      <w:r w:rsidR="00000000">
        <w:rPr>
          <w:rFonts w:ascii="標楷體-繁" w:eastAsia="標楷體-繁" w:hAnsi="標楷體-繁" w:cs="標楷體-繁"/>
          <w:b/>
          <w:bCs/>
          <w:color w:val="1F3864"/>
          <w:sz w:val="23"/>
          <w:szCs w:val="23"/>
        </w:rPr>
        <w:t>第 12 週｜NGO、公私協力與跨部門治理</w:t>
      </w:r>
    </w:p>
    <w:p w14:paraId="734DC644"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i/>
          <w:iCs/>
          <w:color w:val="1F3864"/>
          <w:sz w:val="20"/>
          <w:szCs w:val="20"/>
        </w:rPr>
        <w:t>本週提問｜NGO 的正當性若來自「補位」，當國家能力提升時它的角色會萎縮還是轉向監督？</w:t>
      </w:r>
    </w:p>
    <w:p w14:paraId="09BC2654"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Jonatan A. Lassa（2018）。</w:t>
      </w:r>
      <w:r>
        <w:rPr>
          <w:rFonts w:ascii="標楷體-繁" w:eastAsia="標楷體-繁" w:hAnsi="標楷體-繁" w:cs="標楷體-繁"/>
          <w:i/>
          <w:iCs/>
          <w:sz w:val="20"/>
          <w:szCs w:val="20"/>
        </w:rPr>
        <w:t>Roles of Non-Government Organizations in Disaster Risk Reduction。</w:t>
      </w:r>
      <w:r>
        <w:rPr>
          <w:rFonts w:ascii="標楷體-繁" w:eastAsia="標楷體-繁" w:hAnsi="標楷體-繁" w:cs="標楷體-繁"/>
          <w:color w:val="595959"/>
          <w:sz w:val="20"/>
          <w:szCs w:val="20"/>
        </w:rPr>
        <w:t>Oxford Research Encyclopedia of Natural Hazard Science。</w:t>
      </w:r>
    </w:p>
    <w:p w14:paraId="12170F4E"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Eun-Seon Park et al.（2022）。</w:t>
      </w:r>
      <w:r>
        <w:rPr>
          <w:rFonts w:ascii="標楷體-繁" w:eastAsia="標楷體-繁" w:hAnsi="標楷體-繁" w:cs="標楷體-繁"/>
          <w:i/>
          <w:iCs/>
          <w:sz w:val="20"/>
          <w:szCs w:val="20"/>
        </w:rPr>
        <w:t>The value of NGOs in disaster management and governance in South Korea and Japan。</w:t>
      </w:r>
      <w:r>
        <w:rPr>
          <w:rFonts w:ascii="標楷體-繁" w:eastAsia="標楷體-繁" w:hAnsi="標楷體-繁" w:cs="標楷體-繁"/>
          <w:color w:val="595959"/>
          <w:sz w:val="20"/>
          <w:szCs w:val="20"/>
        </w:rPr>
        <w:t>International Journal of Disaster Risk Reduction。</w:t>
      </w:r>
    </w:p>
    <w:p w14:paraId="19B2CBF3"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Gloria Simo et al.（2007）。</w:t>
      </w:r>
      <w:r>
        <w:rPr>
          <w:rFonts w:ascii="標楷體-繁" w:eastAsia="標楷體-繁" w:hAnsi="標楷體-繁" w:cs="標楷體-繁"/>
          <w:i/>
          <w:iCs/>
          <w:sz w:val="20"/>
          <w:szCs w:val="20"/>
        </w:rPr>
        <w:t>The Role of Nonprofits in Disaster Response: An Expanded Model of Cross-Sector Collaboration。</w:t>
      </w:r>
      <w:r>
        <w:rPr>
          <w:rFonts w:ascii="標楷體-繁" w:eastAsia="標楷體-繁" w:hAnsi="標楷體-繁" w:cs="標楷體-繁"/>
          <w:color w:val="595959"/>
          <w:sz w:val="20"/>
          <w:szCs w:val="20"/>
        </w:rPr>
        <w:t>Public Administration Review。</w:t>
      </w:r>
    </w:p>
    <w:p w14:paraId="7B46EDFC"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b/>
          <w:bCs/>
          <w:color w:val="595959"/>
          <w:sz w:val="19"/>
          <w:szCs w:val="19"/>
        </w:rPr>
        <w:t>［選讀］</w:t>
      </w:r>
      <w:r>
        <w:rPr>
          <w:rFonts w:ascii="標楷體-繁" w:eastAsia="標楷體-繁" w:hAnsi="標楷體-繁" w:cs="標楷體-繁"/>
          <w:sz w:val="20"/>
          <w:szCs w:val="20"/>
        </w:rPr>
        <w:t>Nimesh Dhungana（2020）。</w:t>
      </w:r>
      <w:r>
        <w:rPr>
          <w:rFonts w:ascii="標楷體-繁" w:eastAsia="標楷體-繁" w:hAnsi="標楷體-繁" w:cs="標楷體-繁"/>
          <w:i/>
          <w:iCs/>
          <w:sz w:val="20"/>
          <w:szCs w:val="20"/>
        </w:rPr>
        <w:t>Doing Civil Society-Driven Social Accountability in a Disaster Context: Evidence from Post-Earthquake Nepal。</w:t>
      </w:r>
      <w:r>
        <w:rPr>
          <w:rFonts w:ascii="標楷體-繁" w:eastAsia="標楷體-繁" w:hAnsi="標楷體-繁" w:cs="標楷體-繁"/>
          <w:color w:val="595959"/>
          <w:sz w:val="20"/>
          <w:szCs w:val="20"/>
        </w:rPr>
        <w:t>Politics and Governance。</w:t>
      </w:r>
    </w:p>
    <w:p w14:paraId="6B24CC0A" w14:textId="77777777" w:rsidR="00FB719A" w:rsidRPr="00D62267"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b/>
          <w:bCs/>
          <w:color w:val="595959"/>
          <w:sz w:val="19"/>
          <w:szCs w:val="19"/>
        </w:rPr>
        <w:lastRenderedPageBreak/>
        <w:t>［選讀］</w:t>
      </w:r>
      <w:bookmarkStart w:id="7" w:name="_Hlk237951515"/>
      <w:r w:rsidRPr="00D62267">
        <w:rPr>
          <w:rFonts w:ascii="標楷體-繁" w:eastAsia="標楷體-繁" w:hAnsi="標楷體-繁" w:cs="標楷體-繁"/>
          <w:sz w:val="20"/>
          <w:szCs w:val="20"/>
        </w:rPr>
        <w:t>Huan-Sheng Lin et al.（2023）。</w:t>
      </w:r>
      <w:r w:rsidRPr="00D62267">
        <w:rPr>
          <w:rFonts w:ascii="標楷體-繁" w:eastAsia="標楷體-繁" w:hAnsi="標楷體-繁" w:cs="標楷體-繁"/>
          <w:i/>
          <w:iCs/>
          <w:sz w:val="20"/>
          <w:szCs w:val="20"/>
        </w:rPr>
        <w:t>The Multiplexity of Collaborative Networks in Post-Disaster Recovery: Testing Intra-Sector and Cross-Sector Network Contexts。</w:t>
      </w:r>
      <w:r w:rsidRPr="00D62267">
        <w:rPr>
          <w:rFonts w:ascii="標楷體-繁" w:eastAsia="標楷體-繁" w:hAnsi="標楷體-繁" w:cs="標楷體-繁"/>
          <w:color w:val="595959"/>
          <w:sz w:val="20"/>
          <w:szCs w:val="20"/>
        </w:rPr>
        <w:t>Administration &amp; Society。</w:t>
      </w:r>
    </w:p>
    <w:p w14:paraId="7DB48042" w14:textId="77777777" w:rsidR="00FB719A" w:rsidRDefault="00000000">
      <w:pPr>
        <w:spacing w:after="60" w:line="250" w:lineRule="auto"/>
        <w:ind w:left="340" w:hanging="340"/>
        <w:rPr>
          <w:rFonts w:ascii="標楷體-繁" w:eastAsia="標楷體-繁" w:hAnsi="標楷體-繁" w:cs="標楷體-繁"/>
        </w:rPr>
      </w:pPr>
      <w:r w:rsidRPr="00D62267">
        <w:rPr>
          <w:rFonts w:ascii="標楷體-繁" w:eastAsia="標楷體-繁" w:hAnsi="標楷體-繁" w:cs="標楷體-繁"/>
          <w:b/>
          <w:bCs/>
          <w:color w:val="595959"/>
          <w:sz w:val="19"/>
          <w:szCs w:val="19"/>
        </w:rPr>
        <w:t>［選讀］</w:t>
      </w:r>
      <w:r w:rsidRPr="00D62267">
        <w:rPr>
          <w:rFonts w:ascii="標楷體-繁" w:eastAsia="標楷體-繁" w:hAnsi="標楷體-繁" w:cs="標楷體-繁"/>
          <w:sz w:val="20"/>
          <w:szCs w:val="20"/>
        </w:rPr>
        <w:t>Khiam Jin Lee et al.（2023）。</w:t>
      </w:r>
      <w:r w:rsidRPr="00D62267">
        <w:rPr>
          <w:rFonts w:ascii="標楷體-繁" w:eastAsia="標楷體-繁" w:hAnsi="標楷體-繁" w:cs="標楷體-繁"/>
          <w:i/>
          <w:iCs/>
          <w:sz w:val="20"/>
          <w:szCs w:val="20"/>
        </w:rPr>
        <w:t>The dynamics of cross-sector collaboration in disasters。</w:t>
      </w:r>
      <w:r w:rsidRPr="00D62267">
        <w:rPr>
          <w:rFonts w:ascii="標楷體-繁" w:eastAsia="標楷體-繁" w:hAnsi="標楷體-繁" w:cs="標楷體-繁"/>
          <w:color w:val="595959"/>
          <w:sz w:val="20"/>
          <w:szCs w:val="20"/>
        </w:rPr>
        <w:t>Disaster Prevention and Management。</w:t>
      </w:r>
    </w:p>
    <w:bookmarkEnd w:id="7"/>
    <w:p w14:paraId="10A96216"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b/>
          <w:bCs/>
          <w:color w:val="595959"/>
          <w:sz w:val="19"/>
          <w:szCs w:val="19"/>
        </w:rPr>
        <w:t>［選讀］</w:t>
      </w:r>
      <w:r>
        <w:rPr>
          <w:rFonts w:ascii="標楷體-繁" w:eastAsia="標楷體-繁" w:hAnsi="標楷體-繁" w:cs="標楷體-繁"/>
          <w:sz w:val="20"/>
          <w:szCs w:val="20"/>
        </w:rPr>
        <w:t>Leysia Palen et al.（2016）。</w:t>
      </w:r>
      <w:r>
        <w:rPr>
          <w:rFonts w:ascii="標楷體-繁" w:eastAsia="標楷體-繁" w:hAnsi="標楷體-繁" w:cs="標楷體-繁"/>
          <w:i/>
          <w:iCs/>
          <w:sz w:val="20"/>
          <w:szCs w:val="20"/>
        </w:rPr>
        <w:t>Crisis informatics—New data for extraordinary times。</w:t>
      </w:r>
      <w:r>
        <w:rPr>
          <w:rFonts w:ascii="標楷體-繁" w:eastAsia="標楷體-繁" w:hAnsi="標楷體-繁" w:cs="標楷體-繁"/>
          <w:color w:val="595959"/>
          <w:sz w:val="20"/>
          <w:szCs w:val="20"/>
        </w:rPr>
        <w:t>Science。</w:t>
      </w:r>
    </w:p>
    <w:p w14:paraId="4D248E14" w14:textId="77777777" w:rsidR="00FB719A" w:rsidRDefault="00FB719A">
      <w:pPr>
        <w:spacing w:after="60"/>
        <w:rPr>
          <w:rFonts w:ascii="標楷體-繁" w:eastAsia="標楷體-繁" w:hAnsi="標楷體-繁" w:cs="標楷體-繁"/>
        </w:rPr>
      </w:pPr>
    </w:p>
    <w:p w14:paraId="0E6B75ED" w14:textId="47423813" w:rsidR="00FB719A" w:rsidRDefault="000C2D25">
      <w:pPr>
        <w:pStyle w:val="2"/>
        <w:keepNext/>
        <w:spacing w:before="260" w:after="100"/>
        <w:rPr>
          <w:rFonts w:ascii="標楷體-繁" w:eastAsia="標楷體-繁" w:hAnsi="標楷體-繁" w:cs="標楷體-繁"/>
        </w:rPr>
      </w:pPr>
      <w:r>
        <w:rPr>
          <w:rFonts w:ascii="標楷體-繁" w:eastAsia="標楷體-繁" w:hAnsi="標楷體-繁" w:cs="標楷體-繁" w:hint="eastAsia"/>
          <w:b/>
          <w:bCs/>
          <w:color w:val="1F3864"/>
          <w:sz w:val="23"/>
          <w:szCs w:val="23"/>
        </w:rPr>
        <w:t>12/03</w:t>
      </w:r>
      <w:r>
        <w:rPr>
          <w:rFonts w:ascii="標楷體-繁" w:eastAsia="標楷體-繁" w:hAnsi="標楷體-繁" w:cs="標楷體-繁"/>
          <w:b/>
          <w:bCs/>
          <w:color w:val="1F3864"/>
          <w:sz w:val="23"/>
          <w:szCs w:val="23"/>
        </w:rPr>
        <w:t>｜</w:t>
      </w:r>
      <w:r w:rsidR="00000000">
        <w:rPr>
          <w:rFonts w:ascii="標楷體-繁" w:eastAsia="標楷體-繁" w:hAnsi="標楷體-繁" w:cs="標楷體-繁"/>
          <w:b/>
          <w:bCs/>
          <w:color w:val="1F3864"/>
          <w:sz w:val="23"/>
          <w:szCs w:val="23"/>
        </w:rPr>
        <w:t>第 13 週｜社區韌性、社會資本與災後重建正義</w:t>
      </w:r>
    </w:p>
    <w:p w14:paraId="4B97C4B6"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i/>
          <w:iCs/>
          <w:color w:val="1F3864"/>
          <w:sz w:val="20"/>
          <w:szCs w:val="20"/>
        </w:rPr>
        <w:t>本週提問｜社會資本論會不會反過來成為國家卸責的理由？莫拉克的永久屋政策提供了什麼答案？</w:t>
      </w:r>
    </w:p>
    <w:p w14:paraId="18625C20" w14:textId="77777777" w:rsidR="00FB719A" w:rsidRDefault="00000000">
      <w:pPr>
        <w:spacing w:after="60" w:line="250" w:lineRule="auto"/>
        <w:ind w:left="340" w:hanging="340"/>
        <w:rPr>
          <w:rFonts w:ascii="標楷體-繁" w:eastAsia="標楷體-繁" w:hAnsi="標楷體-繁" w:cs="標楷體-繁"/>
        </w:rPr>
      </w:pPr>
      <w:bookmarkStart w:id="8" w:name="_Hlk237951530"/>
      <w:r w:rsidRPr="006F2ADA">
        <w:rPr>
          <w:rFonts w:ascii="標楷體-繁" w:eastAsia="標楷體-繁" w:hAnsi="標楷體-繁" w:cs="標楷體-繁"/>
          <w:sz w:val="20"/>
          <w:szCs w:val="20"/>
          <w:highlight w:val="yellow"/>
        </w:rPr>
        <w:t>Daniel P. Aldrich（2012）。</w:t>
      </w:r>
      <w:r w:rsidRPr="006F2ADA">
        <w:rPr>
          <w:rFonts w:ascii="標楷體-繁" w:eastAsia="標楷體-繁" w:hAnsi="標楷體-繁" w:cs="標楷體-繁"/>
          <w:i/>
          <w:iCs/>
          <w:sz w:val="20"/>
          <w:szCs w:val="20"/>
          <w:highlight w:val="yellow"/>
        </w:rPr>
        <w:t>Building Resilience: Social Capital in Post-Disaster Recovery。</w:t>
      </w:r>
      <w:r w:rsidRPr="006F2ADA">
        <w:rPr>
          <w:rFonts w:ascii="標楷體-繁" w:eastAsia="標楷體-繁" w:hAnsi="標楷體-繁" w:cs="標楷體-繁"/>
          <w:color w:val="595959"/>
          <w:sz w:val="20"/>
          <w:szCs w:val="20"/>
          <w:highlight w:val="yellow"/>
        </w:rPr>
        <w:t>International Journal of Mass Emergencies &amp; Disasters。</w:t>
      </w:r>
    </w:p>
    <w:bookmarkEnd w:id="8"/>
    <w:p w14:paraId="10750195"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Robert L. Hawkins et al.（2010）。</w:t>
      </w:r>
      <w:r>
        <w:rPr>
          <w:rFonts w:ascii="標楷體-繁" w:eastAsia="標楷體-繁" w:hAnsi="標楷體-繁" w:cs="標楷體-繁"/>
          <w:i/>
          <w:iCs/>
          <w:sz w:val="20"/>
          <w:szCs w:val="20"/>
        </w:rPr>
        <w:t>Bonding, Bridging and Linking: How Social Capital Operated in New Orleans following Hurricane Katrina。</w:t>
      </w:r>
      <w:r>
        <w:rPr>
          <w:rFonts w:ascii="標楷體-繁" w:eastAsia="標楷體-繁" w:hAnsi="標楷體-繁" w:cs="標楷體-繁"/>
          <w:color w:val="595959"/>
          <w:sz w:val="20"/>
          <w:szCs w:val="20"/>
        </w:rPr>
        <w:t>The British Journal of Social Work。</w:t>
      </w:r>
    </w:p>
    <w:p w14:paraId="73CA6F51"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Shu-Mei Huang（2018）。</w:t>
      </w:r>
      <w:r>
        <w:rPr>
          <w:rFonts w:ascii="標楷體-繁" w:eastAsia="標楷體-繁" w:hAnsi="標楷體-繁" w:cs="標楷體-繁"/>
          <w:i/>
          <w:iCs/>
          <w:sz w:val="20"/>
          <w:szCs w:val="20"/>
        </w:rPr>
        <w:t>Understanding disaster (in)justice: Spatializing the production of vulnerabilities of indigenous people in Taiwan。</w:t>
      </w:r>
      <w:r>
        <w:rPr>
          <w:rFonts w:ascii="標楷體-繁" w:eastAsia="標楷體-繁" w:hAnsi="標楷體-繁" w:cs="標楷體-繁"/>
          <w:color w:val="595959"/>
          <w:sz w:val="20"/>
          <w:szCs w:val="20"/>
        </w:rPr>
        <w:t>Environment and Planning E: Nature and Space。</w:t>
      </w:r>
    </w:p>
    <w:p w14:paraId="381D6D7D"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Sasala Taiban et al.（2020）。</w:t>
      </w:r>
      <w:r>
        <w:rPr>
          <w:rFonts w:ascii="標楷體-繁" w:eastAsia="標楷體-繁" w:hAnsi="標楷體-繁" w:cs="標楷體-繁"/>
          <w:i/>
          <w:iCs/>
          <w:sz w:val="20"/>
          <w:szCs w:val="20"/>
        </w:rPr>
        <w:t>Disaster, relocation, and resilience: recovery and adaptation of Karamemedesane in Lily Tribal Community after Typhoon Morakot, Taiwan。</w:t>
      </w:r>
      <w:r>
        <w:rPr>
          <w:rFonts w:ascii="標楷體-繁" w:eastAsia="標楷體-繁" w:hAnsi="標楷體-繁" w:cs="標楷體-繁"/>
          <w:color w:val="595959"/>
          <w:sz w:val="20"/>
          <w:szCs w:val="20"/>
        </w:rPr>
        <w:t>Environmental Hazards。</w:t>
      </w:r>
    </w:p>
    <w:p w14:paraId="5BFE2003"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b/>
          <w:bCs/>
          <w:color w:val="595959"/>
          <w:sz w:val="19"/>
          <w:szCs w:val="19"/>
        </w:rPr>
        <w:t>［選讀］</w:t>
      </w:r>
      <w:r>
        <w:rPr>
          <w:rFonts w:ascii="標楷體-繁" w:eastAsia="標楷體-繁" w:hAnsi="標楷體-繁" w:cs="標楷體-繁"/>
          <w:sz w:val="20"/>
          <w:szCs w:val="20"/>
        </w:rPr>
        <w:t>Sanju Panday et al.（2021）。</w:t>
      </w:r>
      <w:r>
        <w:rPr>
          <w:rFonts w:ascii="標楷體-繁" w:eastAsia="標楷體-繁" w:hAnsi="標楷體-繁" w:cs="標楷體-繁"/>
          <w:i/>
          <w:iCs/>
          <w:sz w:val="20"/>
          <w:szCs w:val="20"/>
        </w:rPr>
        <w:t>The role of social capital in disaster resilience in remote communities after the 2015 Nepal earthquake。</w:t>
      </w:r>
      <w:r>
        <w:rPr>
          <w:rFonts w:ascii="標楷體-繁" w:eastAsia="標楷體-繁" w:hAnsi="標楷體-繁" w:cs="標楷體-繁"/>
          <w:color w:val="595959"/>
          <w:sz w:val="20"/>
          <w:szCs w:val="20"/>
        </w:rPr>
        <w:t>International Journal of Disaster Risk Reduction。</w:t>
      </w:r>
    </w:p>
    <w:p w14:paraId="3F1EF77E"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b/>
          <w:bCs/>
          <w:color w:val="595959"/>
          <w:sz w:val="19"/>
          <w:szCs w:val="19"/>
        </w:rPr>
        <w:t>［選讀］</w:t>
      </w:r>
      <w:r>
        <w:rPr>
          <w:rFonts w:ascii="標楷體-繁" w:eastAsia="標楷體-繁" w:hAnsi="標楷體-繁" w:cs="標楷體-繁"/>
          <w:sz w:val="20"/>
          <w:szCs w:val="20"/>
        </w:rPr>
        <w:t>Jie-Ying Wu et al.（2024）。</w:t>
      </w:r>
      <w:r>
        <w:rPr>
          <w:rFonts w:ascii="標楷體-繁" w:eastAsia="標楷體-繁" w:hAnsi="標楷體-繁" w:cs="標楷體-繁"/>
          <w:i/>
          <w:iCs/>
          <w:sz w:val="20"/>
          <w:szCs w:val="20"/>
        </w:rPr>
        <w:t>Housing recovery and community relocation: Lessons learned from indigenous community recovery after typhoon Morakot in Taiwan。</w:t>
      </w:r>
      <w:r>
        <w:rPr>
          <w:rFonts w:ascii="標楷體-繁" w:eastAsia="標楷體-繁" w:hAnsi="標楷體-繁" w:cs="標楷體-繁"/>
          <w:color w:val="595959"/>
          <w:sz w:val="20"/>
          <w:szCs w:val="20"/>
        </w:rPr>
        <w:t>International Journal of Disaster Risk Reduction。</w:t>
      </w:r>
    </w:p>
    <w:p w14:paraId="220985E6" w14:textId="77777777" w:rsidR="00FB719A" w:rsidRDefault="00FB719A">
      <w:pPr>
        <w:spacing w:after="60"/>
        <w:rPr>
          <w:rFonts w:ascii="標楷體-繁" w:eastAsia="標楷體-繁" w:hAnsi="標楷體-繁" w:cs="標楷體-繁"/>
        </w:rPr>
      </w:pPr>
    </w:p>
    <w:p w14:paraId="62629C53" w14:textId="7646E63D" w:rsidR="00FB719A" w:rsidRDefault="000C2D25">
      <w:pPr>
        <w:pStyle w:val="2"/>
        <w:keepNext/>
        <w:spacing w:before="260" w:after="100"/>
        <w:rPr>
          <w:rFonts w:ascii="標楷體-繁" w:eastAsia="標楷體-繁" w:hAnsi="標楷體-繁" w:cs="標楷體-繁"/>
        </w:rPr>
      </w:pPr>
      <w:r>
        <w:rPr>
          <w:rFonts w:ascii="標楷體-繁" w:eastAsia="標楷體-繁" w:hAnsi="標楷體-繁" w:cs="標楷體-繁" w:hint="eastAsia"/>
          <w:b/>
          <w:bCs/>
          <w:color w:val="1F3864"/>
          <w:sz w:val="23"/>
          <w:szCs w:val="23"/>
        </w:rPr>
        <w:t>12/10</w:t>
      </w:r>
      <w:r>
        <w:rPr>
          <w:rFonts w:ascii="標楷體-繁" w:eastAsia="標楷體-繁" w:hAnsi="標楷體-繁" w:cs="標楷體-繁"/>
          <w:b/>
          <w:bCs/>
          <w:color w:val="1F3864"/>
          <w:sz w:val="23"/>
          <w:szCs w:val="23"/>
        </w:rPr>
        <w:t>｜</w:t>
      </w:r>
      <w:r w:rsidR="00000000">
        <w:rPr>
          <w:rFonts w:ascii="標楷體-繁" w:eastAsia="標楷體-繁" w:hAnsi="標楷體-繁" w:cs="標楷體-繁"/>
          <w:b/>
          <w:bCs/>
          <w:color w:val="1F3864"/>
          <w:sz w:val="23"/>
          <w:szCs w:val="23"/>
        </w:rPr>
        <w:t>第 14 週｜災難中的性別視角：女性、兒童與多元性別</w:t>
      </w:r>
    </w:p>
    <w:p w14:paraId="7C13F8D6"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i/>
          <w:iCs/>
          <w:color w:val="1F3864"/>
          <w:sz w:val="20"/>
          <w:szCs w:val="20"/>
        </w:rPr>
        <w:t>本週提問｜台灣的災害統計有多少是按性別與年齡分列的？缺漏如何影響資源配置？</w:t>
      </w:r>
    </w:p>
    <w:p w14:paraId="253E1E08" w14:textId="77777777" w:rsidR="00FB719A" w:rsidRPr="00D62267" w:rsidRDefault="00000000">
      <w:pPr>
        <w:spacing w:after="60" w:line="250" w:lineRule="auto"/>
        <w:ind w:left="340" w:hanging="340"/>
        <w:rPr>
          <w:rFonts w:ascii="標楷體-繁" w:eastAsia="標楷體-繁" w:hAnsi="標楷體-繁" w:cs="標楷體-繁"/>
        </w:rPr>
      </w:pPr>
      <w:bookmarkStart w:id="9" w:name="_Hlk237951538"/>
      <w:r w:rsidRPr="00D62267">
        <w:rPr>
          <w:rFonts w:ascii="標楷體-繁" w:eastAsia="標楷體-繁" w:hAnsi="標楷體-繁" w:cs="標楷體-繁"/>
          <w:sz w:val="20"/>
          <w:szCs w:val="20"/>
        </w:rPr>
        <w:t>JC Gaillard et al.（2017）。</w:t>
      </w:r>
      <w:r w:rsidRPr="00D62267">
        <w:rPr>
          <w:rFonts w:ascii="標楷體-繁" w:eastAsia="標楷體-繁" w:hAnsi="標楷體-繁" w:cs="標楷體-繁"/>
          <w:i/>
          <w:iCs/>
          <w:sz w:val="20"/>
          <w:szCs w:val="20"/>
        </w:rPr>
        <w:t>Beyond men and women: a critical perspective on gender and disaster。</w:t>
      </w:r>
      <w:r w:rsidRPr="00D62267">
        <w:rPr>
          <w:rFonts w:ascii="標楷體-繁" w:eastAsia="標楷體-繁" w:hAnsi="標楷體-繁" w:cs="標楷體-繁"/>
          <w:color w:val="595959"/>
          <w:sz w:val="20"/>
          <w:szCs w:val="20"/>
        </w:rPr>
        <w:t>Disasters。</w:t>
      </w:r>
    </w:p>
    <w:bookmarkEnd w:id="9"/>
    <w:p w14:paraId="5B12EF26" w14:textId="77777777" w:rsidR="00FB719A" w:rsidRPr="00D62267" w:rsidRDefault="00000000">
      <w:pPr>
        <w:spacing w:after="60" w:line="250" w:lineRule="auto"/>
        <w:ind w:left="340" w:hanging="340"/>
        <w:rPr>
          <w:rFonts w:ascii="標楷體-繁" w:eastAsia="標楷體-繁" w:hAnsi="標楷體-繁" w:cs="標楷體-繁"/>
        </w:rPr>
      </w:pPr>
      <w:r w:rsidRPr="00D62267">
        <w:rPr>
          <w:rFonts w:ascii="標楷體-繁" w:eastAsia="標楷體-繁" w:hAnsi="標楷體-繁" w:cs="標楷體-繁"/>
          <w:sz w:val="20"/>
          <w:szCs w:val="20"/>
        </w:rPr>
        <w:t>Susan L. Cutter（2017）。</w:t>
      </w:r>
      <w:r w:rsidRPr="00D62267">
        <w:rPr>
          <w:rFonts w:ascii="標楷體-繁" w:eastAsia="標楷體-繁" w:hAnsi="標楷體-繁" w:cs="標楷體-繁"/>
          <w:i/>
          <w:iCs/>
          <w:sz w:val="20"/>
          <w:szCs w:val="20"/>
        </w:rPr>
        <w:t>The forgotten casualties redux: women, children, and disaster risk。</w:t>
      </w:r>
      <w:r w:rsidRPr="00D62267">
        <w:rPr>
          <w:rFonts w:ascii="標楷體-繁" w:eastAsia="標楷體-繁" w:hAnsi="標楷體-繁" w:cs="標楷體-繁"/>
          <w:color w:val="595959"/>
          <w:sz w:val="20"/>
          <w:szCs w:val="20"/>
        </w:rPr>
        <w:t>Global Environmental Change。</w:t>
      </w:r>
    </w:p>
    <w:p w14:paraId="006D6145" w14:textId="77777777" w:rsidR="00FB719A" w:rsidRDefault="00000000">
      <w:pPr>
        <w:spacing w:after="60" w:line="250" w:lineRule="auto"/>
        <w:ind w:left="340" w:hanging="340"/>
        <w:rPr>
          <w:rFonts w:ascii="標楷體-繁" w:eastAsia="標楷體-繁" w:hAnsi="標楷體-繁" w:cs="標楷體-繁"/>
        </w:rPr>
      </w:pPr>
      <w:bookmarkStart w:id="10" w:name="_Hlk237951546"/>
      <w:r w:rsidRPr="00D62267">
        <w:rPr>
          <w:rFonts w:ascii="標楷體-繁" w:eastAsia="標楷體-繁" w:hAnsi="標楷體-繁" w:cs="標楷體-繁"/>
          <w:sz w:val="20"/>
          <w:szCs w:val="20"/>
        </w:rPr>
        <w:t>Leo Goldsmith et al.（2021）。</w:t>
      </w:r>
      <w:r w:rsidRPr="00D62267">
        <w:rPr>
          <w:rFonts w:ascii="標楷體-繁" w:eastAsia="標楷體-繁" w:hAnsi="標楷體-繁" w:cs="標楷體-繁"/>
          <w:i/>
          <w:iCs/>
          <w:sz w:val="20"/>
          <w:szCs w:val="20"/>
        </w:rPr>
        <w:t>Queer and Present Danger: Understanding the Disparate Impacts of Disasters on LGBTQ+ Communities。</w:t>
      </w:r>
      <w:r w:rsidRPr="00D62267">
        <w:rPr>
          <w:rFonts w:ascii="標楷體-繁" w:eastAsia="標楷體-繁" w:hAnsi="標楷體-繁" w:cs="標楷體-繁"/>
          <w:color w:val="595959"/>
          <w:sz w:val="20"/>
          <w:szCs w:val="20"/>
        </w:rPr>
        <w:t>Disasters。</w:t>
      </w:r>
    </w:p>
    <w:bookmarkEnd w:id="10"/>
    <w:p w14:paraId="7F394D15" w14:textId="77777777" w:rsidR="00FB719A" w:rsidRDefault="00FB719A">
      <w:pPr>
        <w:spacing w:after="60"/>
        <w:rPr>
          <w:rFonts w:ascii="標楷體-繁" w:eastAsia="標楷體-繁" w:hAnsi="標楷體-繁" w:cs="標楷體-繁"/>
        </w:rPr>
      </w:pPr>
    </w:p>
    <w:p w14:paraId="544F2799" w14:textId="4DFE49C0" w:rsidR="00FB719A" w:rsidRDefault="000C2D25">
      <w:pPr>
        <w:pStyle w:val="2"/>
        <w:keepNext/>
        <w:spacing w:before="260" w:after="100"/>
        <w:rPr>
          <w:rFonts w:ascii="標楷體-繁" w:eastAsia="標楷體-繁" w:hAnsi="標楷體-繁" w:cs="標楷體-繁"/>
        </w:rPr>
      </w:pPr>
      <w:r>
        <w:rPr>
          <w:rFonts w:ascii="標楷體-繁" w:eastAsia="標楷體-繁" w:hAnsi="標楷體-繁" w:cs="標楷體-繁" w:hint="eastAsia"/>
          <w:b/>
          <w:bCs/>
          <w:color w:val="1F3864"/>
          <w:sz w:val="23"/>
          <w:szCs w:val="23"/>
        </w:rPr>
        <w:t>12/17</w:t>
      </w:r>
      <w:r>
        <w:rPr>
          <w:rFonts w:ascii="標楷體-繁" w:eastAsia="標楷體-繁" w:hAnsi="標楷體-繁" w:cs="標楷體-繁"/>
          <w:b/>
          <w:bCs/>
          <w:color w:val="1F3864"/>
          <w:sz w:val="23"/>
          <w:szCs w:val="23"/>
        </w:rPr>
        <w:t>｜</w:t>
      </w:r>
      <w:r w:rsidR="00000000">
        <w:rPr>
          <w:rFonts w:ascii="標楷體-繁" w:eastAsia="標楷體-繁" w:hAnsi="標楷體-繁" w:cs="標楷體-繁"/>
          <w:b/>
          <w:bCs/>
          <w:color w:val="1F3864"/>
          <w:sz w:val="23"/>
          <w:szCs w:val="23"/>
        </w:rPr>
        <w:t>第 15 週｜高齡者與障礙者的避難整備：福祉避難所與服務連續性</w:t>
      </w:r>
    </w:p>
    <w:p w14:paraId="7BAEFF75"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i/>
          <w:iCs/>
          <w:color w:val="1F3864"/>
          <w:sz w:val="20"/>
          <w:szCs w:val="20"/>
        </w:rPr>
        <w:t>本週提問｜居家服務單位在台灣的災防體系中歸屬哪一層級？若無明確歸屬，代表什麼？</w:t>
      </w:r>
    </w:p>
    <w:p w14:paraId="038B1468"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Nichapa Phraknoi et al.（2023）。</w:t>
      </w:r>
      <w:r>
        <w:rPr>
          <w:rFonts w:ascii="標楷體-繁" w:eastAsia="標楷體-繁" w:hAnsi="標楷體-繁" w:cs="標楷體-繁"/>
          <w:i/>
          <w:iCs/>
          <w:sz w:val="20"/>
          <w:szCs w:val="20"/>
        </w:rPr>
        <w:t>Older people's needs in urban disaster response: A systematic literature review。</w:t>
      </w:r>
      <w:r>
        <w:rPr>
          <w:rFonts w:ascii="標楷體-繁" w:eastAsia="標楷體-繁" w:hAnsi="標楷體-繁" w:cs="標楷體-繁"/>
          <w:color w:val="595959"/>
          <w:sz w:val="20"/>
          <w:szCs w:val="20"/>
        </w:rPr>
        <w:t>International Journal of Disaster Risk Reduction。</w:t>
      </w:r>
    </w:p>
    <w:p w14:paraId="099A98A6"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Tomoko Wakui et al.（2016）。</w:t>
      </w:r>
      <w:r>
        <w:rPr>
          <w:rFonts w:ascii="標楷體-繁" w:eastAsia="標楷體-繁" w:hAnsi="標楷體-繁" w:cs="標楷體-繁"/>
          <w:i/>
          <w:iCs/>
          <w:sz w:val="20"/>
          <w:szCs w:val="20"/>
        </w:rPr>
        <w:t>Disaster Preparedness Among Older Japanese Adults With Long-</w:t>
      </w:r>
      <w:r>
        <w:rPr>
          <w:rFonts w:ascii="標楷體-繁" w:eastAsia="標楷體-繁" w:hAnsi="標楷體-繁" w:cs="標楷體-繁"/>
          <w:i/>
          <w:iCs/>
          <w:sz w:val="20"/>
          <w:szCs w:val="20"/>
        </w:rPr>
        <w:lastRenderedPageBreak/>
        <w:t>Term Care Needs and Their Family Caregivers。</w:t>
      </w:r>
      <w:r>
        <w:rPr>
          <w:rFonts w:ascii="標楷體-繁" w:eastAsia="標楷體-繁" w:hAnsi="標楷體-繁" w:cs="標楷體-繁"/>
          <w:color w:val="595959"/>
          <w:sz w:val="20"/>
          <w:szCs w:val="20"/>
        </w:rPr>
        <w:t>Disaster Medicine and Public Health Preparedness。</w:t>
      </w:r>
    </w:p>
    <w:p w14:paraId="0ADEDAFF"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sz w:val="20"/>
          <w:szCs w:val="20"/>
        </w:rPr>
        <w:t>Emily Franzosa et al.（2022）。</w:t>
      </w:r>
      <w:r>
        <w:rPr>
          <w:rFonts w:ascii="標楷體-繁" w:eastAsia="標楷體-繁" w:hAnsi="標楷體-繁" w:cs="標楷體-繁"/>
          <w:i/>
          <w:iCs/>
          <w:sz w:val="20"/>
          <w:szCs w:val="20"/>
        </w:rPr>
        <w:t>Essential but Excluded: Building Disaster Preparedness Capacity for Home Health Care Workers and Home Care Agencies。</w:t>
      </w:r>
      <w:r>
        <w:rPr>
          <w:rFonts w:ascii="標楷體-繁" w:eastAsia="標楷體-繁" w:hAnsi="標楷體-繁" w:cs="標楷體-繁"/>
          <w:color w:val="595959"/>
          <w:sz w:val="20"/>
          <w:szCs w:val="20"/>
        </w:rPr>
        <w:t>Journal of the American Medical Directors Association。</w:t>
      </w:r>
    </w:p>
    <w:p w14:paraId="22840F14"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b/>
          <w:bCs/>
          <w:color w:val="595959"/>
          <w:sz w:val="19"/>
          <w:szCs w:val="19"/>
        </w:rPr>
        <w:t>［選讀］</w:t>
      </w:r>
      <w:bookmarkStart w:id="11" w:name="_Hlk237951555"/>
      <w:r w:rsidRPr="00D62267">
        <w:rPr>
          <w:rFonts w:ascii="標楷體-繁" w:eastAsia="標楷體-繁" w:hAnsi="標楷體-繁" w:cs="標楷體-繁"/>
          <w:sz w:val="20"/>
          <w:szCs w:val="20"/>
        </w:rPr>
        <w:t>Yakir Rottenberg et al.（2025）。</w:t>
      </w:r>
      <w:r w:rsidRPr="00D62267">
        <w:rPr>
          <w:rFonts w:ascii="標楷體-繁" w:eastAsia="標楷體-繁" w:hAnsi="標楷體-繁" w:cs="標楷體-繁"/>
          <w:i/>
          <w:iCs/>
          <w:sz w:val="20"/>
          <w:szCs w:val="20"/>
        </w:rPr>
        <w:t>Older adults Care During a Time of Crisis: Israel's Experience During Wartime。</w:t>
      </w:r>
      <w:r w:rsidRPr="00D62267">
        <w:rPr>
          <w:rFonts w:ascii="標楷體-繁" w:eastAsia="標楷體-繁" w:hAnsi="標楷體-繁" w:cs="標楷體-繁"/>
          <w:color w:val="595959"/>
          <w:sz w:val="20"/>
          <w:szCs w:val="20"/>
        </w:rPr>
        <w:t>Innovation in Aging。</w:t>
      </w:r>
      <w:bookmarkEnd w:id="11"/>
    </w:p>
    <w:p w14:paraId="3F432CB6" w14:textId="77777777" w:rsidR="00FB719A" w:rsidRDefault="00000000">
      <w:pPr>
        <w:spacing w:after="60" w:line="250" w:lineRule="auto"/>
        <w:ind w:left="340" w:hanging="340"/>
        <w:rPr>
          <w:rFonts w:ascii="標楷體-繁" w:eastAsia="標楷體-繁" w:hAnsi="標楷體-繁" w:cs="標楷體-繁"/>
        </w:rPr>
      </w:pPr>
      <w:r>
        <w:rPr>
          <w:rFonts w:ascii="標楷體-繁" w:eastAsia="標楷體-繁" w:hAnsi="標楷體-繁" w:cs="標楷體-繁"/>
          <w:b/>
          <w:bCs/>
          <w:color w:val="595959"/>
          <w:sz w:val="19"/>
          <w:szCs w:val="19"/>
        </w:rPr>
        <w:t>［選讀］</w:t>
      </w:r>
      <w:r>
        <w:rPr>
          <w:rFonts w:ascii="標楷體-繁" w:eastAsia="標楷體-繁" w:hAnsi="標楷體-繁" w:cs="標楷體-繁"/>
          <w:sz w:val="20"/>
          <w:szCs w:val="20"/>
        </w:rPr>
        <w:t>Jennifer Dargin et al.（2021）。</w:t>
      </w:r>
      <w:r>
        <w:rPr>
          <w:rFonts w:ascii="標楷體-繁" w:eastAsia="標楷體-繁" w:hAnsi="標楷體-繁" w:cs="標楷體-繁"/>
          <w:i/>
          <w:iCs/>
          <w:sz w:val="20"/>
          <w:szCs w:val="20"/>
        </w:rPr>
        <w:t>Vulnerable populations and social media use in disasters: Uncovering the digital divide in three major U.S. hurricanes。</w:t>
      </w:r>
      <w:r>
        <w:rPr>
          <w:rFonts w:ascii="標楷體-繁" w:eastAsia="標楷體-繁" w:hAnsi="標楷體-繁" w:cs="標楷體-繁"/>
          <w:color w:val="595959"/>
          <w:sz w:val="20"/>
          <w:szCs w:val="20"/>
        </w:rPr>
        <w:t>International Journal of Disaster Risk Reduction。</w:t>
      </w:r>
    </w:p>
    <w:p w14:paraId="0F170FAC" w14:textId="77777777" w:rsidR="00FB719A" w:rsidRDefault="00FB719A">
      <w:pPr>
        <w:spacing w:after="60"/>
        <w:rPr>
          <w:rFonts w:ascii="標楷體-繁" w:eastAsia="標楷體-繁" w:hAnsi="標楷體-繁" w:cs="標楷體-繁"/>
        </w:rPr>
      </w:pPr>
    </w:p>
    <w:p w14:paraId="02C0ECE4" w14:textId="2B4ADCB1" w:rsidR="00FB719A" w:rsidRDefault="000C2D25">
      <w:pPr>
        <w:pStyle w:val="2"/>
        <w:keepNext/>
        <w:spacing w:before="260" w:after="100"/>
        <w:rPr>
          <w:rFonts w:ascii="標楷體-繁" w:eastAsia="標楷體-繁" w:hAnsi="標楷體-繁" w:cs="標楷體-繁"/>
        </w:rPr>
      </w:pPr>
      <w:r>
        <w:rPr>
          <w:rFonts w:ascii="標楷體-繁" w:eastAsia="標楷體-繁" w:hAnsi="標楷體-繁" w:cs="標楷體-繁" w:hint="eastAsia"/>
          <w:b/>
          <w:bCs/>
          <w:color w:val="1F3864"/>
          <w:sz w:val="23"/>
          <w:szCs w:val="23"/>
        </w:rPr>
        <w:t>12/24</w:t>
      </w:r>
      <w:r>
        <w:rPr>
          <w:rFonts w:ascii="標楷體-繁" w:eastAsia="標楷體-繁" w:hAnsi="標楷體-繁" w:cs="標楷體-繁"/>
          <w:b/>
          <w:bCs/>
          <w:color w:val="1F3864"/>
          <w:sz w:val="23"/>
          <w:szCs w:val="23"/>
        </w:rPr>
        <w:t>｜</w:t>
      </w:r>
      <w:r w:rsidR="00000000">
        <w:rPr>
          <w:rFonts w:ascii="標楷體-繁" w:eastAsia="標楷體-繁" w:hAnsi="標楷體-繁" w:cs="標楷體-繁"/>
          <w:b/>
          <w:bCs/>
          <w:color w:val="1F3864"/>
          <w:sz w:val="23"/>
          <w:szCs w:val="23"/>
        </w:rPr>
        <w:t>第 16 週｜期末專題報告</w:t>
      </w:r>
    </w:p>
    <w:p w14:paraId="3E4C8B2B"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color w:val="595959"/>
          <w:sz w:val="20"/>
          <w:szCs w:val="20"/>
        </w:rPr>
        <w:t>本週無指定閱讀。報告規格見下節。</w:t>
      </w:r>
    </w:p>
    <w:p w14:paraId="1983CE23" w14:textId="77777777" w:rsidR="00FB719A" w:rsidRDefault="00FB719A">
      <w:pPr>
        <w:pageBreakBefore/>
        <w:rPr>
          <w:rFonts w:ascii="標楷體-繁" w:eastAsia="標楷體-繁" w:hAnsi="標楷體-繁" w:cs="標楷體-繁"/>
        </w:rPr>
      </w:pPr>
    </w:p>
    <w:p w14:paraId="7087D334" w14:textId="77777777" w:rsidR="00FB719A" w:rsidRDefault="00000000">
      <w:pPr>
        <w:pStyle w:val="1"/>
        <w:keepNext/>
        <w:pBdr>
          <w:bottom w:val="single" w:sz="8" w:space="6" w:color="1F3864"/>
        </w:pBdr>
        <w:spacing w:before="360" w:after="160"/>
        <w:rPr>
          <w:rFonts w:ascii="標楷體-繁" w:eastAsia="標楷體-繁" w:hAnsi="標楷體-繁" w:cs="標楷體-繁"/>
        </w:rPr>
      </w:pPr>
      <w:r>
        <w:rPr>
          <w:rFonts w:ascii="標楷體-繁" w:eastAsia="標楷體-繁" w:hAnsi="標楷體-繁" w:cs="標楷體-繁"/>
          <w:b/>
          <w:bCs/>
          <w:color w:val="1F3864"/>
          <w:sz w:val="26"/>
          <w:szCs w:val="26"/>
        </w:rPr>
        <w:t>六、期末專題報告規格</w:t>
      </w:r>
    </w:p>
    <w:p w14:paraId="25BE5E77"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b/>
          <w:bCs/>
        </w:rPr>
        <w:t>格式：</w:t>
      </w:r>
      <w:r>
        <w:rPr>
          <w:rFonts w:ascii="標楷體-繁" w:eastAsia="標楷體-繁" w:hAnsi="標楷體-繁" w:cs="標楷體-繁"/>
        </w:rPr>
        <w:t>一個群體、一個情境、一個斷點。</w:t>
      </w:r>
    </w:p>
    <w:p w14:paraId="133AB65A"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rPr>
        <w:t>每位同學選定一個弱勢群體與一個複合式災難或戰時情境，論證現行服務體系會在哪一個具體的點斷裂、為什麼。報告的重心不在描述群體的處境，而在指認制度失效的確切位置。</w:t>
      </w:r>
    </w:p>
    <w:p w14:paraId="4E725A3C" w14:textId="77777777" w:rsidR="00FB719A" w:rsidRDefault="00FB719A">
      <w:pPr>
        <w:spacing w:after="80"/>
        <w:rPr>
          <w:rFonts w:ascii="標楷體-繁" w:eastAsia="標楷體-繁" w:hAnsi="標楷體-繁" w:cs="標楷體-繁"/>
        </w:rPr>
      </w:pPr>
    </w:p>
    <w:tbl>
      <w:tblPr>
        <w:tblStyle w:val="af"/>
        <w:tblW w:w="9000" w:type="dxa"/>
        <w:tblInd w:w="0" w:type="dxa"/>
        <w:tblBorders>
          <w:top w:val="single" w:sz="4" w:space="0" w:color="BFBFBF"/>
          <w:bottom w:val="single" w:sz="4" w:space="0" w:color="BFBFBF"/>
          <w:insideH w:val="single" w:sz="4" w:space="0" w:color="BFBFBF"/>
        </w:tblBorders>
        <w:tblLayout w:type="fixed"/>
        <w:tblLook w:val="0400" w:firstRow="0" w:lastRow="0" w:firstColumn="0" w:lastColumn="0" w:noHBand="0" w:noVBand="1"/>
      </w:tblPr>
      <w:tblGrid>
        <w:gridCol w:w="1100"/>
        <w:gridCol w:w="2600"/>
        <w:gridCol w:w="5300"/>
      </w:tblGrid>
      <w:tr w:rsidR="00FB719A" w14:paraId="4FC14707" w14:textId="77777777">
        <w:trPr>
          <w:tblHeader/>
        </w:trPr>
        <w:tc>
          <w:tcPr>
            <w:tcW w:w="1100" w:type="dxa"/>
            <w:shd w:val="clear" w:color="auto" w:fill="EDF1F8"/>
            <w:tcMar>
              <w:top w:w="80" w:type="dxa"/>
              <w:left w:w="120" w:type="dxa"/>
              <w:bottom w:w="80" w:type="dxa"/>
              <w:right w:w="120" w:type="dxa"/>
            </w:tcMar>
          </w:tcPr>
          <w:p w14:paraId="13FC8AD6"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b/>
                <w:bCs/>
                <w:sz w:val="20"/>
                <w:szCs w:val="20"/>
              </w:rPr>
              <w:t>時間</w:t>
            </w:r>
          </w:p>
        </w:tc>
        <w:tc>
          <w:tcPr>
            <w:tcW w:w="2600" w:type="dxa"/>
            <w:shd w:val="clear" w:color="auto" w:fill="EDF1F8"/>
            <w:tcMar>
              <w:top w:w="80" w:type="dxa"/>
              <w:left w:w="120" w:type="dxa"/>
              <w:bottom w:w="80" w:type="dxa"/>
              <w:right w:w="120" w:type="dxa"/>
            </w:tcMar>
          </w:tcPr>
          <w:p w14:paraId="5A6701D1"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b/>
                <w:bCs/>
                <w:sz w:val="20"/>
                <w:szCs w:val="20"/>
              </w:rPr>
              <w:t>內容</w:t>
            </w:r>
          </w:p>
        </w:tc>
        <w:tc>
          <w:tcPr>
            <w:tcW w:w="5300" w:type="dxa"/>
            <w:shd w:val="clear" w:color="auto" w:fill="EDF1F8"/>
            <w:tcMar>
              <w:top w:w="80" w:type="dxa"/>
              <w:left w:w="120" w:type="dxa"/>
              <w:bottom w:w="80" w:type="dxa"/>
              <w:right w:w="120" w:type="dxa"/>
            </w:tcMar>
          </w:tcPr>
          <w:p w14:paraId="3CBD931B"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b/>
                <w:bCs/>
                <w:sz w:val="20"/>
                <w:szCs w:val="20"/>
              </w:rPr>
              <w:t>要求</w:t>
            </w:r>
          </w:p>
        </w:tc>
      </w:tr>
      <w:tr w:rsidR="00FB719A" w14:paraId="099B938D" w14:textId="77777777">
        <w:tc>
          <w:tcPr>
            <w:tcW w:w="1100" w:type="dxa"/>
            <w:tcMar>
              <w:top w:w="80" w:type="dxa"/>
              <w:left w:w="120" w:type="dxa"/>
              <w:bottom w:w="80" w:type="dxa"/>
              <w:right w:w="120" w:type="dxa"/>
            </w:tcMar>
          </w:tcPr>
          <w:p w14:paraId="44CEB7AD"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0–1 分</w:t>
            </w:r>
          </w:p>
        </w:tc>
        <w:tc>
          <w:tcPr>
            <w:tcW w:w="2600" w:type="dxa"/>
            <w:tcMar>
              <w:top w:w="80" w:type="dxa"/>
              <w:left w:w="120" w:type="dxa"/>
              <w:bottom w:w="80" w:type="dxa"/>
              <w:right w:w="120" w:type="dxa"/>
            </w:tcMar>
          </w:tcPr>
          <w:p w14:paraId="49694369"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情境設定</w:t>
            </w:r>
          </w:p>
        </w:tc>
        <w:tc>
          <w:tcPr>
            <w:tcW w:w="5300" w:type="dxa"/>
            <w:tcMar>
              <w:top w:w="80" w:type="dxa"/>
              <w:left w:w="120" w:type="dxa"/>
              <w:bottom w:w="80" w:type="dxa"/>
              <w:right w:w="120" w:type="dxa"/>
            </w:tcMar>
          </w:tcPr>
          <w:p w14:paraId="664BEBA2"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具體到時間、地點、規模。不接受「如果發生戰爭」這類設定。</w:t>
            </w:r>
          </w:p>
        </w:tc>
      </w:tr>
      <w:tr w:rsidR="00FB719A" w14:paraId="4BC6B5FC" w14:textId="77777777">
        <w:tc>
          <w:tcPr>
            <w:tcW w:w="1100" w:type="dxa"/>
            <w:tcMar>
              <w:top w:w="80" w:type="dxa"/>
              <w:left w:w="120" w:type="dxa"/>
              <w:bottom w:w="80" w:type="dxa"/>
              <w:right w:w="120" w:type="dxa"/>
            </w:tcMar>
          </w:tcPr>
          <w:p w14:paraId="307838B4"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1–3 分</w:t>
            </w:r>
          </w:p>
        </w:tc>
        <w:tc>
          <w:tcPr>
            <w:tcW w:w="2600" w:type="dxa"/>
            <w:tcMar>
              <w:top w:w="80" w:type="dxa"/>
              <w:left w:w="120" w:type="dxa"/>
              <w:bottom w:w="80" w:type="dxa"/>
              <w:right w:w="120" w:type="dxa"/>
            </w:tcMar>
          </w:tcPr>
          <w:p w14:paraId="0F2418E0"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該群體現有的服務依賴</w:t>
            </w:r>
          </w:p>
        </w:tc>
        <w:tc>
          <w:tcPr>
            <w:tcW w:w="5300" w:type="dxa"/>
            <w:tcMar>
              <w:top w:w="80" w:type="dxa"/>
              <w:left w:w="120" w:type="dxa"/>
              <w:bottom w:w="80" w:type="dxa"/>
              <w:right w:w="120" w:type="dxa"/>
            </w:tcMar>
          </w:tcPr>
          <w:p w14:paraId="76DB07CA"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誰提供、依據哪一條法規、誰付錢。</w:t>
            </w:r>
          </w:p>
        </w:tc>
      </w:tr>
      <w:tr w:rsidR="00FB719A" w14:paraId="38464B2B" w14:textId="77777777">
        <w:tc>
          <w:tcPr>
            <w:tcW w:w="1100" w:type="dxa"/>
            <w:tcMar>
              <w:top w:w="80" w:type="dxa"/>
              <w:left w:w="120" w:type="dxa"/>
              <w:bottom w:w="80" w:type="dxa"/>
              <w:right w:w="120" w:type="dxa"/>
            </w:tcMar>
          </w:tcPr>
          <w:p w14:paraId="21406A14"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3–7 分</w:t>
            </w:r>
          </w:p>
        </w:tc>
        <w:tc>
          <w:tcPr>
            <w:tcW w:w="2600" w:type="dxa"/>
            <w:tcMar>
              <w:top w:w="80" w:type="dxa"/>
              <w:left w:w="120" w:type="dxa"/>
              <w:bottom w:w="80" w:type="dxa"/>
              <w:right w:w="120" w:type="dxa"/>
            </w:tcMar>
          </w:tcPr>
          <w:p w14:paraId="3F323976"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斷點在哪裡、為什麼</w:t>
            </w:r>
          </w:p>
        </w:tc>
        <w:tc>
          <w:tcPr>
            <w:tcW w:w="5300" w:type="dxa"/>
            <w:tcMar>
              <w:top w:w="80" w:type="dxa"/>
              <w:left w:w="120" w:type="dxa"/>
              <w:bottom w:w="80" w:type="dxa"/>
              <w:right w:w="120" w:type="dxa"/>
            </w:tcMar>
          </w:tcPr>
          <w:p w14:paraId="04D3468D"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報告主體。須指名一個具體單位或一條具體條文。</w:t>
            </w:r>
          </w:p>
        </w:tc>
      </w:tr>
      <w:tr w:rsidR="00FB719A" w14:paraId="3B6B9846" w14:textId="77777777">
        <w:tc>
          <w:tcPr>
            <w:tcW w:w="1100" w:type="dxa"/>
            <w:tcMar>
              <w:top w:w="80" w:type="dxa"/>
              <w:left w:w="120" w:type="dxa"/>
              <w:bottom w:w="80" w:type="dxa"/>
              <w:right w:w="120" w:type="dxa"/>
            </w:tcMar>
          </w:tcPr>
          <w:p w14:paraId="7BBE7015"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7–9 分</w:t>
            </w:r>
          </w:p>
        </w:tc>
        <w:tc>
          <w:tcPr>
            <w:tcW w:w="2600" w:type="dxa"/>
            <w:tcMar>
              <w:top w:w="80" w:type="dxa"/>
              <w:left w:w="120" w:type="dxa"/>
              <w:bottom w:w="80" w:type="dxa"/>
              <w:right w:w="120" w:type="dxa"/>
            </w:tcMar>
          </w:tcPr>
          <w:p w14:paraId="53DED010"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一項介入提案</w:t>
            </w:r>
          </w:p>
        </w:tc>
        <w:tc>
          <w:tcPr>
            <w:tcW w:w="5300" w:type="dxa"/>
            <w:tcMar>
              <w:top w:w="80" w:type="dxa"/>
              <w:left w:w="120" w:type="dxa"/>
              <w:bottom w:w="80" w:type="dxa"/>
              <w:right w:w="120" w:type="dxa"/>
            </w:tcMar>
          </w:tcPr>
          <w:p w14:paraId="25E0C829"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只准提一項。</w:t>
            </w:r>
          </w:p>
        </w:tc>
      </w:tr>
      <w:tr w:rsidR="00FB719A" w14:paraId="498AB3F7" w14:textId="77777777">
        <w:tc>
          <w:tcPr>
            <w:tcW w:w="1100" w:type="dxa"/>
            <w:tcMar>
              <w:top w:w="80" w:type="dxa"/>
              <w:left w:w="120" w:type="dxa"/>
              <w:bottom w:w="80" w:type="dxa"/>
              <w:right w:w="120" w:type="dxa"/>
            </w:tcMar>
          </w:tcPr>
          <w:p w14:paraId="29BD84EE"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9–10 分</w:t>
            </w:r>
          </w:p>
        </w:tc>
        <w:tc>
          <w:tcPr>
            <w:tcW w:w="2600" w:type="dxa"/>
            <w:tcMar>
              <w:top w:w="80" w:type="dxa"/>
              <w:left w:w="120" w:type="dxa"/>
              <w:bottom w:w="80" w:type="dxa"/>
              <w:right w:w="120" w:type="dxa"/>
            </w:tcMar>
          </w:tcPr>
          <w:p w14:paraId="66A16D95"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這個提案會犧牲什麼</w:t>
            </w:r>
          </w:p>
        </w:tc>
        <w:tc>
          <w:tcPr>
            <w:tcW w:w="5300" w:type="dxa"/>
            <w:tcMar>
              <w:top w:w="80" w:type="dxa"/>
              <w:left w:w="120" w:type="dxa"/>
              <w:bottom w:w="80" w:type="dxa"/>
              <w:right w:w="120" w:type="dxa"/>
            </w:tcMar>
          </w:tcPr>
          <w:p w14:paraId="59F5E623" w14:textId="77777777" w:rsidR="00FB719A" w:rsidRDefault="00000000">
            <w:pPr>
              <w:spacing w:line="276" w:lineRule="auto"/>
              <w:rPr>
                <w:rFonts w:ascii="標楷體-繁" w:eastAsia="標楷體-繁" w:hAnsi="標楷體-繁" w:cs="標楷體-繁"/>
              </w:rPr>
            </w:pPr>
            <w:r>
              <w:rPr>
                <w:rFonts w:ascii="標楷體-繁" w:eastAsia="標楷體-繁" w:hAnsi="標楷體-繁" w:cs="標楷體-繁"/>
                <w:sz w:val="20"/>
                <w:szCs w:val="20"/>
              </w:rPr>
              <w:t>須引用課堂讀過的文獻來反駁自己的提案。不接受「沒有代價」。</w:t>
            </w:r>
          </w:p>
        </w:tc>
      </w:tr>
    </w:tbl>
    <w:p w14:paraId="6926F01B" w14:textId="77777777" w:rsidR="00FB719A" w:rsidRDefault="00FB719A">
      <w:pPr>
        <w:spacing w:after="120"/>
        <w:rPr>
          <w:rFonts w:ascii="標楷體-繁" w:eastAsia="標楷體-繁" w:hAnsi="標楷體-繁" w:cs="標楷體-繁"/>
        </w:rPr>
      </w:pPr>
    </w:p>
    <w:p w14:paraId="15D632CC" w14:textId="77777777" w:rsidR="00FB719A" w:rsidRDefault="00000000">
      <w:pPr>
        <w:keepNext/>
        <w:spacing w:before="180" w:after="80"/>
        <w:rPr>
          <w:rFonts w:ascii="標楷體-繁" w:eastAsia="標楷體-繁" w:hAnsi="標楷體-繁" w:cs="標楷體-繁"/>
        </w:rPr>
      </w:pPr>
      <w:r>
        <w:rPr>
          <w:rFonts w:ascii="標楷體-繁" w:eastAsia="標楷體-繁" w:hAnsi="標楷體-繁" w:cs="標楷體-繁"/>
          <w:b/>
          <w:bCs/>
        </w:rPr>
        <w:t>配套規定</w:t>
      </w:r>
    </w:p>
    <w:p w14:paraId="556780AB" w14:textId="77777777" w:rsidR="00FB719A" w:rsidRDefault="00000000">
      <w:pPr>
        <w:spacing w:after="60" w:line="276" w:lineRule="auto"/>
        <w:ind w:left="200"/>
        <w:rPr>
          <w:rFonts w:ascii="標楷體-繁" w:eastAsia="標楷體-繁" w:hAnsi="標楷體-繁" w:cs="標楷體-繁"/>
        </w:rPr>
      </w:pPr>
      <w:r>
        <w:rPr>
          <w:rFonts w:ascii="標楷體-繁" w:eastAsia="標楷體-繁" w:hAnsi="標楷體-繁" w:cs="標楷體-繁"/>
        </w:rPr>
        <w:t>1. 投影片上限六張。</w:t>
      </w:r>
    </w:p>
    <w:p w14:paraId="7EC001AD" w14:textId="77777777" w:rsidR="00FB719A" w:rsidRDefault="00000000">
      <w:pPr>
        <w:spacing w:after="60" w:line="276" w:lineRule="auto"/>
        <w:ind w:left="200"/>
        <w:rPr>
          <w:rFonts w:ascii="標楷體-繁" w:eastAsia="標楷體-繁" w:hAnsi="標楷體-繁" w:cs="標楷體-繁"/>
        </w:rPr>
      </w:pPr>
      <w:r>
        <w:rPr>
          <w:rFonts w:ascii="標楷體-繁" w:eastAsia="標楷體-繁" w:hAnsi="標楷體-繁" w:cs="標楷體-繁"/>
        </w:rPr>
        <w:t>2. 課前一週繳交一句話論點，格式固定：「當〔情境〕發生時，〔群體〕的〔服務〕會因為〔機制〕而中斷。」教師將於此關檢核題目範圍，過大者退回重擬。</w:t>
      </w:r>
    </w:p>
    <w:p w14:paraId="270D36B8" w14:textId="77777777" w:rsidR="00FB719A" w:rsidRDefault="00000000">
      <w:pPr>
        <w:spacing w:after="60" w:line="276" w:lineRule="auto"/>
        <w:ind w:left="200"/>
        <w:rPr>
          <w:rFonts w:ascii="標楷體-繁" w:eastAsia="標楷體-繁" w:hAnsi="標楷體-繁" w:cs="標楷體-繁"/>
        </w:rPr>
      </w:pPr>
      <w:r>
        <w:rPr>
          <w:rFonts w:ascii="標楷體-繁" w:eastAsia="標楷體-繁" w:hAnsi="標楷體-繁" w:cs="標楷體-繁"/>
        </w:rPr>
        <w:t>3. 計時由下一位報告者負責。超時將於第 10 分鐘中斷。</w:t>
      </w:r>
    </w:p>
    <w:p w14:paraId="40F907D6"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rPr>
        <w:t>全部報告結束後留 40 分鐘，隨機抽取三份報告的情境卡，疊在同一條時間軸上，由全班處理複合情境下的資源競爭——誰先撤離、誰的服務先中斷、由誰決定。設計參照為 Liu（2026）表二對民安演習與藍鵲行動在操作邏輯、角色、物件運用、展演風格與時間性五個面向的對照，同學已於第 7 週讀過。</w:t>
      </w:r>
    </w:p>
    <w:p w14:paraId="2CAE7229" w14:textId="77777777" w:rsidR="00FB719A" w:rsidRDefault="00FB719A">
      <w:pPr>
        <w:pageBreakBefore/>
        <w:rPr>
          <w:rFonts w:ascii="標楷體-繁" w:eastAsia="標楷體-繁" w:hAnsi="標楷體-繁" w:cs="標楷體-繁"/>
        </w:rPr>
      </w:pPr>
    </w:p>
    <w:p w14:paraId="3B5E6B6E" w14:textId="77777777" w:rsidR="00FB719A" w:rsidRDefault="00000000">
      <w:pPr>
        <w:pStyle w:val="1"/>
        <w:keepNext/>
        <w:pBdr>
          <w:bottom w:val="single" w:sz="8" w:space="6" w:color="1F3864"/>
        </w:pBdr>
        <w:spacing w:before="360" w:after="160"/>
        <w:rPr>
          <w:rFonts w:ascii="標楷體-繁" w:eastAsia="標楷體-繁" w:hAnsi="標楷體-繁" w:cs="標楷體-繁"/>
        </w:rPr>
      </w:pPr>
      <w:r>
        <w:rPr>
          <w:rFonts w:ascii="標楷體-繁" w:eastAsia="標楷體-繁" w:hAnsi="標楷體-繁" w:cs="標楷體-繁"/>
          <w:b/>
          <w:bCs/>
          <w:color w:val="1F3864"/>
          <w:sz w:val="26"/>
          <w:szCs w:val="26"/>
        </w:rPr>
        <w:t>七、報告示範案例</w:t>
      </w:r>
    </w:p>
    <w:p w14:paraId="304C4150"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color w:val="595959"/>
          <w:sz w:val="20"/>
          <w:szCs w:val="20"/>
        </w:rPr>
        <w:t>以下示範的重點不是題目本身，而是「斷點必須指得出來」是什麼意思。</w:t>
      </w:r>
    </w:p>
    <w:p w14:paraId="7872788B" w14:textId="77777777" w:rsidR="00FB719A" w:rsidRDefault="00FB719A">
      <w:pPr>
        <w:spacing w:after="60"/>
        <w:rPr>
          <w:rFonts w:ascii="標楷體-繁" w:eastAsia="標楷體-繁" w:hAnsi="標楷體-繁" w:cs="標楷體-繁"/>
        </w:rPr>
      </w:pPr>
    </w:p>
    <w:p w14:paraId="5A876E92" w14:textId="77777777" w:rsidR="00FB719A" w:rsidRDefault="00000000">
      <w:pPr>
        <w:spacing w:after="140" w:line="276" w:lineRule="auto"/>
        <w:rPr>
          <w:rFonts w:ascii="標楷體-繁" w:eastAsia="標楷體-繁" w:hAnsi="標楷體-繁" w:cs="標楷體-繁"/>
        </w:rPr>
      </w:pPr>
      <w:r>
        <w:rPr>
          <w:rFonts w:ascii="標楷體-繁" w:eastAsia="標楷體-繁" w:hAnsi="標楷體-繁" w:cs="標楷體-繁"/>
          <w:b/>
          <w:bCs/>
          <w:color w:val="1F3864"/>
          <w:sz w:val="24"/>
          <w:szCs w:val="24"/>
        </w:rPr>
        <w:t>〈當看護先撤離：封鎖情境下失能長者的照顧斷點〉</w:t>
      </w:r>
    </w:p>
    <w:p w14:paraId="18A9BD78" w14:textId="77777777" w:rsidR="00FB719A" w:rsidRDefault="00000000">
      <w:pPr>
        <w:keepNext/>
        <w:spacing w:before="180" w:after="80"/>
        <w:rPr>
          <w:rFonts w:ascii="標楷體-繁" w:eastAsia="標楷體-繁" w:hAnsi="標楷體-繁" w:cs="標楷體-繁"/>
        </w:rPr>
      </w:pPr>
      <w:r>
        <w:rPr>
          <w:rFonts w:ascii="標楷體-繁" w:eastAsia="標楷體-繁" w:hAnsi="標楷體-繁" w:cs="標楷體-繁"/>
          <w:b/>
          <w:bCs/>
        </w:rPr>
        <w:t>情境設定（0–1 分）</w:t>
      </w:r>
    </w:p>
    <w:p w14:paraId="42D663AF"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rPr>
        <w:t>設定為中國對台實施海空封鎖進入第三週。北部某直轄市已啟動分區疏散，捷運停駛、公車減班、加油站限量供油，跨區移動需事前申請。</w:t>
      </w:r>
    </w:p>
    <w:p w14:paraId="35BB082B" w14:textId="77777777" w:rsidR="00FB719A" w:rsidRDefault="00000000">
      <w:pPr>
        <w:keepNext/>
        <w:spacing w:before="180" w:after="80"/>
        <w:rPr>
          <w:rFonts w:ascii="標楷體-繁" w:eastAsia="標楷體-繁" w:hAnsi="標楷體-繁" w:cs="標楷體-繁"/>
        </w:rPr>
      </w:pPr>
      <w:r>
        <w:rPr>
          <w:rFonts w:ascii="標楷體-繁" w:eastAsia="標楷體-繁" w:hAnsi="標楷體-繁" w:cs="標楷體-繁"/>
          <w:b/>
          <w:bCs/>
        </w:rPr>
        <w:t>現有的服務依賴（1–3 分）</w:t>
      </w:r>
    </w:p>
    <w:p w14:paraId="63351A0F"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rPr>
        <w:t>本案群體是聘有外籍家庭看護工的重度失能長者。他們的日常照顧——翻身、抽痰、餵食、給藥——幾乎完全由同住的看護承擔。這層關係依《就業服務法》以私人聘僱建立，費用由家庭自付，不經長照給付，也因此不出現在任何公部門的服務名冊上。</w:t>
      </w:r>
    </w:p>
    <w:p w14:paraId="07359362" w14:textId="77777777" w:rsidR="00FB719A" w:rsidRDefault="00000000">
      <w:pPr>
        <w:keepNext/>
        <w:spacing w:before="180" w:after="80"/>
        <w:rPr>
          <w:rFonts w:ascii="標楷體-繁" w:eastAsia="標楷體-繁" w:hAnsi="標楷體-繁" w:cs="標楷體-繁"/>
        </w:rPr>
      </w:pPr>
      <w:r>
        <w:rPr>
          <w:rFonts w:ascii="標楷體-繁" w:eastAsia="標楷體-繁" w:hAnsi="標楷體-繁" w:cs="標楷體-繁"/>
          <w:b/>
          <w:bCs/>
        </w:rPr>
        <w:t>斷點在哪裡（3–7 分）</w:t>
      </w:r>
    </w:p>
    <w:p w14:paraId="2D63D997"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rPr>
        <w:t>疏散時三件事同時發生。</w:t>
      </w:r>
    </w:p>
    <w:p w14:paraId="6A9F382A"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rPr>
        <w:t>第一，看護的移動受其居留與雇傭關係綁定。雇主家庭一旦遷至異地，居留地址、契約履行地與工資給付都失去依據，而勞政與移民主管機關並未就戰時情境訂定處理原則。</w:t>
      </w:r>
    </w:p>
    <w:p w14:paraId="793A99F1"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rPr>
        <w:t>第二，收容造冊以家戶為單位。看護既非家屬、也非受照顧者，名冊上沒有她的欄位。</w:t>
      </w:r>
    </w:p>
    <w:p w14:paraId="5830A7F6"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rPr>
        <w:t>第三，也是最關鍵的：由於這層照顧關係從未進入公部門登錄，衛政與社政系統根本不知道這些長者住在哪裡。第 15 週 Franzosa 等人所說的「必要卻被排除」在此完全成立——照顧發生在私領域，因此不在災防體系的視線之內。看護一旦離開，照顧不是降級，而是歸零。</w:t>
      </w:r>
    </w:p>
    <w:p w14:paraId="5DA87A7B" w14:textId="77777777" w:rsidR="00FB719A" w:rsidRDefault="00000000">
      <w:pPr>
        <w:keepNext/>
        <w:spacing w:before="180" w:after="80"/>
        <w:rPr>
          <w:rFonts w:ascii="標楷體-繁" w:eastAsia="標楷體-繁" w:hAnsi="標楷體-繁" w:cs="標楷體-繁"/>
        </w:rPr>
      </w:pPr>
      <w:r>
        <w:rPr>
          <w:rFonts w:ascii="標楷體-繁" w:eastAsia="標楷體-繁" w:hAnsi="標楷體-繁" w:cs="標楷體-繁"/>
          <w:b/>
          <w:bCs/>
        </w:rPr>
        <w:t>介入提案（7–9 分）</w:t>
      </w:r>
    </w:p>
    <w:p w14:paraId="236FB307"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rPr>
        <w:t>在長照管理中心既有的個案管理系統增設「主要照顧者身分別」欄位，將聘有外籍看護的重度失能者納入災前造冊，由地方政府長照中心與移工業務單位共同維護。</w:t>
      </w:r>
    </w:p>
    <w:p w14:paraId="0F33CE11" w14:textId="77777777" w:rsidR="00FB719A" w:rsidRDefault="00000000">
      <w:pPr>
        <w:keepNext/>
        <w:spacing w:before="180" w:after="80"/>
        <w:rPr>
          <w:rFonts w:ascii="標楷體-繁" w:eastAsia="標楷體-繁" w:hAnsi="標楷體-繁" w:cs="標楷體-繁"/>
        </w:rPr>
      </w:pPr>
      <w:r>
        <w:rPr>
          <w:rFonts w:ascii="標楷體-繁" w:eastAsia="標楷體-繁" w:hAnsi="標楷體-繁" w:cs="標楷體-繁"/>
          <w:b/>
          <w:bCs/>
        </w:rPr>
        <w:t>這個提案會犧牲什麼（9–10 分）</w:t>
      </w:r>
    </w:p>
    <w:p w14:paraId="51751055"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rPr>
        <w:t>這等於把一個目前完全私領域的照顧關係納入國家登錄。對移工是多一層行政監控，對雇主家庭是多一項申報義務，而登錄本身不保證戰時真的有人上門。更值得警惕的是，這份名冊可能被挪作勞動查察之用，反而降低家庭誠實申報的意願——第 3 週 Marino 等人對「標定脆弱者」的批評在這裡是成立的。</w:t>
      </w:r>
    </w:p>
    <w:p w14:paraId="13006286" w14:textId="77777777" w:rsidR="00FB719A" w:rsidRDefault="00FB719A">
      <w:pPr>
        <w:spacing w:after="160"/>
        <w:rPr>
          <w:rFonts w:ascii="標楷體-繁" w:eastAsia="標楷體-繁" w:hAnsi="標楷體-繁" w:cs="標楷體-繁"/>
        </w:rPr>
      </w:pPr>
    </w:p>
    <w:p w14:paraId="10D079C3" w14:textId="77777777" w:rsidR="00FB719A" w:rsidRDefault="00000000">
      <w:pPr>
        <w:keepNext/>
        <w:spacing w:before="180" w:after="80"/>
        <w:rPr>
          <w:rFonts w:ascii="標楷體-繁" w:eastAsia="標楷體-繁" w:hAnsi="標楷體-繁" w:cs="標楷體-繁"/>
        </w:rPr>
      </w:pPr>
      <w:r>
        <w:rPr>
          <w:rFonts w:ascii="標楷體-繁" w:eastAsia="標楷體-繁" w:hAnsi="標楷體-繁" w:cs="標楷體-繁"/>
          <w:b/>
          <w:bCs/>
        </w:rPr>
        <w:t>這份示範示範了什麼</w:t>
      </w:r>
    </w:p>
    <w:p w14:paraId="28DBE178"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rPr>
        <w:t>三件事值得注意。斷點是三層疊加的，而不是一句「照顧會中斷」；提案只有一項，而且是行政層次的微調，不是「應加強跨部會合作」這種無法否證的話；代價那一段直接引用課堂讀過的批判文獻來攻擊自己的提案。</w:t>
      </w:r>
    </w:p>
    <w:p w14:paraId="166571D8" w14:textId="77777777" w:rsidR="00FB719A" w:rsidRDefault="00000000">
      <w:pPr>
        <w:spacing w:after="100" w:line="276" w:lineRule="auto"/>
        <w:rPr>
          <w:rFonts w:ascii="標楷體-繁" w:eastAsia="標楷體-繁" w:hAnsi="標楷體-繁" w:cs="標楷體-繁"/>
        </w:rPr>
      </w:pPr>
      <w:r>
        <w:rPr>
          <w:rFonts w:ascii="標楷體-繁" w:eastAsia="標楷體-繁" w:hAnsi="標楷體-繁" w:cs="標楷體-繁"/>
        </w:rPr>
        <w:t>最後一點最重要。最常見的失敗是把第 10 分鐘講成「當然還有很多困難需要克服」。要求各位用課程讀過的某一篇文獻來反駁自己，這一分鐘才會有內容。</w:t>
      </w:r>
    </w:p>
    <w:p w14:paraId="4CCD1641" w14:textId="77777777" w:rsidR="00FB719A" w:rsidRDefault="00FB719A">
      <w:pPr>
        <w:spacing w:after="240"/>
        <w:rPr>
          <w:rFonts w:ascii="標楷體-繁" w:eastAsia="標楷體-繁" w:hAnsi="標楷體-繁" w:cs="標楷體-繁"/>
        </w:rPr>
      </w:pPr>
    </w:p>
    <w:p w14:paraId="72DB8A96" w14:textId="77777777" w:rsidR="00FB719A" w:rsidRDefault="00000000">
      <w:pPr>
        <w:spacing w:after="100" w:line="276" w:lineRule="auto"/>
        <w:jc w:val="center"/>
        <w:rPr>
          <w:rFonts w:ascii="標楷體-繁" w:eastAsia="標楷體-繁" w:hAnsi="標楷體-繁" w:cs="標楷體-繁"/>
        </w:rPr>
      </w:pPr>
      <w:r>
        <w:rPr>
          <w:rFonts w:ascii="標楷體-繁" w:eastAsia="標楷體-繁" w:hAnsi="標楷體-繁" w:cs="標楷體-繁"/>
          <w:i/>
          <w:iCs/>
          <w:color w:val="595959"/>
          <w:sz w:val="19"/>
          <w:szCs w:val="19"/>
        </w:rPr>
        <w:lastRenderedPageBreak/>
        <w:t>本大綱為初版，實際進度與評量配分將依修課人數與課堂討論調整。</w:t>
      </w:r>
    </w:p>
    <w:sectPr w:rsidR="00FB719A">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88600" w14:textId="77777777" w:rsidR="00D80531" w:rsidRDefault="00D80531" w:rsidP="00242F81">
      <w:r>
        <w:separator/>
      </w:r>
    </w:p>
  </w:endnote>
  <w:endnote w:type="continuationSeparator" w:id="0">
    <w:p w14:paraId="15AA4FDE" w14:textId="77777777" w:rsidR="00D80531" w:rsidRDefault="00D80531" w:rsidP="00242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embedItalic r:id="rId1" w:fontKey="{A9E32A16-0CBF-4347-9B4C-B0ABDFE30036}"/>
  </w:font>
  <w:font w:name="標楷體-繁">
    <w:altName w:val="標楷體"/>
    <w:charset w:val="00"/>
    <w:family w:val="auto"/>
    <w:pitch w:val="default"/>
  </w:font>
  <w:font w:name="Cambria">
    <w:panose1 w:val="02040503050406030204"/>
    <w:charset w:val="00"/>
    <w:family w:val="roman"/>
    <w:pitch w:val="variable"/>
    <w:sig w:usb0="E00006FF" w:usb1="420024FF" w:usb2="02000000" w:usb3="00000000" w:csb0="0000019F" w:csb1="00000000"/>
    <w:embedRegular r:id="rId2" w:fontKey="{FFD710B8-1478-4AE5-84EE-0F5914F429C4}"/>
  </w:font>
  <w:font w:name="Aptos Display">
    <w:charset w:val="00"/>
    <w:family w:val="swiss"/>
    <w:pitch w:val="variable"/>
    <w:sig w:usb0="20000287" w:usb1="00000003" w:usb2="00000000" w:usb3="00000000" w:csb0="0000019F" w:csb1="00000000"/>
    <w:embedRegular r:id="rId3" w:fontKey="{C55E469A-B532-4062-B727-8969AE071301}"/>
  </w:font>
  <w:font w:name="Aptos">
    <w:charset w:val="00"/>
    <w:family w:val="swiss"/>
    <w:pitch w:val="variable"/>
    <w:sig w:usb0="20000287" w:usb1="00000003" w:usb2="00000000" w:usb3="00000000" w:csb0="0000019F" w:csb1="00000000"/>
    <w:embedRegular r:id="rId4" w:fontKey="{5E499D54-FB0B-4465-B7AF-799B317146E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25723" w14:textId="77777777" w:rsidR="00D80531" w:rsidRDefault="00D80531" w:rsidP="00242F81">
      <w:r>
        <w:separator/>
      </w:r>
    </w:p>
  </w:footnote>
  <w:footnote w:type="continuationSeparator" w:id="0">
    <w:p w14:paraId="6A17E643" w14:textId="77777777" w:rsidR="00D80531" w:rsidRDefault="00D80531" w:rsidP="00242F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19A"/>
    <w:rsid w:val="00092A2D"/>
    <w:rsid w:val="000C2D25"/>
    <w:rsid w:val="000C4ABC"/>
    <w:rsid w:val="00242F81"/>
    <w:rsid w:val="00332408"/>
    <w:rsid w:val="00376A2C"/>
    <w:rsid w:val="003A43B0"/>
    <w:rsid w:val="00447B43"/>
    <w:rsid w:val="0046543B"/>
    <w:rsid w:val="006F2ADA"/>
    <w:rsid w:val="00891E6F"/>
    <w:rsid w:val="00A16F52"/>
    <w:rsid w:val="00A53987"/>
    <w:rsid w:val="00A7275B"/>
    <w:rsid w:val="00A90178"/>
    <w:rsid w:val="00AF068C"/>
    <w:rsid w:val="00BF269C"/>
    <w:rsid w:val="00D2409B"/>
    <w:rsid w:val="00D62267"/>
    <w:rsid w:val="00D80531"/>
    <w:rsid w:val="00D8338E"/>
    <w:rsid w:val="00DD766D"/>
    <w:rsid w:val="00F56C84"/>
    <w:rsid w:val="00FB2A2C"/>
    <w:rsid w:val="00FB68F9"/>
    <w:rsid w:val="00FB719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6A4BBC"/>
  <w15:docId w15:val="{DD433A91-02CA-40BB-A9C7-D7A8B25B7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1"/>
        <w:szCs w:val="21"/>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widowControl/>
      <w:pBdr>
        <w:top w:val="nil"/>
        <w:left w:val="nil"/>
        <w:bottom w:val="nil"/>
        <w:right w:val="nil"/>
        <w:between w:val="nil"/>
      </w:pBdr>
      <w:outlineLvl w:val="0"/>
    </w:pPr>
    <w:rPr>
      <w:rFonts w:eastAsia="Times New Roman"/>
      <w:color w:val="2E74B5"/>
      <w:sz w:val="32"/>
      <w:szCs w:val="32"/>
    </w:rPr>
  </w:style>
  <w:style w:type="paragraph" w:styleId="2">
    <w:name w:val="heading 2"/>
    <w:basedOn w:val="a"/>
    <w:next w:val="a"/>
    <w:uiPriority w:val="9"/>
    <w:unhideWhenUsed/>
    <w:qFormat/>
    <w:pPr>
      <w:widowControl/>
      <w:pBdr>
        <w:top w:val="nil"/>
        <w:left w:val="nil"/>
        <w:bottom w:val="nil"/>
        <w:right w:val="nil"/>
        <w:between w:val="nil"/>
      </w:pBdr>
      <w:outlineLvl w:val="1"/>
    </w:pPr>
    <w:rPr>
      <w:rFonts w:eastAsia="Times New Roman"/>
      <w:color w:val="2E74B5"/>
      <w:sz w:val="26"/>
      <w:szCs w:val="26"/>
    </w:rPr>
  </w:style>
  <w:style w:type="paragraph" w:styleId="3">
    <w:name w:val="heading 3"/>
    <w:basedOn w:val="a"/>
    <w:next w:val="a"/>
    <w:uiPriority w:val="9"/>
    <w:semiHidden/>
    <w:unhideWhenUsed/>
    <w:qFormat/>
    <w:pPr>
      <w:widowControl/>
      <w:pBdr>
        <w:top w:val="nil"/>
        <w:left w:val="nil"/>
        <w:bottom w:val="nil"/>
        <w:right w:val="nil"/>
        <w:between w:val="nil"/>
      </w:pBdr>
      <w:outlineLvl w:val="2"/>
    </w:pPr>
    <w:rPr>
      <w:rFonts w:eastAsia="Times New Roman"/>
      <w:color w:val="1F4D78"/>
      <w:sz w:val="24"/>
      <w:szCs w:val="24"/>
    </w:rPr>
  </w:style>
  <w:style w:type="paragraph" w:styleId="4">
    <w:name w:val="heading 4"/>
    <w:basedOn w:val="a"/>
    <w:next w:val="a"/>
    <w:uiPriority w:val="9"/>
    <w:semiHidden/>
    <w:unhideWhenUsed/>
    <w:qFormat/>
    <w:pPr>
      <w:widowControl/>
      <w:pBdr>
        <w:top w:val="nil"/>
        <w:left w:val="nil"/>
        <w:bottom w:val="nil"/>
        <w:right w:val="nil"/>
        <w:between w:val="nil"/>
      </w:pBdr>
      <w:outlineLvl w:val="3"/>
    </w:pPr>
    <w:rPr>
      <w:rFonts w:eastAsia="Times New Roman"/>
      <w:i/>
      <w:iCs/>
      <w:color w:val="2E74B5"/>
    </w:rPr>
  </w:style>
  <w:style w:type="paragraph" w:styleId="5">
    <w:name w:val="heading 5"/>
    <w:basedOn w:val="a"/>
    <w:next w:val="a"/>
    <w:uiPriority w:val="9"/>
    <w:semiHidden/>
    <w:unhideWhenUsed/>
    <w:qFormat/>
    <w:pPr>
      <w:widowControl/>
      <w:pBdr>
        <w:top w:val="nil"/>
        <w:left w:val="nil"/>
        <w:bottom w:val="nil"/>
        <w:right w:val="nil"/>
        <w:between w:val="nil"/>
      </w:pBdr>
      <w:outlineLvl w:val="4"/>
    </w:pPr>
    <w:rPr>
      <w:rFonts w:eastAsia="Times New Roman"/>
      <w:color w:val="2E74B5"/>
    </w:rPr>
  </w:style>
  <w:style w:type="paragraph" w:styleId="6">
    <w:name w:val="heading 6"/>
    <w:basedOn w:val="a"/>
    <w:next w:val="a"/>
    <w:uiPriority w:val="9"/>
    <w:semiHidden/>
    <w:unhideWhenUsed/>
    <w:qFormat/>
    <w:pPr>
      <w:widowControl/>
      <w:pBdr>
        <w:top w:val="nil"/>
        <w:left w:val="nil"/>
        <w:bottom w:val="nil"/>
        <w:right w:val="nil"/>
        <w:between w:val="nil"/>
      </w:pBdr>
      <w:outlineLvl w:val="5"/>
    </w:pPr>
    <w:rPr>
      <w:rFonts w:eastAsia="Times New Roman"/>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widowControl/>
      <w:pBdr>
        <w:top w:val="nil"/>
        <w:left w:val="nil"/>
        <w:bottom w:val="nil"/>
        <w:right w:val="nil"/>
        <w:between w:val="nil"/>
      </w:pBdr>
    </w:pPr>
    <w:rPr>
      <w:rFonts w:eastAsia="Times New Roman"/>
      <w:color w:val="000000"/>
      <w:sz w:val="56"/>
      <w:szCs w:val="56"/>
    </w:rPr>
  </w:style>
  <w:style w:type="paragraph" w:customStyle="1" w:styleId="10">
    <w:name w:val="強調粗體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註腳文字 字元"/>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章節附註文字 字元"/>
    <w:link w:val="aa"/>
    <w:uiPriority w:val="99"/>
    <w:semiHidden/>
    <w:unhideWhenUsed/>
    <w:rPr>
      <w:sz w:val="20"/>
      <w:szCs w:val="20"/>
    </w:rPr>
  </w:style>
  <w:style w:type="paragraph" w:styleId="ac">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d">
    <w:basedOn w:val="TableNormal"/>
    <w:tblPr>
      <w:tblStyleRowBandSize w:val="1"/>
      <w:tblStyleColBandSize w:val="1"/>
      <w:tblCellMar>
        <w:top w:w="0" w:type="dxa"/>
        <w:left w:w="10" w:type="dxa"/>
        <w:bottom w:w="0" w:type="dxa"/>
        <w:right w:w="10" w:type="dxa"/>
      </w:tblCellMar>
    </w:tblPr>
  </w:style>
  <w:style w:type="table" w:customStyle="1" w:styleId="ae">
    <w:basedOn w:val="TableNormal"/>
    <w:tblPr>
      <w:tblStyleRowBandSize w:val="1"/>
      <w:tblStyleColBandSize w:val="1"/>
      <w:tblCellMar>
        <w:top w:w="0" w:type="dxa"/>
        <w:left w:w="10" w:type="dxa"/>
        <w:bottom w:w="0" w:type="dxa"/>
        <w:right w:w="10" w:type="dxa"/>
      </w:tblCellMar>
    </w:tblPr>
  </w:style>
  <w:style w:type="table" w:customStyle="1" w:styleId="af">
    <w:basedOn w:val="TableNormal"/>
    <w:tblPr>
      <w:tblStyleRowBandSize w:val="1"/>
      <w:tblStyleColBandSize w:val="1"/>
      <w:tblCellMar>
        <w:top w:w="0" w:type="dxa"/>
        <w:left w:w="10" w:type="dxa"/>
        <w:bottom w:w="0" w:type="dxa"/>
        <w:right w:w="10" w:type="dxa"/>
      </w:tblCellMar>
    </w:tblPr>
  </w:style>
  <w:style w:type="paragraph" w:styleId="af0">
    <w:name w:val="header"/>
    <w:basedOn w:val="a"/>
    <w:link w:val="af1"/>
    <w:uiPriority w:val="99"/>
    <w:unhideWhenUsed/>
    <w:rsid w:val="00242F81"/>
    <w:pPr>
      <w:tabs>
        <w:tab w:val="center" w:pos="4153"/>
        <w:tab w:val="right" w:pos="8306"/>
      </w:tabs>
      <w:snapToGrid w:val="0"/>
    </w:pPr>
    <w:rPr>
      <w:sz w:val="20"/>
      <w:szCs w:val="20"/>
    </w:rPr>
  </w:style>
  <w:style w:type="character" w:customStyle="1" w:styleId="af1">
    <w:name w:val="頁首 字元"/>
    <w:basedOn w:val="a0"/>
    <w:link w:val="af0"/>
    <w:uiPriority w:val="99"/>
    <w:rsid w:val="00242F81"/>
    <w:rPr>
      <w:sz w:val="20"/>
      <w:szCs w:val="20"/>
    </w:rPr>
  </w:style>
  <w:style w:type="paragraph" w:styleId="af2">
    <w:name w:val="footer"/>
    <w:basedOn w:val="a"/>
    <w:link w:val="af3"/>
    <w:uiPriority w:val="99"/>
    <w:unhideWhenUsed/>
    <w:rsid w:val="00242F81"/>
    <w:pPr>
      <w:tabs>
        <w:tab w:val="center" w:pos="4153"/>
        <w:tab w:val="right" w:pos="8306"/>
      </w:tabs>
      <w:snapToGrid w:val="0"/>
    </w:pPr>
    <w:rPr>
      <w:sz w:val="20"/>
      <w:szCs w:val="20"/>
    </w:rPr>
  </w:style>
  <w:style w:type="character" w:customStyle="1" w:styleId="af3">
    <w:name w:val="頁尾 字元"/>
    <w:basedOn w:val="a0"/>
    <w:link w:val="af2"/>
    <w:uiPriority w:val="99"/>
    <w:rsid w:val="00242F8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fYDlMl+6bNhBWAqy88K80b3uLw==">CgMxLjA4AHIhMXRHNXk4VzZEc0Fhdzk3NDN6aG5Ed05raGNkNnF1LUVo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10</Pages>
  <Words>2041</Words>
  <Characters>11635</Characters>
  <Application>Microsoft Office Word</Application>
  <DocSecurity>0</DocSecurity>
  <Lines>96</Lines>
  <Paragraphs>27</Paragraphs>
  <ScaleCrop>false</ScaleCrop>
  <Company/>
  <LinksUpToDate>false</LinksUpToDate>
  <CharactersWithSpaces>13649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郁品 凃</cp:lastModifiedBy>
  <cp:revision>8</cp:revision>
  <dcterms:created xsi:type="dcterms:W3CDTF">2026-08-06T05:39:00Z</dcterms:created>
  <dcterms:modified xsi:type="dcterms:W3CDTF">2026-08-19T03:04:00Z</dcterms:modified>
</cp:coreProperties>
</file>