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9D29A" w14:textId="6FA72D43" w:rsidR="00FE0BCC" w:rsidRPr="00E14EAE" w:rsidRDefault="00FE0BCC" w:rsidP="00FE0BCC">
      <w:pPr>
        <w:spacing w:line="0" w:lineRule="atLeast"/>
        <w:jc w:val="center"/>
        <w:rPr>
          <w:rFonts w:eastAsia="DFKai-SB"/>
          <w:sz w:val="30"/>
          <w:szCs w:val="30"/>
        </w:rPr>
      </w:pPr>
      <w:r w:rsidRPr="00E14EAE">
        <w:rPr>
          <w:rFonts w:eastAsia="DFKai-SB" w:hint="eastAsia"/>
          <w:sz w:val="30"/>
          <w:szCs w:val="30"/>
        </w:rPr>
        <w:t>國立中正大學課程大綱</w:t>
      </w:r>
    </w:p>
    <w:p w14:paraId="37D10F66" w14:textId="67C38C30" w:rsidR="009B7AA7" w:rsidRPr="0038174D" w:rsidRDefault="009B7AA7" w:rsidP="00FE0BCC">
      <w:pPr>
        <w:spacing w:line="0" w:lineRule="atLeast"/>
        <w:jc w:val="center"/>
        <w:rPr>
          <w:rFonts w:eastAsia="DFKai-SB"/>
          <w:b/>
          <w:bCs/>
        </w:rPr>
      </w:pPr>
      <w:r w:rsidRPr="0038174D">
        <w:rPr>
          <w:rFonts w:eastAsia="DFKai-SB"/>
          <w:b/>
          <w:bCs/>
        </w:rPr>
        <w:t xml:space="preserve">National Chung Cheng University Course Syllabus </w:t>
      </w:r>
    </w:p>
    <w:p w14:paraId="003CA7D9" w14:textId="0D42C011" w:rsidR="0038174D" w:rsidRDefault="0038174D" w:rsidP="00FE0BCC">
      <w:pPr>
        <w:spacing w:line="0" w:lineRule="atLeast"/>
        <w:jc w:val="center"/>
        <w:rPr>
          <w:rFonts w:eastAsia="DFKai-SB"/>
          <w:b/>
          <w:bCs/>
        </w:rPr>
      </w:pPr>
      <w:r w:rsidRPr="0038174D">
        <w:rPr>
          <w:rFonts w:eastAsia="DFKai-SB"/>
          <w:b/>
          <w:bCs/>
        </w:rPr>
        <w:t xml:space="preserve">Educational Leadership and Management Development </w:t>
      </w:r>
      <w:r w:rsidR="00793598">
        <w:rPr>
          <w:rFonts w:eastAsia="DFKai-SB"/>
          <w:b/>
          <w:bCs/>
        </w:rPr>
        <w:t>(PhD)</w:t>
      </w:r>
    </w:p>
    <w:p w14:paraId="7ACEE894" w14:textId="77777777" w:rsidR="00884965" w:rsidRPr="00884965" w:rsidRDefault="00884965" w:rsidP="00884965">
      <w:pPr>
        <w:spacing w:line="0" w:lineRule="atLeast"/>
        <w:jc w:val="center"/>
        <w:rPr>
          <w:rFonts w:eastAsia="DFKai-SB"/>
          <w:b/>
          <w:bCs/>
          <w:i/>
          <w:iCs/>
        </w:rPr>
      </w:pPr>
    </w:p>
    <w:tbl>
      <w:tblPr>
        <w:tblW w:w="963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2552"/>
        <w:gridCol w:w="7082"/>
      </w:tblGrid>
      <w:tr w:rsidR="00FE0BCC" w:rsidRPr="00F70DC1" w14:paraId="33563763" w14:textId="77777777" w:rsidTr="00CF379C">
        <w:trPr>
          <w:trHeight w:val="581"/>
          <w:jc w:val="center"/>
        </w:trPr>
        <w:tc>
          <w:tcPr>
            <w:tcW w:w="2552" w:type="dxa"/>
            <w:tcBorders>
              <w:top w:val="single" w:sz="4" w:space="0" w:color="auto"/>
              <w:left w:val="single" w:sz="4" w:space="0" w:color="auto"/>
              <w:bottom w:val="single" w:sz="4" w:space="0" w:color="auto"/>
              <w:right w:val="single" w:sz="4" w:space="0" w:color="auto"/>
            </w:tcBorders>
          </w:tcPr>
          <w:p w14:paraId="6A489165" w14:textId="77777777" w:rsidR="00FE0BCC" w:rsidRPr="009E7970" w:rsidRDefault="00FE0BCC" w:rsidP="00BA690A">
            <w:pPr>
              <w:spacing w:line="0" w:lineRule="atLeast"/>
              <w:jc w:val="center"/>
              <w:rPr>
                <w:rFonts w:eastAsia="DFKai-SB"/>
                <w:sz w:val="22"/>
                <w:szCs w:val="22"/>
              </w:rPr>
            </w:pPr>
            <w:r w:rsidRPr="009E7970">
              <w:rPr>
                <w:rFonts w:eastAsia="DFKai-SB" w:hint="eastAsia"/>
                <w:bCs/>
                <w:sz w:val="22"/>
                <w:szCs w:val="22"/>
              </w:rPr>
              <w:t>開</w:t>
            </w:r>
            <w:r w:rsidR="00E3470C" w:rsidRPr="009E7970">
              <w:rPr>
                <w:rFonts w:eastAsia="DFKai-SB" w:hint="eastAsia"/>
                <w:bCs/>
                <w:sz w:val="22"/>
                <w:szCs w:val="22"/>
              </w:rPr>
              <w:t>課</w:t>
            </w:r>
            <w:r w:rsidRPr="009E7970">
              <w:rPr>
                <w:rFonts w:eastAsia="DFKai-SB" w:hint="eastAsia"/>
                <w:sz w:val="22"/>
                <w:szCs w:val="22"/>
              </w:rPr>
              <w:t>學年度</w:t>
            </w:r>
            <w:r w:rsidRPr="009E7970">
              <w:rPr>
                <w:rFonts w:eastAsia="DFKai-SB" w:hint="eastAsia"/>
                <w:sz w:val="22"/>
                <w:szCs w:val="22"/>
              </w:rPr>
              <w:t>/</w:t>
            </w:r>
            <w:r w:rsidRPr="009E7970">
              <w:rPr>
                <w:rFonts w:eastAsia="DFKai-SB" w:hint="eastAsia"/>
                <w:sz w:val="22"/>
                <w:szCs w:val="22"/>
              </w:rPr>
              <w:t>學期</w:t>
            </w:r>
          </w:p>
          <w:p w14:paraId="7CFECB9F" w14:textId="77777777" w:rsidR="009B7AA7" w:rsidRPr="00C964F5" w:rsidRDefault="009B7AA7" w:rsidP="00BA690A">
            <w:pPr>
              <w:spacing w:line="0" w:lineRule="atLeast"/>
              <w:jc w:val="center"/>
              <w:rPr>
                <w:rFonts w:eastAsia="DFKai-SB"/>
                <w:b/>
                <w:bCs/>
              </w:rPr>
            </w:pPr>
            <w:r w:rsidRPr="00C964F5">
              <w:rPr>
                <w:rFonts w:eastAsia="DFKai-SB" w:hint="eastAsia"/>
                <w:b/>
                <w:bCs/>
              </w:rPr>
              <w:t>S</w:t>
            </w:r>
            <w:r w:rsidRPr="00C964F5">
              <w:rPr>
                <w:rFonts w:eastAsia="DFKai-SB"/>
                <w:b/>
                <w:bCs/>
              </w:rPr>
              <w:t>chool Year</w:t>
            </w:r>
            <w:r w:rsidRPr="00C964F5">
              <w:rPr>
                <w:rFonts w:eastAsia="DFKai-SB" w:hint="eastAsia"/>
                <w:b/>
                <w:bCs/>
              </w:rPr>
              <w:t>/ Se</w:t>
            </w:r>
            <w:r w:rsidRPr="00C964F5">
              <w:rPr>
                <w:rFonts w:eastAsia="DFKai-SB"/>
                <w:b/>
                <w:bCs/>
              </w:rPr>
              <w:t>mester</w:t>
            </w:r>
          </w:p>
        </w:tc>
        <w:tc>
          <w:tcPr>
            <w:tcW w:w="7082" w:type="dxa"/>
            <w:tcBorders>
              <w:top w:val="single" w:sz="4" w:space="0" w:color="auto"/>
              <w:left w:val="single" w:sz="4" w:space="0" w:color="auto"/>
              <w:bottom w:val="single" w:sz="4" w:space="0" w:color="auto"/>
              <w:right w:val="single" w:sz="4" w:space="0" w:color="auto"/>
            </w:tcBorders>
            <w:vAlign w:val="center"/>
          </w:tcPr>
          <w:p w14:paraId="208F44FC" w14:textId="6163E3F8" w:rsidR="00D33818" w:rsidRPr="00F70DC1" w:rsidRDefault="00EE6DE3" w:rsidP="0052171B">
            <w:pPr>
              <w:spacing w:line="0" w:lineRule="atLeast"/>
              <w:ind w:left="115"/>
              <w:rPr>
                <w:rFonts w:eastAsia="DFKai-SB"/>
              </w:rPr>
            </w:pPr>
            <w:r>
              <w:rPr>
                <w:rFonts w:eastAsia="DFKai-SB"/>
              </w:rPr>
              <w:t>Spring</w:t>
            </w:r>
            <w:r w:rsidR="00D33818">
              <w:rPr>
                <w:rFonts w:eastAsia="DFKai-SB"/>
              </w:rPr>
              <w:t xml:space="preserve"> </w:t>
            </w:r>
            <w:r w:rsidR="004402CB">
              <w:rPr>
                <w:rFonts w:eastAsia="DFKai-SB"/>
              </w:rPr>
              <w:t xml:space="preserve">Semester </w:t>
            </w:r>
            <w:r w:rsidR="00D33818">
              <w:rPr>
                <w:rFonts w:eastAsia="DFKai-SB"/>
              </w:rPr>
              <w:t>202</w:t>
            </w:r>
            <w:r w:rsidR="00C3395E">
              <w:rPr>
                <w:rFonts w:eastAsia="DFKai-SB"/>
              </w:rPr>
              <w:t>6, Mondays</w:t>
            </w:r>
          </w:p>
        </w:tc>
      </w:tr>
      <w:tr w:rsidR="00FE0BCC" w:rsidRPr="00F70DC1" w14:paraId="3CC569BB" w14:textId="77777777" w:rsidTr="00CF379C">
        <w:trPr>
          <w:trHeight w:val="555"/>
          <w:jc w:val="center"/>
        </w:trPr>
        <w:tc>
          <w:tcPr>
            <w:tcW w:w="2552" w:type="dxa"/>
            <w:tcBorders>
              <w:top w:val="single" w:sz="4" w:space="0" w:color="auto"/>
              <w:left w:val="single" w:sz="4" w:space="0" w:color="auto"/>
              <w:bottom w:val="single" w:sz="4" w:space="0" w:color="auto"/>
              <w:right w:val="single" w:sz="4" w:space="0" w:color="auto"/>
            </w:tcBorders>
          </w:tcPr>
          <w:p w14:paraId="19B75120" w14:textId="70B8F6D1" w:rsidR="00FE0BCC" w:rsidRPr="00F70DC1" w:rsidRDefault="00FE0BCC" w:rsidP="00BA690A">
            <w:pPr>
              <w:spacing w:line="0" w:lineRule="atLeast"/>
              <w:jc w:val="center"/>
              <w:rPr>
                <w:rFonts w:eastAsia="DFKai-SB"/>
              </w:rPr>
            </w:pPr>
            <w:r w:rsidRPr="00F70DC1">
              <w:rPr>
                <w:rFonts w:eastAsia="DFKai-SB" w:hint="eastAsia"/>
              </w:rPr>
              <w:t>課程名稱</w:t>
            </w:r>
          </w:p>
          <w:p w14:paraId="28AFF565" w14:textId="02E197A1" w:rsidR="009B7AA7" w:rsidRPr="00C964F5" w:rsidRDefault="009B7AA7" w:rsidP="00BA690A">
            <w:pPr>
              <w:spacing w:line="0" w:lineRule="atLeast"/>
              <w:jc w:val="center"/>
              <w:rPr>
                <w:rFonts w:eastAsia="DFKai-SB"/>
                <w:b/>
                <w:bCs/>
              </w:rPr>
            </w:pPr>
            <w:r w:rsidRPr="00C964F5">
              <w:rPr>
                <w:rFonts w:eastAsia="DFKai-SB" w:hint="eastAsia"/>
                <w:b/>
                <w:bCs/>
              </w:rPr>
              <w:t>C</w:t>
            </w:r>
            <w:r w:rsidRPr="00C964F5">
              <w:rPr>
                <w:rFonts w:eastAsia="DFKai-SB"/>
                <w:b/>
                <w:bCs/>
              </w:rPr>
              <w:t>ourse Title</w:t>
            </w:r>
          </w:p>
        </w:tc>
        <w:tc>
          <w:tcPr>
            <w:tcW w:w="7082" w:type="dxa"/>
            <w:tcBorders>
              <w:top w:val="single" w:sz="4" w:space="0" w:color="auto"/>
              <w:left w:val="single" w:sz="4" w:space="0" w:color="auto"/>
              <w:bottom w:val="single" w:sz="4" w:space="0" w:color="auto"/>
              <w:right w:val="single" w:sz="4" w:space="0" w:color="auto"/>
            </w:tcBorders>
            <w:vAlign w:val="center"/>
          </w:tcPr>
          <w:p w14:paraId="0165E316" w14:textId="5A8AA0D7" w:rsidR="00FE0BCC" w:rsidRPr="0038174D" w:rsidRDefault="0038174D" w:rsidP="00BF4168">
            <w:pPr>
              <w:spacing w:line="0" w:lineRule="atLeast"/>
              <w:ind w:left="115"/>
              <w:rPr>
                <w:rFonts w:eastAsia="DFKai-SB"/>
                <w:b/>
                <w:bCs/>
              </w:rPr>
            </w:pPr>
            <w:r w:rsidRPr="0038174D">
              <w:rPr>
                <w:rFonts w:eastAsia="DFKai-SB"/>
                <w:b/>
                <w:bCs/>
              </w:rPr>
              <w:t xml:space="preserve">Seminar on </w:t>
            </w:r>
            <w:r w:rsidR="004778A6">
              <w:rPr>
                <w:rFonts w:eastAsia="DFKai-SB"/>
                <w:b/>
                <w:bCs/>
              </w:rPr>
              <w:t xml:space="preserve">Strategic Planning and </w:t>
            </w:r>
            <w:r w:rsidR="00692A13">
              <w:rPr>
                <w:rFonts w:eastAsia="DFKai-SB"/>
                <w:b/>
                <w:bCs/>
              </w:rPr>
              <w:t xml:space="preserve">Management </w:t>
            </w:r>
            <w:r w:rsidR="006A2987">
              <w:rPr>
                <w:rFonts w:eastAsia="DFKai-SB"/>
                <w:b/>
                <w:bCs/>
              </w:rPr>
              <w:t>of Education Programs</w:t>
            </w:r>
          </w:p>
        </w:tc>
      </w:tr>
      <w:tr w:rsidR="00D952B7" w:rsidRPr="00F70DC1" w14:paraId="17A97857" w14:textId="77777777" w:rsidTr="00CF379C">
        <w:trPr>
          <w:trHeight w:val="555"/>
          <w:jc w:val="center"/>
        </w:trPr>
        <w:tc>
          <w:tcPr>
            <w:tcW w:w="2552" w:type="dxa"/>
            <w:tcBorders>
              <w:top w:val="single" w:sz="4" w:space="0" w:color="auto"/>
              <w:left w:val="single" w:sz="4" w:space="0" w:color="auto"/>
              <w:bottom w:val="single" w:sz="4" w:space="0" w:color="auto"/>
              <w:right w:val="single" w:sz="4" w:space="0" w:color="auto"/>
            </w:tcBorders>
          </w:tcPr>
          <w:p w14:paraId="1337BFEC" w14:textId="77777777" w:rsidR="00D952B7" w:rsidRPr="009E7970" w:rsidRDefault="00D952B7" w:rsidP="00BA690A">
            <w:pPr>
              <w:spacing w:line="0" w:lineRule="atLeast"/>
              <w:jc w:val="center"/>
              <w:rPr>
                <w:rFonts w:eastAsia="DFKai-SB"/>
                <w:sz w:val="22"/>
                <w:szCs w:val="22"/>
              </w:rPr>
            </w:pPr>
            <w:r w:rsidRPr="009E7970">
              <w:rPr>
                <w:rFonts w:eastAsia="DFKai-SB" w:hint="eastAsia"/>
                <w:sz w:val="22"/>
                <w:szCs w:val="22"/>
              </w:rPr>
              <w:t>學分數</w:t>
            </w:r>
          </w:p>
          <w:p w14:paraId="2592B0B9" w14:textId="5CCA6DFD" w:rsidR="00D952B7" w:rsidRPr="00C964F5" w:rsidRDefault="00D952B7" w:rsidP="00BA690A">
            <w:pPr>
              <w:spacing w:line="0" w:lineRule="atLeast"/>
              <w:jc w:val="center"/>
              <w:rPr>
                <w:rFonts w:eastAsia="DFKai-SB"/>
                <w:b/>
                <w:bCs/>
              </w:rPr>
            </w:pPr>
            <w:r w:rsidRPr="00C964F5">
              <w:rPr>
                <w:rFonts w:eastAsia="DFKai-SB" w:hint="eastAsia"/>
                <w:b/>
                <w:bCs/>
              </w:rPr>
              <w:t>C</w:t>
            </w:r>
            <w:r w:rsidRPr="00C964F5">
              <w:rPr>
                <w:rFonts w:eastAsia="DFKai-SB"/>
                <w:b/>
                <w:bCs/>
              </w:rPr>
              <w:t>redit</w:t>
            </w:r>
          </w:p>
        </w:tc>
        <w:tc>
          <w:tcPr>
            <w:tcW w:w="7082" w:type="dxa"/>
            <w:tcBorders>
              <w:top w:val="single" w:sz="4" w:space="0" w:color="auto"/>
              <w:left w:val="single" w:sz="4" w:space="0" w:color="auto"/>
              <w:bottom w:val="single" w:sz="4" w:space="0" w:color="auto"/>
              <w:right w:val="single" w:sz="4" w:space="0" w:color="auto"/>
            </w:tcBorders>
            <w:vAlign w:val="center"/>
          </w:tcPr>
          <w:p w14:paraId="07926E98" w14:textId="2BAD81C4" w:rsidR="00D952B7" w:rsidRPr="00D952B7" w:rsidRDefault="00D952B7" w:rsidP="0052171B">
            <w:pPr>
              <w:spacing w:line="0" w:lineRule="atLeast"/>
              <w:ind w:left="115"/>
              <w:rPr>
                <w:rFonts w:eastAsia="DFKai-SB"/>
              </w:rPr>
            </w:pPr>
            <w:r w:rsidRPr="00D952B7">
              <w:rPr>
                <w:rFonts w:eastAsia="DFKai-SB"/>
              </w:rPr>
              <w:t>3</w:t>
            </w:r>
          </w:p>
        </w:tc>
      </w:tr>
      <w:tr w:rsidR="00587DD1" w:rsidRPr="00F70DC1" w14:paraId="413E9CFC" w14:textId="77777777" w:rsidTr="00CF379C">
        <w:trPr>
          <w:trHeight w:val="1076"/>
          <w:jc w:val="center"/>
        </w:trPr>
        <w:tc>
          <w:tcPr>
            <w:tcW w:w="2552" w:type="dxa"/>
            <w:tcBorders>
              <w:top w:val="single" w:sz="4" w:space="0" w:color="auto"/>
              <w:left w:val="single" w:sz="4" w:space="0" w:color="auto"/>
              <w:bottom w:val="single" w:sz="4" w:space="0" w:color="auto"/>
              <w:right w:val="single" w:sz="4" w:space="0" w:color="auto"/>
            </w:tcBorders>
          </w:tcPr>
          <w:p w14:paraId="121F05A5" w14:textId="77777777" w:rsidR="00587DD1" w:rsidRPr="009E7970" w:rsidRDefault="00587DD1" w:rsidP="00BA690A">
            <w:pPr>
              <w:spacing w:line="0" w:lineRule="atLeast"/>
              <w:ind w:rightChars="-6" w:right="-14"/>
              <w:jc w:val="center"/>
              <w:rPr>
                <w:rFonts w:eastAsia="DFKai-SB"/>
                <w:sz w:val="22"/>
                <w:szCs w:val="22"/>
              </w:rPr>
            </w:pPr>
            <w:r w:rsidRPr="009E7970">
              <w:rPr>
                <w:rFonts w:eastAsia="DFKai-SB" w:hint="eastAsia"/>
                <w:sz w:val="22"/>
                <w:szCs w:val="22"/>
              </w:rPr>
              <w:t>授課教師資料</w:t>
            </w:r>
          </w:p>
          <w:p w14:paraId="4E28CBB1" w14:textId="4B283B1F" w:rsidR="00587DD1" w:rsidRPr="00C964F5" w:rsidRDefault="00587DD1" w:rsidP="00BA690A">
            <w:pPr>
              <w:spacing w:line="0" w:lineRule="atLeast"/>
              <w:jc w:val="center"/>
              <w:rPr>
                <w:rFonts w:eastAsia="DFKai-SB"/>
                <w:b/>
                <w:bCs/>
              </w:rPr>
            </w:pPr>
            <w:r w:rsidRPr="00C964F5">
              <w:rPr>
                <w:rFonts w:eastAsia="DFKai-SB"/>
                <w:b/>
                <w:bCs/>
              </w:rPr>
              <w:t>Professor Information</w:t>
            </w:r>
          </w:p>
        </w:tc>
        <w:tc>
          <w:tcPr>
            <w:tcW w:w="7082" w:type="dxa"/>
            <w:tcBorders>
              <w:top w:val="single" w:sz="4" w:space="0" w:color="auto"/>
              <w:left w:val="single" w:sz="4" w:space="0" w:color="auto"/>
              <w:bottom w:val="single" w:sz="4" w:space="0" w:color="auto"/>
              <w:right w:val="single" w:sz="4" w:space="0" w:color="auto"/>
            </w:tcBorders>
            <w:vAlign w:val="center"/>
          </w:tcPr>
          <w:p w14:paraId="6170E63B" w14:textId="404CB112" w:rsidR="00587DD1" w:rsidRPr="00587DD1" w:rsidRDefault="00587DD1" w:rsidP="0052171B">
            <w:pPr>
              <w:spacing w:line="0" w:lineRule="atLeast"/>
              <w:ind w:left="115"/>
              <w:rPr>
                <w:rFonts w:eastAsia="DFKai-SB"/>
              </w:rPr>
            </w:pPr>
            <w:r w:rsidRPr="00587DD1">
              <w:rPr>
                <w:rFonts w:eastAsia="DFKai-SB"/>
              </w:rPr>
              <w:t>Joclarisse Albia, PhD</w:t>
            </w:r>
          </w:p>
          <w:p w14:paraId="23CD42C5" w14:textId="53D786C4" w:rsidR="00587DD1" w:rsidRDefault="00587DD1" w:rsidP="0052171B">
            <w:pPr>
              <w:spacing w:line="0" w:lineRule="atLeast"/>
              <w:ind w:left="115"/>
              <w:rPr>
                <w:rFonts w:eastAsia="DFKai-SB"/>
              </w:rPr>
            </w:pPr>
            <w:r>
              <w:rPr>
                <w:rFonts w:eastAsia="DFKai-SB"/>
              </w:rPr>
              <w:t>Assistant Professo</w:t>
            </w:r>
            <w:r w:rsidR="00C964F5">
              <w:rPr>
                <w:rFonts w:eastAsia="DFKai-SB"/>
              </w:rPr>
              <w:t xml:space="preserve">r, </w:t>
            </w:r>
            <w:r>
              <w:rPr>
                <w:rFonts w:eastAsia="DFKai-SB"/>
              </w:rPr>
              <w:t xml:space="preserve">ELMD </w:t>
            </w:r>
          </w:p>
          <w:p w14:paraId="0E1B1D45" w14:textId="66C6A2EB" w:rsidR="00587DD1" w:rsidRPr="004352C5" w:rsidRDefault="00587DD1" w:rsidP="0052171B">
            <w:pPr>
              <w:spacing w:line="0" w:lineRule="atLeast"/>
              <w:ind w:left="115"/>
              <w:rPr>
                <w:rFonts w:eastAsia="DFKai-SB"/>
              </w:rPr>
            </w:pPr>
            <w:hyperlink r:id="rId8" w:history="1">
              <w:r w:rsidRPr="004352C5">
                <w:rPr>
                  <w:rStyle w:val="Hyperlink"/>
                  <w:rFonts w:eastAsia="DFKai-SB"/>
                  <w:u w:val="none"/>
                </w:rPr>
                <w:t>jalbia@ccu.edu.tw</w:t>
              </w:r>
            </w:hyperlink>
          </w:p>
        </w:tc>
      </w:tr>
      <w:tr w:rsidR="00587DD1" w:rsidRPr="00F70DC1" w14:paraId="46BA81CA" w14:textId="77777777" w:rsidTr="00CF379C">
        <w:trPr>
          <w:trHeight w:val="5752"/>
          <w:jc w:val="center"/>
        </w:trPr>
        <w:tc>
          <w:tcPr>
            <w:tcW w:w="2552" w:type="dxa"/>
            <w:tcBorders>
              <w:top w:val="single" w:sz="4" w:space="0" w:color="auto"/>
              <w:left w:val="single" w:sz="4" w:space="0" w:color="auto"/>
              <w:bottom w:val="single" w:sz="4" w:space="0" w:color="auto"/>
              <w:right w:val="single" w:sz="4" w:space="0" w:color="auto"/>
            </w:tcBorders>
          </w:tcPr>
          <w:p w14:paraId="0E4C4C8D" w14:textId="77777777" w:rsidR="00587DD1" w:rsidRPr="009E7970" w:rsidRDefault="00587DD1" w:rsidP="00BA690A">
            <w:pPr>
              <w:spacing w:line="0" w:lineRule="atLeast"/>
              <w:jc w:val="center"/>
              <w:rPr>
                <w:rFonts w:eastAsia="DFKai-SB"/>
                <w:sz w:val="22"/>
                <w:szCs w:val="22"/>
              </w:rPr>
            </w:pPr>
            <w:r w:rsidRPr="009E7970">
              <w:rPr>
                <w:rFonts w:eastAsia="DFKai-SB" w:hint="eastAsia"/>
                <w:sz w:val="22"/>
                <w:szCs w:val="22"/>
              </w:rPr>
              <w:t>教學目標及範圍</w:t>
            </w:r>
          </w:p>
          <w:p w14:paraId="1B8BFB5A" w14:textId="786BA813" w:rsidR="00581851" w:rsidRPr="00C964F5" w:rsidRDefault="00587DD1" w:rsidP="00BA690A">
            <w:pPr>
              <w:spacing w:line="0" w:lineRule="atLeast"/>
              <w:jc w:val="center"/>
              <w:rPr>
                <w:rFonts w:eastAsia="DFKai-SB"/>
                <w:b/>
                <w:bCs/>
              </w:rPr>
            </w:pPr>
            <w:r w:rsidRPr="00C964F5">
              <w:rPr>
                <w:rFonts w:eastAsia="DFKai-SB" w:hint="eastAsia"/>
                <w:b/>
                <w:bCs/>
              </w:rPr>
              <w:t>C</w:t>
            </w:r>
            <w:r w:rsidRPr="00C964F5">
              <w:rPr>
                <w:rFonts w:eastAsia="DFKai-SB"/>
                <w:b/>
                <w:bCs/>
              </w:rPr>
              <w:t>ourse Description</w:t>
            </w:r>
          </w:p>
          <w:p w14:paraId="3E2E74A8" w14:textId="473E3C62" w:rsidR="00587DD1" w:rsidRPr="00F70DC1" w:rsidRDefault="00587DD1" w:rsidP="00BA690A">
            <w:pPr>
              <w:spacing w:line="0" w:lineRule="atLeast"/>
              <w:jc w:val="center"/>
              <w:rPr>
                <w:rFonts w:eastAsia="DFKai-SB"/>
              </w:rPr>
            </w:pPr>
            <w:r w:rsidRPr="00C964F5">
              <w:rPr>
                <w:rFonts w:eastAsia="DFKai-SB"/>
                <w:b/>
                <w:bCs/>
              </w:rPr>
              <w:t xml:space="preserve">and </w:t>
            </w:r>
            <w:r w:rsidR="00581851" w:rsidRPr="00C964F5">
              <w:rPr>
                <w:rFonts w:eastAsia="DFKai-SB"/>
                <w:b/>
                <w:bCs/>
              </w:rPr>
              <w:t xml:space="preserve">Learning </w:t>
            </w:r>
            <w:r w:rsidRPr="00C964F5">
              <w:rPr>
                <w:rFonts w:eastAsia="DFKai-SB"/>
                <w:b/>
                <w:bCs/>
              </w:rPr>
              <w:t>Objectives</w:t>
            </w:r>
          </w:p>
        </w:tc>
        <w:tc>
          <w:tcPr>
            <w:tcW w:w="7082" w:type="dxa"/>
            <w:tcBorders>
              <w:top w:val="single" w:sz="4" w:space="0" w:color="auto"/>
              <w:left w:val="single" w:sz="4" w:space="0" w:color="auto"/>
              <w:bottom w:val="single" w:sz="4" w:space="0" w:color="auto"/>
              <w:right w:val="single" w:sz="4" w:space="0" w:color="auto"/>
            </w:tcBorders>
          </w:tcPr>
          <w:p w14:paraId="213852C9" w14:textId="27998A43" w:rsidR="001A3CB5" w:rsidRPr="00996612" w:rsidRDefault="00C52065" w:rsidP="00CD4091">
            <w:pPr>
              <w:spacing w:line="0" w:lineRule="atLeast"/>
              <w:ind w:left="115" w:right="127"/>
              <w:rPr>
                <w:rFonts w:eastAsia="DFKai-SB"/>
              </w:rPr>
            </w:pPr>
            <w:r w:rsidRPr="00996612">
              <w:rPr>
                <w:rFonts w:eastAsia="DFKai-SB"/>
              </w:rPr>
              <w:t xml:space="preserve">Education professionals are expected to lead change in schools and in education-aligned organisations and groups. Such changes are delivered </w:t>
            </w:r>
            <w:r w:rsidR="00EC2AEA">
              <w:rPr>
                <w:rFonts w:eastAsia="DFKai-SB"/>
              </w:rPr>
              <w:t xml:space="preserve">through </w:t>
            </w:r>
            <w:r w:rsidR="00AF251A">
              <w:rPr>
                <w:rFonts w:eastAsia="DFKai-SB"/>
              </w:rPr>
              <w:t xml:space="preserve">many </w:t>
            </w:r>
            <w:r w:rsidR="00EC2AEA">
              <w:rPr>
                <w:rFonts w:eastAsia="DFKai-SB"/>
              </w:rPr>
              <w:t>forms,</w:t>
            </w:r>
            <w:r w:rsidRPr="00996612">
              <w:rPr>
                <w:rFonts w:eastAsia="DFKai-SB"/>
              </w:rPr>
              <w:t xml:space="preserve"> including</w:t>
            </w:r>
            <w:r w:rsidR="00793FB5">
              <w:rPr>
                <w:rFonts w:eastAsia="DFKai-SB"/>
              </w:rPr>
              <w:t xml:space="preserve"> designing and managing initiatives that aim to address complex challenges and issue</w:t>
            </w:r>
            <w:r w:rsidR="00C13032">
              <w:rPr>
                <w:rFonts w:eastAsia="DFKai-SB"/>
              </w:rPr>
              <w:t>s</w:t>
            </w:r>
            <w:r w:rsidR="00793FB5">
              <w:rPr>
                <w:rFonts w:eastAsia="DFKai-SB"/>
              </w:rPr>
              <w:t xml:space="preserve"> in education. </w:t>
            </w:r>
          </w:p>
          <w:p w14:paraId="7E9EDBA0" w14:textId="0A36DE2C" w:rsidR="00C52065" w:rsidRDefault="00C52065" w:rsidP="00CD4091">
            <w:pPr>
              <w:spacing w:line="0" w:lineRule="atLeast"/>
              <w:ind w:left="115" w:right="127"/>
              <w:rPr>
                <w:rFonts w:eastAsia="DFKai-SB"/>
              </w:rPr>
            </w:pPr>
          </w:p>
          <w:p w14:paraId="75F5EFCF" w14:textId="04B48371" w:rsidR="00BB1CBD" w:rsidRDefault="00BB1CBD" w:rsidP="00CD4091">
            <w:pPr>
              <w:spacing w:line="0" w:lineRule="atLeast"/>
              <w:ind w:left="115" w:right="127"/>
              <w:rPr>
                <w:rFonts w:eastAsia="DFKai-SB"/>
              </w:rPr>
            </w:pPr>
            <w:r>
              <w:rPr>
                <w:rFonts w:eastAsia="DFKai-SB"/>
              </w:rPr>
              <w:t xml:space="preserve">Towards this end, the course is designed as an issue-based (thematic) approach to project management in education settings. Drawing upon principles of management, institutional development, and organisational behaviour, the course explores key theories, concepts, principles and processes of educational program/project development. </w:t>
            </w:r>
          </w:p>
          <w:p w14:paraId="3CE8FD0D" w14:textId="2E11C06B" w:rsidR="00134377" w:rsidRPr="00996612" w:rsidRDefault="00BB1CBD" w:rsidP="00BB1CBD">
            <w:pPr>
              <w:spacing w:line="0" w:lineRule="atLeast"/>
              <w:ind w:left="115" w:right="127"/>
              <w:rPr>
                <w:rFonts w:eastAsia="DFKai-SB"/>
              </w:rPr>
            </w:pPr>
            <w:r>
              <w:rPr>
                <w:rFonts w:eastAsia="DFKai-SB"/>
              </w:rPr>
              <w:t xml:space="preserve">Students are taken through the key stages of the strategic management cycle as they engage </w:t>
            </w:r>
            <w:r w:rsidR="0047119F" w:rsidRPr="00996612">
              <w:rPr>
                <w:rFonts w:eastAsia="DFKai-SB"/>
              </w:rPr>
              <w:t>with a range of conceptual, research</w:t>
            </w:r>
            <w:r>
              <w:rPr>
                <w:rFonts w:eastAsia="DFKai-SB"/>
              </w:rPr>
              <w:t>-based and practical text</w:t>
            </w:r>
            <w:r w:rsidR="00CD1407">
              <w:rPr>
                <w:rFonts w:eastAsia="DFKai-SB"/>
              </w:rPr>
              <w:t>s</w:t>
            </w:r>
            <w:r>
              <w:rPr>
                <w:rFonts w:eastAsia="DFKai-SB"/>
              </w:rPr>
              <w:t xml:space="preserve"> on designing, </w:t>
            </w:r>
            <w:r w:rsidR="00FB73BF">
              <w:rPr>
                <w:rFonts w:eastAsia="DFKai-SB"/>
              </w:rPr>
              <w:t>managing</w:t>
            </w:r>
            <w:r>
              <w:rPr>
                <w:rFonts w:eastAsia="DFKai-SB"/>
              </w:rPr>
              <w:t xml:space="preserve"> and conducting research on educational programs and projects in formal school settings</w:t>
            </w:r>
            <w:r w:rsidR="0059429E">
              <w:rPr>
                <w:rFonts w:eastAsia="DFKai-SB"/>
              </w:rPr>
              <w:t xml:space="preserve"> and in alternative educational delivery systems. These</w:t>
            </w:r>
            <w:r w:rsidR="0047119F" w:rsidRPr="00996612">
              <w:rPr>
                <w:rFonts w:eastAsia="DFKai-SB"/>
              </w:rPr>
              <w:t xml:space="preserve"> include but are not limited to</w:t>
            </w:r>
            <w:r w:rsidR="006F0E75" w:rsidRPr="00996612">
              <w:rPr>
                <w:rFonts w:eastAsia="DFKai-SB"/>
              </w:rPr>
              <w:t xml:space="preserve"> professional development projects, community-based educational projects, non-formal educational training programs, and research and innovation </w:t>
            </w:r>
            <w:r w:rsidR="00996612">
              <w:rPr>
                <w:rFonts w:eastAsia="DFKai-SB"/>
              </w:rPr>
              <w:t>projects in education. Students</w:t>
            </w:r>
            <w:r w:rsidR="008E6DC4">
              <w:rPr>
                <w:rFonts w:eastAsia="DFKai-SB"/>
              </w:rPr>
              <w:t xml:space="preserve"> are</w:t>
            </w:r>
            <w:r w:rsidR="00996612">
              <w:rPr>
                <w:rFonts w:eastAsia="DFKai-SB"/>
              </w:rPr>
              <w:t xml:space="preserve"> expected to develop critical understanding </w:t>
            </w:r>
            <w:r w:rsidR="00392C30">
              <w:rPr>
                <w:rFonts w:eastAsia="DFKai-SB"/>
              </w:rPr>
              <w:t xml:space="preserve">of </w:t>
            </w:r>
            <w:r w:rsidR="00996612">
              <w:rPr>
                <w:rFonts w:eastAsia="DFKai-SB"/>
              </w:rPr>
              <w:t xml:space="preserve">as well as practical and research </w:t>
            </w:r>
            <w:r w:rsidR="00685CBC">
              <w:rPr>
                <w:rFonts w:eastAsia="DFKai-SB"/>
              </w:rPr>
              <w:t xml:space="preserve">skills </w:t>
            </w:r>
            <w:r w:rsidR="007E128A">
              <w:rPr>
                <w:rFonts w:eastAsia="DFKai-SB"/>
              </w:rPr>
              <w:t xml:space="preserve">on educational program/project management. </w:t>
            </w:r>
          </w:p>
          <w:p w14:paraId="3851A034" w14:textId="77777777" w:rsidR="00134377" w:rsidRPr="00996612" w:rsidRDefault="00134377" w:rsidP="00134377">
            <w:pPr>
              <w:spacing w:line="0" w:lineRule="atLeast"/>
              <w:ind w:left="115" w:right="127"/>
              <w:rPr>
                <w:rFonts w:eastAsia="DFKai-SB"/>
              </w:rPr>
            </w:pPr>
          </w:p>
          <w:p w14:paraId="6A585CDF" w14:textId="1C77005D" w:rsidR="006C3E08" w:rsidRPr="00996612" w:rsidRDefault="006C3E08" w:rsidP="0052171B">
            <w:pPr>
              <w:spacing w:line="0" w:lineRule="atLeast"/>
              <w:ind w:left="115"/>
              <w:rPr>
                <w:rFonts w:eastAsia="DFKai-SB"/>
              </w:rPr>
            </w:pPr>
            <w:r w:rsidRPr="00996612">
              <w:rPr>
                <w:rFonts w:eastAsia="DFKai-SB"/>
              </w:rPr>
              <w:t xml:space="preserve">Upon completion of the course, </w:t>
            </w:r>
            <w:r w:rsidR="001959B0">
              <w:rPr>
                <w:rFonts w:eastAsia="DFKai-SB"/>
              </w:rPr>
              <w:t>students should be able to:</w:t>
            </w:r>
          </w:p>
          <w:p w14:paraId="76BFE9D1" w14:textId="77777777" w:rsidR="00FA7C08" w:rsidRDefault="00FA7C08" w:rsidP="006C3E08">
            <w:pPr>
              <w:pStyle w:val="ListParagraph"/>
              <w:numPr>
                <w:ilvl w:val="0"/>
                <w:numId w:val="32"/>
              </w:numPr>
              <w:spacing w:line="0" w:lineRule="atLeast"/>
              <w:ind w:leftChars="0"/>
              <w:rPr>
                <w:rFonts w:eastAsia="DFKai-SB"/>
              </w:rPr>
            </w:pPr>
            <w:r>
              <w:rPr>
                <w:rFonts w:eastAsia="DFKai-SB"/>
              </w:rPr>
              <w:t xml:space="preserve">Discuss key principles of program/project management in educational settings; </w:t>
            </w:r>
          </w:p>
          <w:p w14:paraId="0AF74F0E" w14:textId="0D0B66BB" w:rsidR="006C3E08" w:rsidRPr="00996612" w:rsidRDefault="00032619" w:rsidP="006C3E08">
            <w:pPr>
              <w:pStyle w:val="ListParagraph"/>
              <w:numPr>
                <w:ilvl w:val="0"/>
                <w:numId w:val="32"/>
              </w:numPr>
              <w:spacing w:line="0" w:lineRule="atLeast"/>
              <w:ind w:leftChars="0"/>
              <w:rPr>
                <w:rFonts w:eastAsia="DFKai-SB"/>
              </w:rPr>
            </w:pPr>
            <w:r>
              <w:rPr>
                <w:rFonts w:eastAsia="DFKai-SB"/>
              </w:rPr>
              <w:t xml:space="preserve">Compare and contrast practices in educational program/project design and management; and </w:t>
            </w:r>
          </w:p>
          <w:p w14:paraId="400DE966" w14:textId="77777777" w:rsidR="0059429E" w:rsidRPr="0059429E" w:rsidRDefault="00032619" w:rsidP="00561DF2">
            <w:pPr>
              <w:pStyle w:val="ListParagraph"/>
              <w:numPr>
                <w:ilvl w:val="0"/>
                <w:numId w:val="32"/>
              </w:numPr>
              <w:spacing w:line="0" w:lineRule="atLeast"/>
              <w:ind w:leftChars="0"/>
              <w:rPr>
                <w:rFonts w:eastAsia="DFKai-SB"/>
                <w:color w:val="000000" w:themeColor="text1"/>
              </w:rPr>
            </w:pPr>
            <w:r>
              <w:rPr>
                <w:rFonts w:eastAsia="DFKai-SB"/>
              </w:rPr>
              <w:t>Critically analyse an educational program/project</w:t>
            </w:r>
            <w:r w:rsidR="00660D56">
              <w:rPr>
                <w:rFonts w:eastAsia="DFKai-SB"/>
              </w:rPr>
              <w:t xml:space="preserve">. </w:t>
            </w:r>
            <w:r>
              <w:rPr>
                <w:rFonts w:eastAsia="DFKai-SB"/>
              </w:rPr>
              <w:t xml:space="preserve"> </w:t>
            </w:r>
            <w:r w:rsidR="006C3E08" w:rsidRPr="00996612">
              <w:rPr>
                <w:rFonts w:eastAsia="DFKai-SB"/>
              </w:rPr>
              <w:t xml:space="preserve"> </w:t>
            </w:r>
          </w:p>
          <w:p w14:paraId="173E2913" w14:textId="7A0F827D" w:rsidR="001A3CB5" w:rsidRPr="00561DF2" w:rsidRDefault="006C3E08" w:rsidP="0059429E">
            <w:pPr>
              <w:pStyle w:val="ListParagraph"/>
              <w:spacing w:line="0" w:lineRule="atLeast"/>
              <w:ind w:leftChars="0" w:left="835"/>
              <w:rPr>
                <w:rFonts w:eastAsia="DFKai-SB"/>
                <w:color w:val="000000" w:themeColor="text1"/>
              </w:rPr>
            </w:pPr>
            <w:r w:rsidRPr="00996612">
              <w:rPr>
                <w:rFonts w:eastAsia="DFKai-SB"/>
              </w:rPr>
              <w:t xml:space="preserve"> </w:t>
            </w:r>
          </w:p>
        </w:tc>
      </w:tr>
      <w:tr w:rsidR="00587DD1" w:rsidRPr="00F70DC1" w14:paraId="40F5603E" w14:textId="77777777" w:rsidTr="00CF379C">
        <w:trPr>
          <w:trHeight w:val="965"/>
          <w:jc w:val="center"/>
        </w:trPr>
        <w:tc>
          <w:tcPr>
            <w:tcW w:w="2552" w:type="dxa"/>
            <w:tcBorders>
              <w:top w:val="single" w:sz="4" w:space="0" w:color="auto"/>
              <w:left w:val="single" w:sz="4" w:space="0" w:color="auto"/>
              <w:bottom w:val="single" w:sz="4" w:space="0" w:color="auto"/>
              <w:right w:val="single" w:sz="4" w:space="0" w:color="auto"/>
            </w:tcBorders>
          </w:tcPr>
          <w:p w14:paraId="49E42DC9" w14:textId="5D250113" w:rsidR="00587DD1" w:rsidRPr="009E7970" w:rsidRDefault="00587DD1" w:rsidP="00BA690A">
            <w:pPr>
              <w:spacing w:line="0" w:lineRule="atLeast"/>
              <w:jc w:val="center"/>
              <w:rPr>
                <w:rFonts w:eastAsia="DFKai-SB"/>
                <w:sz w:val="22"/>
                <w:szCs w:val="22"/>
              </w:rPr>
            </w:pPr>
            <w:r w:rsidRPr="009E7970">
              <w:rPr>
                <w:rFonts w:eastAsia="DFKai-SB" w:hint="eastAsia"/>
                <w:sz w:val="22"/>
                <w:szCs w:val="22"/>
              </w:rPr>
              <w:t>授課方式</w:t>
            </w:r>
          </w:p>
          <w:p w14:paraId="51BD4DE3" w14:textId="77777777" w:rsidR="00587DD1" w:rsidRPr="00C964F5" w:rsidRDefault="00587DD1" w:rsidP="00BA690A">
            <w:pPr>
              <w:spacing w:line="0" w:lineRule="atLeast"/>
              <w:jc w:val="center"/>
              <w:rPr>
                <w:rFonts w:eastAsia="DFKai-SB"/>
                <w:b/>
                <w:bCs/>
              </w:rPr>
            </w:pPr>
            <w:r w:rsidRPr="00C964F5">
              <w:rPr>
                <w:rFonts w:eastAsia="DFKai-SB"/>
                <w:b/>
                <w:bCs/>
              </w:rPr>
              <w:t>Instructional Methods</w:t>
            </w:r>
          </w:p>
        </w:tc>
        <w:tc>
          <w:tcPr>
            <w:tcW w:w="7082" w:type="dxa"/>
            <w:tcBorders>
              <w:top w:val="single" w:sz="4" w:space="0" w:color="auto"/>
              <w:left w:val="single" w:sz="4" w:space="0" w:color="auto"/>
              <w:bottom w:val="single" w:sz="4" w:space="0" w:color="auto"/>
              <w:right w:val="single" w:sz="4" w:space="0" w:color="auto"/>
            </w:tcBorders>
          </w:tcPr>
          <w:p w14:paraId="5894C58F" w14:textId="1FF2064D" w:rsidR="00587DD1" w:rsidRPr="00735F65" w:rsidRDefault="00587DD1" w:rsidP="0052171B">
            <w:pPr>
              <w:spacing w:line="0" w:lineRule="atLeast"/>
              <w:ind w:left="115"/>
              <w:rPr>
                <w:rFonts w:eastAsia="DFKai-SB"/>
              </w:rPr>
            </w:pPr>
            <w:r w:rsidRPr="00735F65">
              <w:rPr>
                <w:rFonts w:eastAsia="DFKai-SB"/>
              </w:rPr>
              <w:t>Lectures</w:t>
            </w:r>
          </w:p>
          <w:p w14:paraId="22E87976" w14:textId="4D270803" w:rsidR="00587DD1" w:rsidRDefault="00587DD1" w:rsidP="0052171B">
            <w:pPr>
              <w:spacing w:line="0" w:lineRule="atLeast"/>
              <w:ind w:left="115"/>
              <w:rPr>
                <w:rFonts w:eastAsia="DFKai-SB"/>
              </w:rPr>
            </w:pPr>
            <w:r w:rsidRPr="00735F65">
              <w:rPr>
                <w:rFonts w:eastAsia="DFKai-SB"/>
              </w:rPr>
              <w:t xml:space="preserve">Small group discussions </w:t>
            </w:r>
          </w:p>
          <w:p w14:paraId="2D0ABE02" w14:textId="709CDF14" w:rsidR="00DF6AEB" w:rsidRPr="00735F65" w:rsidRDefault="00DF6AEB" w:rsidP="0052171B">
            <w:pPr>
              <w:spacing w:line="0" w:lineRule="atLeast"/>
              <w:ind w:left="115"/>
              <w:rPr>
                <w:rFonts w:eastAsia="DFKai-SB"/>
              </w:rPr>
            </w:pPr>
            <w:r>
              <w:rPr>
                <w:rFonts w:eastAsia="DFKai-SB"/>
              </w:rPr>
              <w:t>Case stu</w:t>
            </w:r>
            <w:r w:rsidR="004C0E8A">
              <w:rPr>
                <w:rFonts w:eastAsia="DFKai-SB"/>
              </w:rPr>
              <w:t xml:space="preserve">dy workshops </w:t>
            </w:r>
          </w:p>
          <w:p w14:paraId="1B87B9F3" w14:textId="7E110489" w:rsidR="00587DD1" w:rsidRPr="00735F65" w:rsidRDefault="00587DD1" w:rsidP="0052171B">
            <w:pPr>
              <w:spacing w:line="0" w:lineRule="atLeast"/>
              <w:ind w:left="115"/>
              <w:rPr>
                <w:rFonts w:eastAsia="DFKai-SB"/>
              </w:rPr>
            </w:pPr>
            <w:r w:rsidRPr="00735F65">
              <w:rPr>
                <w:rFonts w:eastAsia="DFKai-SB"/>
              </w:rPr>
              <w:t xml:space="preserve">Reporting/presentations </w:t>
            </w:r>
          </w:p>
        </w:tc>
      </w:tr>
      <w:tr w:rsidR="00587DD1" w:rsidRPr="00F70DC1" w14:paraId="54A02BBE" w14:textId="77777777" w:rsidTr="00CF379C">
        <w:trPr>
          <w:trHeight w:val="1262"/>
          <w:jc w:val="center"/>
        </w:trPr>
        <w:tc>
          <w:tcPr>
            <w:tcW w:w="2552" w:type="dxa"/>
            <w:tcBorders>
              <w:top w:val="single" w:sz="4" w:space="0" w:color="auto"/>
              <w:left w:val="single" w:sz="4" w:space="0" w:color="auto"/>
              <w:bottom w:val="single" w:sz="4" w:space="0" w:color="auto"/>
              <w:right w:val="single" w:sz="4" w:space="0" w:color="auto"/>
            </w:tcBorders>
          </w:tcPr>
          <w:p w14:paraId="51ADD087" w14:textId="77777777" w:rsidR="00587DD1" w:rsidRPr="009E7970" w:rsidRDefault="00587DD1" w:rsidP="00BA690A">
            <w:pPr>
              <w:spacing w:line="0" w:lineRule="atLeast"/>
              <w:jc w:val="center"/>
              <w:rPr>
                <w:rFonts w:eastAsia="DFKai-SB"/>
                <w:sz w:val="22"/>
                <w:szCs w:val="22"/>
              </w:rPr>
            </w:pPr>
            <w:r w:rsidRPr="009E7970">
              <w:rPr>
                <w:rFonts w:eastAsia="DFKai-SB" w:hint="eastAsia"/>
                <w:sz w:val="22"/>
                <w:szCs w:val="22"/>
              </w:rPr>
              <w:lastRenderedPageBreak/>
              <w:t>教科書及</w:t>
            </w:r>
            <w:r w:rsidRPr="009E7970">
              <w:rPr>
                <w:rFonts w:eastAsia="DFKai-SB"/>
                <w:sz w:val="22"/>
                <w:szCs w:val="22"/>
              </w:rPr>
              <w:br/>
            </w:r>
            <w:r w:rsidRPr="009E7970">
              <w:rPr>
                <w:rFonts w:eastAsia="DFKai-SB" w:hint="eastAsia"/>
                <w:sz w:val="22"/>
                <w:szCs w:val="22"/>
              </w:rPr>
              <w:t>延伸閱讀</w:t>
            </w:r>
          </w:p>
          <w:p w14:paraId="0BAFE4D9" w14:textId="1425B2D2" w:rsidR="00587DD1" w:rsidRPr="00C964F5" w:rsidRDefault="00587DD1" w:rsidP="00BA690A">
            <w:pPr>
              <w:spacing w:line="0" w:lineRule="atLeast"/>
              <w:jc w:val="center"/>
              <w:rPr>
                <w:rFonts w:eastAsia="DFKai-SB"/>
                <w:b/>
                <w:bCs/>
              </w:rPr>
            </w:pPr>
            <w:r w:rsidRPr="00C964F5">
              <w:rPr>
                <w:rFonts w:eastAsia="DFKai-SB" w:hint="eastAsia"/>
                <w:b/>
                <w:bCs/>
              </w:rPr>
              <w:t>C</w:t>
            </w:r>
            <w:r w:rsidRPr="00C964F5">
              <w:rPr>
                <w:rFonts w:eastAsia="DFKai-SB"/>
                <w:b/>
                <w:bCs/>
              </w:rPr>
              <w:t>ourse Materials and Additional Resources</w:t>
            </w:r>
          </w:p>
        </w:tc>
        <w:tc>
          <w:tcPr>
            <w:tcW w:w="7082" w:type="dxa"/>
            <w:tcBorders>
              <w:top w:val="single" w:sz="4" w:space="0" w:color="auto"/>
              <w:left w:val="single" w:sz="4" w:space="0" w:color="auto"/>
              <w:bottom w:val="single" w:sz="4" w:space="0" w:color="auto"/>
              <w:right w:val="single" w:sz="4" w:space="0" w:color="auto"/>
            </w:tcBorders>
          </w:tcPr>
          <w:p w14:paraId="7FDF2218" w14:textId="62DD9E5C" w:rsidR="00FF2169" w:rsidRPr="00FF2169" w:rsidRDefault="00FF2169" w:rsidP="007F70CC">
            <w:pPr>
              <w:pStyle w:val="Level1"/>
              <w:widowControl/>
              <w:numPr>
                <w:ilvl w:val="0"/>
                <w:numId w:val="33"/>
              </w:numPr>
              <w:tabs>
                <w:tab w:val="left" w:pos="-1440"/>
              </w:tabs>
              <w:spacing w:line="0" w:lineRule="atLeast"/>
              <w:ind w:hanging="245"/>
              <w:rPr>
                <w:iCs/>
                <w:sz w:val="24"/>
                <w:lang w:eastAsia="zh-TW"/>
              </w:rPr>
            </w:pPr>
            <w:r w:rsidRPr="00FF2169">
              <w:rPr>
                <w:iCs/>
                <w:sz w:val="24"/>
                <w:lang w:eastAsia="zh-TW"/>
              </w:rPr>
              <w:t>Bryson, J. M. (2018). Strategic Planning for Public and Nonprofit Organizations (5th ed.). Wiley.</w:t>
            </w:r>
          </w:p>
          <w:p w14:paraId="6C775544" w14:textId="49272820" w:rsidR="00444044" w:rsidRPr="00FF2169" w:rsidRDefault="00444044" w:rsidP="007F70CC">
            <w:pPr>
              <w:pStyle w:val="Level1"/>
              <w:widowControl/>
              <w:numPr>
                <w:ilvl w:val="0"/>
                <w:numId w:val="33"/>
              </w:numPr>
              <w:tabs>
                <w:tab w:val="left" w:pos="-1440"/>
              </w:tabs>
              <w:spacing w:line="0" w:lineRule="atLeast"/>
              <w:ind w:hanging="245"/>
              <w:rPr>
                <w:i/>
                <w:sz w:val="24"/>
                <w:lang w:eastAsia="zh-TW"/>
              </w:rPr>
            </w:pPr>
            <w:r w:rsidRPr="00A7022C">
              <w:rPr>
                <w:sz w:val="24"/>
                <w:shd w:val="clear" w:color="auto" w:fill="FFFFFF"/>
              </w:rPr>
              <w:t>Bush, T., &amp; Coleman, M. (2000). </w:t>
            </w:r>
            <w:r w:rsidRPr="00A7022C">
              <w:rPr>
                <w:rStyle w:val="Emphasis"/>
                <w:sz w:val="24"/>
                <w:shd w:val="clear" w:color="auto" w:fill="FFFFFF"/>
              </w:rPr>
              <w:t>Leadership and strategic management in education</w:t>
            </w:r>
            <w:r w:rsidRPr="00A7022C">
              <w:rPr>
                <w:sz w:val="24"/>
                <w:shd w:val="clear" w:color="auto" w:fill="FFFFFF"/>
              </w:rPr>
              <w:t xml:space="preserve">. SAGE Publications Ltd, </w:t>
            </w:r>
            <w:hyperlink r:id="rId9" w:history="1">
              <w:r w:rsidR="00FF2169" w:rsidRPr="00B34F82">
                <w:rPr>
                  <w:rStyle w:val="Hyperlink"/>
                  <w:sz w:val="24"/>
                  <w:shd w:val="clear" w:color="auto" w:fill="FFFFFF"/>
                </w:rPr>
                <w:t>https://doi.org/10.4135/9781446220320</w:t>
              </w:r>
            </w:hyperlink>
          </w:p>
          <w:p w14:paraId="00B64A15" w14:textId="54CB40EC" w:rsidR="00745AB9" w:rsidRDefault="00745AB9" w:rsidP="007F70CC">
            <w:pPr>
              <w:pStyle w:val="Level1"/>
              <w:widowControl/>
              <w:numPr>
                <w:ilvl w:val="0"/>
                <w:numId w:val="33"/>
              </w:numPr>
              <w:tabs>
                <w:tab w:val="left" w:pos="-1440"/>
              </w:tabs>
              <w:spacing w:line="0" w:lineRule="atLeast"/>
              <w:ind w:hanging="245"/>
              <w:rPr>
                <w:iCs/>
                <w:sz w:val="24"/>
                <w:lang w:eastAsia="zh-TW"/>
              </w:rPr>
            </w:pPr>
            <w:r w:rsidRPr="00745AB9">
              <w:rPr>
                <w:iCs/>
                <w:sz w:val="24"/>
                <w:lang w:eastAsia="zh-TW"/>
              </w:rPr>
              <w:t>Fullan, M. (2007). </w:t>
            </w:r>
            <w:r w:rsidRPr="00745AB9">
              <w:rPr>
                <w:i/>
                <w:iCs/>
                <w:sz w:val="24"/>
                <w:lang w:eastAsia="zh-TW"/>
              </w:rPr>
              <w:t>The new meaning of educational change</w:t>
            </w:r>
            <w:r w:rsidRPr="00745AB9">
              <w:rPr>
                <w:iCs/>
                <w:sz w:val="24"/>
                <w:lang w:eastAsia="zh-TW"/>
              </w:rPr>
              <w:t> (4th ed.). New York, NY: Teachers College Press.</w:t>
            </w:r>
          </w:p>
          <w:p w14:paraId="0487D99B" w14:textId="43CF3F25" w:rsidR="00FF2169" w:rsidRPr="00FF2169" w:rsidRDefault="00FF2169" w:rsidP="007F70CC">
            <w:pPr>
              <w:pStyle w:val="Level1"/>
              <w:widowControl/>
              <w:numPr>
                <w:ilvl w:val="0"/>
                <w:numId w:val="33"/>
              </w:numPr>
              <w:tabs>
                <w:tab w:val="left" w:pos="-1440"/>
              </w:tabs>
              <w:spacing w:line="0" w:lineRule="atLeast"/>
              <w:ind w:hanging="245"/>
              <w:rPr>
                <w:iCs/>
                <w:sz w:val="24"/>
                <w:lang w:eastAsia="zh-TW"/>
              </w:rPr>
            </w:pPr>
            <w:r w:rsidRPr="00FF2169">
              <w:rPr>
                <w:iCs/>
                <w:sz w:val="24"/>
                <w:lang w:eastAsia="zh-TW"/>
              </w:rPr>
              <w:t>Mintzberg, H., Ahlstrand, B., &amp; Lampel, J. (2009). Strategy Safari (2nd ed.). Pearson.</w:t>
            </w:r>
          </w:p>
          <w:p w14:paraId="1B36F8A3" w14:textId="173BCEC0" w:rsidR="00444044" w:rsidRPr="00A7022C" w:rsidRDefault="00444044" w:rsidP="007F70CC">
            <w:pPr>
              <w:pStyle w:val="Level1"/>
              <w:widowControl/>
              <w:numPr>
                <w:ilvl w:val="0"/>
                <w:numId w:val="33"/>
              </w:numPr>
              <w:tabs>
                <w:tab w:val="left" w:pos="-1440"/>
              </w:tabs>
              <w:spacing w:line="0" w:lineRule="atLeast"/>
              <w:ind w:hanging="245"/>
              <w:rPr>
                <w:i/>
                <w:sz w:val="24"/>
                <w:lang w:eastAsia="zh-TW"/>
              </w:rPr>
            </w:pPr>
            <w:r w:rsidRPr="00A7022C">
              <w:rPr>
                <w:sz w:val="24"/>
              </w:rPr>
              <w:t xml:space="preserve">Saiti, A., &amp; Chletsos, M. (2024). </w:t>
            </w:r>
            <w:r w:rsidRPr="00A7022C">
              <w:rPr>
                <w:rStyle w:val="Emphasis"/>
                <w:sz w:val="24"/>
              </w:rPr>
              <w:t>Management and Economics of Education: The Application of Managerial and Economic Principles in the Education System</w:t>
            </w:r>
            <w:r w:rsidRPr="00A7022C">
              <w:rPr>
                <w:sz w:val="24"/>
              </w:rPr>
              <w:t>. Springer Cham. https://doi.org/10.1007/978-3-031-59527-1</w:t>
            </w:r>
          </w:p>
          <w:p w14:paraId="2B7D3480" w14:textId="6A320000" w:rsidR="00444044" w:rsidRPr="00A7022C" w:rsidRDefault="00444044" w:rsidP="007F70CC">
            <w:pPr>
              <w:pStyle w:val="Level1"/>
              <w:widowControl/>
              <w:numPr>
                <w:ilvl w:val="0"/>
                <w:numId w:val="33"/>
              </w:numPr>
              <w:tabs>
                <w:tab w:val="left" w:pos="-1440"/>
              </w:tabs>
              <w:spacing w:line="0" w:lineRule="atLeast"/>
              <w:ind w:hanging="245"/>
              <w:rPr>
                <w:i/>
                <w:sz w:val="24"/>
                <w:lang w:eastAsia="zh-TW"/>
              </w:rPr>
            </w:pPr>
            <w:r w:rsidRPr="00A7022C">
              <w:rPr>
                <w:spacing w:val="-5"/>
                <w:sz w:val="24"/>
                <w:shd w:val="clear" w:color="auto" w:fill="FFFFFF"/>
              </w:rPr>
              <w:t>Springer, M. L. (2016). </w:t>
            </w:r>
            <w:r w:rsidRPr="00A7022C">
              <w:rPr>
                <w:i/>
                <w:iCs/>
                <w:spacing w:val="-5"/>
                <w:sz w:val="24"/>
                <w:shd w:val="clear" w:color="auto" w:fill="FFFFFF"/>
              </w:rPr>
              <w:t>Project and Program Management: A Competency-Based Approach, Third Edition</w:t>
            </w:r>
            <w:r w:rsidRPr="00A7022C">
              <w:rPr>
                <w:spacing w:val="-5"/>
                <w:sz w:val="24"/>
                <w:shd w:val="clear" w:color="auto" w:fill="FFFFFF"/>
              </w:rPr>
              <w:t>. Purdue University Press. http://www.jstor.org/stable/j.ctt163t7nr</w:t>
            </w:r>
          </w:p>
          <w:p w14:paraId="232070EE" w14:textId="48C0E77B" w:rsidR="00587DD1" w:rsidRPr="00A7022C" w:rsidRDefault="00444044" w:rsidP="007F70CC">
            <w:pPr>
              <w:pStyle w:val="Level1"/>
              <w:widowControl/>
              <w:numPr>
                <w:ilvl w:val="0"/>
                <w:numId w:val="33"/>
              </w:numPr>
              <w:tabs>
                <w:tab w:val="left" w:pos="-1440"/>
              </w:tabs>
              <w:spacing w:line="0" w:lineRule="atLeast"/>
              <w:ind w:hanging="245"/>
              <w:rPr>
                <w:i/>
                <w:sz w:val="24"/>
                <w:lang w:eastAsia="zh-TW"/>
              </w:rPr>
            </w:pPr>
            <w:r w:rsidRPr="00A7022C">
              <w:rPr>
                <w:sz w:val="24"/>
              </w:rPr>
              <w:t xml:space="preserve">Yemini, M., Oplatka, I., &amp; Sagie, N. (2018). </w:t>
            </w:r>
            <w:r w:rsidRPr="00A7022C">
              <w:rPr>
                <w:rStyle w:val="Emphasis"/>
                <w:sz w:val="24"/>
              </w:rPr>
              <w:t>Project Management in Schools: New Conceptualizations, Orientations, and Applications</w:t>
            </w:r>
            <w:r w:rsidRPr="00A7022C">
              <w:rPr>
                <w:sz w:val="24"/>
              </w:rPr>
              <w:t xml:space="preserve">. Palgrave Pivot Cham. </w:t>
            </w:r>
            <w:hyperlink r:id="rId10" w:history="1">
              <w:r w:rsidRPr="00A7022C">
                <w:rPr>
                  <w:rStyle w:val="Hyperlink"/>
                  <w:color w:val="auto"/>
                  <w:sz w:val="24"/>
                  <w:u w:val="none"/>
                </w:rPr>
                <w:t>https://doi.org/10.1007/978-3-319-78608-7</w:t>
              </w:r>
            </w:hyperlink>
          </w:p>
          <w:p w14:paraId="75EB0809" w14:textId="183873D8" w:rsidR="00444044" w:rsidRPr="002E34B1" w:rsidRDefault="00444044" w:rsidP="00444044">
            <w:pPr>
              <w:pStyle w:val="Level1"/>
              <w:widowControl/>
              <w:numPr>
                <w:ilvl w:val="0"/>
                <w:numId w:val="0"/>
              </w:numPr>
              <w:tabs>
                <w:tab w:val="left" w:pos="-1440"/>
              </w:tabs>
              <w:spacing w:line="0" w:lineRule="atLeast"/>
              <w:ind w:left="360"/>
              <w:rPr>
                <w:i/>
                <w:color w:val="FF0000"/>
                <w:sz w:val="24"/>
                <w:lang w:eastAsia="zh-TW"/>
              </w:rPr>
            </w:pPr>
          </w:p>
        </w:tc>
      </w:tr>
      <w:tr w:rsidR="00CF379C" w:rsidRPr="00F70DC1" w14:paraId="259E80E7" w14:textId="77777777" w:rsidTr="00CF379C">
        <w:trPr>
          <w:trHeight w:val="1262"/>
          <w:jc w:val="center"/>
        </w:trPr>
        <w:tc>
          <w:tcPr>
            <w:tcW w:w="2552" w:type="dxa"/>
            <w:tcBorders>
              <w:top w:val="single" w:sz="4" w:space="0" w:color="auto"/>
              <w:left w:val="single" w:sz="4" w:space="0" w:color="auto"/>
              <w:bottom w:val="single" w:sz="4" w:space="0" w:color="auto"/>
              <w:right w:val="single" w:sz="4" w:space="0" w:color="auto"/>
            </w:tcBorders>
          </w:tcPr>
          <w:p w14:paraId="2B1B89A2" w14:textId="77777777" w:rsidR="00CF379C" w:rsidRPr="00F70DC1" w:rsidRDefault="00CF379C" w:rsidP="00CF379C">
            <w:pPr>
              <w:spacing w:line="0" w:lineRule="atLeast"/>
              <w:jc w:val="center"/>
              <w:rPr>
                <w:rFonts w:eastAsia="DFKai-SB"/>
              </w:rPr>
            </w:pPr>
            <w:r w:rsidRPr="00F70DC1">
              <w:rPr>
                <w:rFonts w:eastAsia="DFKai-SB" w:hint="eastAsia"/>
              </w:rPr>
              <w:t>評量方式</w:t>
            </w:r>
          </w:p>
          <w:p w14:paraId="460503DA" w14:textId="5A7BE58A" w:rsidR="00CF379C" w:rsidRPr="009E7970" w:rsidRDefault="00CF379C" w:rsidP="00CF379C">
            <w:pPr>
              <w:spacing w:line="0" w:lineRule="atLeast"/>
              <w:jc w:val="center"/>
              <w:rPr>
                <w:rFonts w:eastAsia="DFKai-SB"/>
                <w:sz w:val="22"/>
                <w:szCs w:val="22"/>
              </w:rPr>
            </w:pPr>
            <w:r w:rsidRPr="00C964F5">
              <w:rPr>
                <w:rFonts w:eastAsia="DFKai-SB" w:hint="eastAsia"/>
                <w:b/>
                <w:bCs/>
              </w:rPr>
              <w:t>G</w:t>
            </w:r>
            <w:r w:rsidRPr="00C964F5">
              <w:rPr>
                <w:rFonts w:eastAsia="DFKai-SB"/>
                <w:b/>
                <w:bCs/>
              </w:rPr>
              <w:t>rading</w:t>
            </w:r>
          </w:p>
        </w:tc>
        <w:tc>
          <w:tcPr>
            <w:tcW w:w="7082" w:type="dxa"/>
            <w:tcBorders>
              <w:top w:val="single" w:sz="4" w:space="0" w:color="auto"/>
              <w:left w:val="single" w:sz="4" w:space="0" w:color="auto"/>
              <w:bottom w:val="single" w:sz="4" w:space="0" w:color="auto"/>
              <w:right w:val="single" w:sz="4" w:space="0" w:color="auto"/>
            </w:tcBorders>
          </w:tcPr>
          <w:p w14:paraId="517704F9" w14:textId="4310BC58" w:rsidR="002F2B53" w:rsidRDefault="002F2B53" w:rsidP="00CF379C">
            <w:pPr>
              <w:spacing w:line="0" w:lineRule="atLeast"/>
              <w:ind w:left="115"/>
              <w:rPr>
                <w:rFonts w:eastAsia="DFKai-SB"/>
                <w:b/>
                <w:bCs/>
              </w:rPr>
            </w:pPr>
            <w:r>
              <w:rPr>
                <w:rFonts w:eastAsia="DFKai-SB"/>
                <w:b/>
                <w:bCs/>
              </w:rPr>
              <w:t xml:space="preserve">Class participation – </w:t>
            </w:r>
            <w:r w:rsidR="00917EC7">
              <w:rPr>
                <w:rFonts w:eastAsia="DFKai-SB"/>
                <w:b/>
                <w:bCs/>
              </w:rPr>
              <w:t>20</w:t>
            </w:r>
            <w:r>
              <w:rPr>
                <w:rFonts w:eastAsia="DFKai-SB"/>
                <w:b/>
                <w:bCs/>
              </w:rPr>
              <w:t xml:space="preserve">% </w:t>
            </w:r>
          </w:p>
          <w:p w14:paraId="68E4364E" w14:textId="77777777" w:rsidR="00FF2169" w:rsidRDefault="00FF2169" w:rsidP="00CF379C">
            <w:pPr>
              <w:spacing w:line="0" w:lineRule="atLeast"/>
              <w:ind w:left="115"/>
              <w:rPr>
                <w:rFonts w:eastAsia="DFKai-SB"/>
                <w:b/>
                <w:bCs/>
              </w:rPr>
            </w:pPr>
          </w:p>
          <w:p w14:paraId="15689496" w14:textId="4052BCEC" w:rsidR="00917EC7" w:rsidRDefault="00917EC7" w:rsidP="00917EC7">
            <w:pPr>
              <w:spacing w:line="0" w:lineRule="atLeast"/>
              <w:ind w:left="115"/>
              <w:rPr>
                <w:rFonts w:eastAsia="DFKai-SB"/>
                <w:b/>
                <w:bCs/>
              </w:rPr>
            </w:pPr>
            <w:r>
              <w:rPr>
                <w:rFonts w:eastAsia="DFKai-SB"/>
                <w:b/>
                <w:bCs/>
              </w:rPr>
              <w:t>Reading presentation/reporting</w:t>
            </w:r>
            <w:r w:rsidR="001C052D">
              <w:rPr>
                <w:rFonts w:eastAsia="DFKai-SB"/>
                <w:b/>
                <w:bCs/>
              </w:rPr>
              <w:t xml:space="preserve"> </w:t>
            </w:r>
            <w:r w:rsidR="001C052D" w:rsidRPr="001C052D">
              <w:rPr>
                <w:rFonts w:eastAsia="DFKai-SB"/>
              </w:rPr>
              <w:t>(two sessions)</w:t>
            </w:r>
            <w:r>
              <w:rPr>
                <w:rFonts w:eastAsia="DFKai-SB"/>
                <w:b/>
                <w:bCs/>
              </w:rPr>
              <w:t xml:space="preserve"> – </w:t>
            </w:r>
            <w:r w:rsidR="002D267C">
              <w:rPr>
                <w:rFonts w:eastAsia="DFKai-SB"/>
                <w:b/>
                <w:bCs/>
              </w:rPr>
              <w:t>30</w:t>
            </w:r>
            <w:r>
              <w:rPr>
                <w:rFonts w:eastAsia="DFKai-SB"/>
                <w:b/>
                <w:bCs/>
              </w:rPr>
              <w:t xml:space="preserve">% </w:t>
            </w:r>
          </w:p>
          <w:p w14:paraId="38F3531B" w14:textId="77777777" w:rsidR="00FF2169" w:rsidRDefault="00FF2169" w:rsidP="00917EC7">
            <w:pPr>
              <w:spacing w:line="0" w:lineRule="atLeast"/>
              <w:ind w:left="115"/>
              <w:rPr>
                <w:rFonts w:eastAsia="DFKai-SB"/>
                <w:b/>
                <w:bCs/>
              </w:rPr>
            </w:pPr>
          </w:p>
          <w:p w14:paraId="0CD22322" w14:textId="519D379C" w:rsidR="00FF2169" w:rsidRDefault="002F2B53" w:rsidP="007154E0">
            <w:pPr>
              <w:spacing w:line="0" w:lineRule="atLeast"/>
              <w:ind w:left="115"/>
              <w:rPr>
                <w:rFonts w:eastAsia="DFKai-SB"/>
              </w:rPr>
            </w:pPr>
            <w:r>
              <w:rPr>
                <w:rFonts w:eastAsia="DFKai-SB"/>
                <w:b/>
                <w:bCs/>
              </w:rPr>
              <w:t xml:space="preserve">Research Paper (main project) – </w:t>
            </w:r>
            <w:r w:rsidR="002D267C">
              <w:rPr>
                <w:rFonts w:eastAsia="DFKai-SB"/>
                <w:b/>
                <w:bCs/>
              </w:rPr>
              <w:t>50</w:t>
            </w:r>
            <w:r>
              <w:rPr>
                <w:rFonts w:eastAsia="DFKai-SB"/>
                <w:b/>
                <w:bCs/>
              </w:rPr>
              <w:t xml:space="preserve">% </w:t>
            </w:r>
            <w:r w:rsidR="00917EC7" w:rsidRPr="00917EC7">
              <w:rPr>
                <w:rFonts w:eastAsia="DFKai-SB"/>
              </w:rPr>
              <w:t>(</w:t>
            </w:r>
            <w:r w:rsidR="00917EC7">
              <w:rPr>
                <w:rFonts w:eastAsia="DFKai-SB"/>
              </w:rPr>
              <w:t xml:space="preserve">research report/paper – </w:t>
            </w:r>
            <w:r w:rsidR="002D267C">
              <w:rPr>
                <w:rFonts w:eastAsia="DFKai-SB"/>
              </w:rPr>
              <w:t>35</w:t>
            </w:r>
            <w:r w:rsidR="00917EC7">
              <w:rPr>
                <w:rFonts w:eastAsia="DFKai-SB"/>
              </w:rPr>
              <w:t xml:space="preserve">%; presentation – </w:t>
            </w:r>
            <w:r w:rsidR="002D267C">
              <w:rPr>
                <w:rFonts w:eastAsia="DFKai-SB"/>
              </w:rPr>
              <w:t>15</w:t>
            </w:r>
            <w:r w:rsidR="00917EC7">
              <w:rPr>
                <w:rFonts w:eastAsia="DFKai-SB"/>
              </w:rPr>
              <w:t xml:space="preserve">%) </w:t>
            </w:r>
          </w:p>
          <w:p w14:paraId="7E72A5FC" w14:textId="4CC46597" w:rsidR="002D267C" w:rsidRPr="007154E0" w:rsidRDefault="00C63A9B" w:rsidP="007154E0">
            <w:pPr>
              <w:pStyle w:val="ListParagraph"/>
              <w:numPr>
                <w:ilvl w:val="0"/>
                <w:numId w:val="34"/>
              </w:numPr>
              <w:spacing w:line="0" w:lineRule="atLeast"/>
              <w:ind w:leftChars="0"/>
              <w:rPr>
                <w:rFonts w:eastAsia="DFKai-SB"/>
                <w:i/>
                <w:iCs/>
              </w:rPr>
            </w:pPr>
            <w:r w:rsidRPr="00E074B2">
              <w:rPr>
                <w:rFonts w:eastAsia="DFKai-SB"/>
                <w:i/>
                <w:iCs/>
              </w:rPr>
              <w:t xml:space="preserve">The final paper for the course is a </w:t>
            </w:r>
            <w:r w:rsidRPr="00E074B2">
              <w:rPr>
                <w:rFonts w:eastAsia="DFKai-SB"/>
                <w:i/>
                <w:iCs/>
                <w:u w:val="single"/>
              </w:rPr>
              <w:t>research paper designed as either a chapter for a book/monograph or a journal article. It should explore and examine an institutional (local), national or global education program</w:t>
            </w:r>
            <w:r w:rsidRPr="00E074B2">
              <w:rPr>
                <w:rFonts w:eastAsia="DFKai-SB"/>
                <w:i/>
                <w:iCs/>
              </w:rPr>
              <w:t xml:space="preserve">. The approach can be a </w:t>
            </w:r>
            <w:r w:rsidRPr="00E074B2">
              <w:rPr>
                <w:rFonts w:eastAsia="DFKai-SB"/>
                <w:i/>
                <w:iCs/>
                <w:u w:val="single"/>
              </w:rPr>
              <w:t>descriptive</w:t>
            </w:r>
            <w:r w:rsidR="006F1CCC">
              <w:rPr>
                <w:rFonts w:eastAsia="DFKai-SB"/>
                <w:i/>
                <w:iCs/>
                <w:u w:val="single"/>
              </w:rPr>
              <w:t xml:space="preserve"> (critical analysis)</w:t>
            </w:r>
            <w:r w:rsidRPr="00E074B2">
              <w:rPr>
                <w:rFonts w:eastAsia="DFKai-SB"/>
                <w:i/>
                <w:iCs/>
                <w:u w:val="single"/>
              </w:rPr>
              <w:t xml:space="preserve"> or evaluative case study</w:t>
            </w:r>
            <w:r w:rsidRPr="00E074B2">
              <w:rPr>
                <w:rFonts w:eastAsia="DFKai-SB"/>
                <w:i/>
                <w:iCs/>
              </w:rPr>
              <w:t xml:space="preserve"> that draws upon management and planning frameworks and relevant educational concepts and theories in examining the initiative as an educational program, the mechanics of its implementation (planning and project management processes), impacts and sustainability, practical and policy implications, etc.</w:t>
            </w:r>
            <w:r w:rsidR="00824876" w:rsidRPr="00E074B2">
              <w:rPr>
                <w:rFonts w:eastAsia="DFKai-SB"/>
                <w:i/>
                <w:iCs/>
              </w:rPr>
              <w:t xml:space="preserve"> </w:t>
            </w:r>
          </w:p>
          <w:p w14:paraId="2F309E20" w14:textId="6BD3B3A8" w:rsidR="00C63A9B" w:rsidRPr="007154E0" w:rsidRDefault="00824876" w:rsidP="002D267C">
            <w:pPr>
              <w:pStyle w:val="ListParagraph"/>
              <w:numPr>
                <w:ilvl w:val="0"/>
                <w:numId w:val="34"/>
              </w:numPr>
              <w:spacing w:line="0" w:lineRule="atLeast"/>
              <w:ind w:leftChars="0"/>
              <w:rPr>
                <w:rFonts w:eastAsia="DFKai-SB"/>
                <w:i/>
                <w:iCs/>
              </w:rPr>
            </w:pPr>
            <w:r w:rsidRPr="00E074B2">
              <w:rPr>
                <w:rFonts w:eastAsia="DFKai-SB"/>
                <w:i/>
                <w:iCs/>
              </w:rPr>
              <w:t>The educational program is not limited to academia (schools &amp; universities) and can draw from examples and initiatives in other sectors e.g., educational non-profits, community development organisations, research and training.</w:t>
            </w:r>
            <w:r w:rsidR="000747D5" w:rsidRPr="00E074B2">
              <w:rPr>
                <w:rFonts w:eastAsia="DFKai-SB"/>
                <w:i/>
                <w:iCs/>
              </w:rPr>
              <w:t xml:space="preserve"> Initiatives can cover a range of fields from curriculum, teaching-learning practice, professional development, education technology, etc.</w:t>
            </w:r>
          </w:p>
          <w:p w14:paraId="336CC6EA" w14:textId="64EB87DF" w:rsidR="002D267C" w:rsidRPr="007154E0" w:rsidRDefault="00824876" w:rsidP="002D267C">
            <w:pPr>
              <w:pStyle w:val="ListParagraph"/>
              <w:numPr>
                <w:ilvl w:val="0"/>
                <w:numId w:val="34"/>
              </w:numPr>
              <w:spacing w:line="0" w:lineRule="atLeast"/>
              <w:ind w:leftChars="0"/>
              <w:rPr>
                <w:rFonts w:eastAsia="DFKai-SB"/>
                <w:i/>
                <w:iCs/>
              </w:rPr>
            </w:pPr>
            <w:r w:rsidRPr="00E074B2">
              <w:rPr>
                <w:rFonts w:eastAsia="DFKai-SB"/>
                <w:i/>
                <w:iCs/>
              </w:rPr>
              <w:t>Sample</w:t>
            </w:r>
            <w:r w:rsidR="000747D5" w:rsidRPr="00E074B2">
              <w:rPr>
                <w:rFonts w:eastAsia="DFKai-SB"/>
                <w:i/>
                <w:iCs/>
              </w:rPr>
              <w:t>/I</w:t>
            </w:r>
            <w:r w:rsidRPr="00E074B2">
              <w:rPr>
                <w:rFonts w:eastAsia="DFKai-SB"/>
                <w:i/>
                <w:iCs/>
              </w:rPr>
              <w:t>deas: best practice analysis, lessons on implementation, analysis/evaluation of the use of a particular management approach,</w:t>
            </w:r>
            <w:r w:rsidR="000747D5" w:rsidRPr="00E074B2">
              <w:rPr>
                <w:rFonts w:eastAsia="DFKai-SB"/>
                <w:i/>
                <w:iCs/>
              </w:rPr>
              <w:t xml:space="preserve"> etc. </w:t>
            </w:r>
          </w:p>
          <w:p w14:paraId="40DE2D51" w14:textId="1E1F84A2" w:rsidR="000747D5" w:rsidRPr="00E074B2" w:rsidRDefault="000A58CF" w:rsidP="00C63A9B">
            <w:pPr>
              <w:pStyle w:val="ListParagraph"/>
              <w:numPr>
                <w:ilvl w:val="0"/>
                <w:numId w:val="34"/>
              </w:numPr>
              <w:spacing w:line="0" w:lineRule="atLeast"/>
              <w:ind w:leftChars="0"/>
              <w:rPr>
                <w:rFonts w:eastAsia="DFKai-SB"/>
                <w:i/>
                <w:iCs/>
              </w:rPr>
            </w:pPr>
            <w:r w:rsidRPr="00E074B2">
              <w:rPr>
                <w:rFonts w:eastAsia="DFKai-SB"/>
                <w:i/>
                <w:iCs/>
              </w:rPr>
              <w:t>Expected word count: approx. 4,000-</w:t>
            </w:r>
            <w:r w:rsidR="002D267C">
              <w:rPr>
                <w:rFonts w:eastAsia="DFKai-SB"/>
                <w:i/>
                <w:iCs/>
              </w:rPr>
              <w:t>4,500 words</w:t>
            </w:r>
            <w:r w:rsidRPr="00E074B2">
              <w:rPr>
                <w:rFonts w:eastAsia="DFKai-SB"/>
                <w:i/>
                <w:iCs/>
              </w:rPr>
              <w:t xml:space="preserve"> </w:t>
            </w:r>
          </w:p>
          <w:p w14:paraId="30532738" w14:textId="64AB6060" w:rsidR="000A58CF" w:rsidRPr="00E074B2" w:rsidRDefault="000A58CF" w:rsidP="00C63A9B">
            <w:pPr>
              <w:pStyle w:val="ListParagraph"/>
              <w:numPr>
                <w:ilvl w:val="0"/>
                <w:numId w:val="34"/>
              </w:numPr>
              <w:spacing w:line="0" w:lineRule="atLeast"/>
              <w:ind w:leftChars="0"/>
              <w:rPr>
                <w:rFonts w:eastAsia="DFKai-SB"/>
                <w:i/>
                <w:iCs/>
              </w:rPr>
            </w:pPr>
            <w:r w:rsidRPr="00E074B2">
              <w:rPr>
                <w:rFonts w:eastAsia="DFKai-SB"/>
                <w:i/>
                <w:iCs/>
              </w:rPr>
              <w:t>Reference formatting: APA</w:t>
            </w:r>
            <w:r w:rsidR="002D267C">
              <w:rPr>
                <w:rFonts w:eastAsia="DFKai-SB"/>
                <w:i/>
                <w:iCs/>
              </w:rPr>
              <w:t xml:space="preserve"> 7</w:t>
            </w:r>
            <w:r w:rsidR="002D267C" w:rsidRPr="002D267C">
              <w:rPr>
                <w:rFonts w:eastAsia="DFKai-SB"/>
                <w:i/>
                <w:iCs/>
                <w:vertAlign w:val="superscript"/>
              </w:rPr>
              <w:t>th</w:t>
            </w:r>
            <w:r w:rsidR="002D267C">
              <w:rPr>
                <w:rFonts w:eastAsia="DFKai-SB"/>
                <w:i/>
                <w:iCs/>
              </w:rPr>
              <w:t xml:space="preserve"> edition </w:t>
            </w:r>
          </w:p>
          <w:p w14:paraId="49719644" w14:textId="1E440C7B" w:rsidR="00CF379C" w:rsidRPr="002D267C" w:rsidRDefault="000A58CF" w:rsidP="00CF379C">
            <w:pPr>
              <w:pStyle w:val="ListParagraph"/>
              <w:numPr>
                <w:ilvl w:val="0"/>
                <w:numId w:val="34"/>
              </w:numPr>
              <w:spacing w:line="0" w:lineRule="atLeast"/>
              <w:ind w:leftChars="0"/>
              <w:rPr>
                <w:rFonts w:eastAsia="DFKai-SB"/>
                <w:i/>
                <w:iCs/>
              </w:rPr>
            </w:pPr>
            <w:r w:rsidRPr="00E074B2">
              <w:rPr>
                <w:rFonts w:eastAsia="DFKai-SB"/>
                <w:i/>
                <w:iCs/>
              </w:rPr>
              <w:t xml:space="preserve">Submission date of final paper: TBA </w:t>
            </w:r>
          </w:p>
        </w:tc>
      </w:tr>
    </w:tbl>
    <w:p w14:paraId="1E6FA3AA" w14:textId="3BE67D2F" w:rsidR="0048577E" w:rsidRDefault="0048577E" w:rsidP="00C964F5">
      <w:pPr>
        <w:spacing w:line="0" w:lineRule="atLeast"/>
        <w:rPr>
          <w:rFonts w:eastAsia="DFKai-SB"/>
          <w:sz w:val="22"/>
          <w:szCs w:val="22"/>
        </w:rPr>
      </w:pPr>
    </w:p>
    <w:p w14:paraId="3BB0B1CB" w14:textId="72E3FCB4" w:rsidR="00C964F5" w:rsidRPr="009E7970" w:rsidRDefault="00C964F5" w:rsidP="00C964F5">
      <w:pPr>
        <w:spacing w:line="0" w:lineRule="atLeast"/>
        <w:rPr>
          <w:rFonts w:eastAsia="DFKai-SB"/>
          <w:sz w:val="22"/>
          <w:szCs w:val="22"/>
        </w:rPr>
      </w:pPr>
      <w:r w:rsidRPr="009E7970">
        <w:rPr>
          <w:rFonts w:eastAsia="DFKai-SB" w:hint="eastAsia"/>
          <w:sz w:val="22"/>
          <w:szCs w:val="22"/>
        </w:rPr>
        <w:lastRenderedPageBreak/>
        <w:t>授課大綱</w:t>
      </w:r>
      <w:r>
        <w:rPr>
          <w:rFonts w:eastAsia="DFKai-SB"/>
          <w:sz w:val="22"/>
          <w:szCs w:val="22"/>
        </w:rPr>
        <w:t xml:space="preserve"> </w:t>
      </w:r>
      <w:r w:rsidRPr="009E7970">
        <w:rPr>
          <w:rFonts w:eastAsia="DFKai-SB" w:hint="eastAsia"/>
          <w:sz w:val="22"/>
          <w:szCs w:val="22"/>
        </w:rPr>
        <w:t>(</w:t>
      </w:r>
      <w:r w:rsidRPr="009E7970">
        <w:rPr>
          <w:rFonts w:eastAsia="DFKai-SB" w:hint="eastAsia"/>
          <w:sz w:val="22"/>
          <w:szCs w:val="22"/>
        </w:rPr>
        <w:t>週次表及每週課程詳細內容說明</w:t>
      </w:r>
      <w:r w:rsidRPr="009E7970">
        <w:rPr>
          <w:rFonts w:eastAsia="DFKai-SB" w:hint="eastAsia"/>
          <w:sz w:val="22"/>
          <w:szCs w:val="22"/>
        </w:rPr>
        <w:t>)</w:t>
      </w:r>
    </w:p>
    <w:p w14:paraId="13F88E88" w14:textId="3E5EE468" w:rsidR="00565569" w:rsidRPr="00565569" w:rsidRDefault="00C964F5">
      <w:pPr>
        <w:rPr>
          <w:rFonts w:eastAsia="DFKai-SB"/>
          <w:b/>
          <w:bCs/>
        </w:rPr>
      </w:pPr>
      <w:r w:rsidRPr="00C964F5">
        <w:rPr>
          <w:rFonts w:eastAsia="DFKai-SB" w:hint="eastAsia"/>
          <w:b/>
          <w:bCs/>
        </w:rPr>
        <w:t>S</w:t>
      </w:r>
      <w:r w:rsidRPr="00C964F5">
        <w:rPr>
          <w:rFonts w:eastAsia="DFKai-SB"/>
          <w:b/>
          <w:bCs/>
        </w:rPr>
        <w:t>chedule</w:t>
      </w:r>
    </w:p>
    <w:tbl>
      <w:tblPr>
        <w:tblStyle w:val="TableGrid"/>
        <w:tblW w:w="9640" w:type="dxa"/>
        <w:tblInd w:w="-289" w:type="dxa"/>
        <w:tblLook w:val="04A0" w:firstRow="1" w:lastRow="0" w:firstColumn="1" w:lastColumn="0" w:noHBand="0" w:noVBand="1"/>
      </w:tblPr>
      <w:tblGrid>
        <w:gridCol w:w="1560"/>
        <w:gridCol w:w="8080"/>
      </w:tblGrid>
      <w:tr w:rsidR="00C06B4B" w:rsidRPr="00262E15" w14:paraId="7827E93B" w14:textId="77777777" w:rsidTr="002F4CC6">
        <w:tc>
          <w:tcPr>
            <w:tcW w:w="1560" w:type="dxa"/>
            <w:shd w:val="clear" w:color="auto" w:fill="BFBFBF" w:themeFill="background1" w:themeFillShade="BF"/>
          </w:tcPr>
          <w:p w14:paraId="24C630CE" w14:textId="4EE88BBC" w:rsidR="00262E15" w:rsidRPr="00262E15" w:rsidRDefault="00262E15" w:rsidP="00BA690A">
            <w:pPr>
              <w:spacing w:line="0" w:lineRule="atLeast"/>
              <w:contextualSpacing/>
              <w:rPr>
                <w:b/>
                <w:bCs/>
                <w:lang w:val="en-GB"/>
              </w:rPr>
            </w:pPr>
            <w:r w:rsidRPr="00262E15">
              <w:rPr>
                <w:b/>
                <w:bCs/>
                <w:lang w:val="en-GB"/>
              </w:rPr>
              <w:t>Session</w:t>
            </w:r>
          </w:p>
        </w:tc>
        <w:tc>
          <w:tcPr>
            <w:tcW w:w="8080" w:type="dxa"/>
            <w:shd w:val="clear" w:color="auto" w:fill="BFBFBF" w:themeFill="background1" w:themeFillShade="BF"/>
          </w:tcPr>
          <w:p w14:paraId="624B271A" w14:textId="4A459CD0" w:rsidR="00262E15" w:rsidRPr="00262E15" w:rsidRDefault="00262E15" w:rsidP="00BA690A">
            <w:pPr>
              <w:spacing w:line="0" w:lineRule="atLeast"/>
              <w:contextualSpacing/>
              <w:rPr>
                <w:b/>
                <w:bCs/>
                <w:lang w:val="en-GB"/>
              </w:rPr>
            </w:pPr>
            <w:r w:rsidRPr="00262E15">
              <w:rPr>
                <w:b/>
                <w:bCs/>
                <w:lang w:val="en-GB"/>
              </w:rPr>
              <w:t>Topic</w:t>
            </w:r>
          </w:p>
        </w:tc>
      </w:tr>
      <w:tr w:rsidR="00C06B4B" w:rsidRPr="00262E15" w14:paraId="41277779" w14:textId="77777777" w:rsidTr="002F4CC6">
        <w:tc>
          <w:tcPr>
            <w:tcW w:w="1560" w:type="dxa"/>
          </w:tcPr>
          <w:p w14:paraId="2E2B8601" w14:textId="133BEA46" w:rsidR="00262E15" w:rsidRPr="00262E15" w:rsidRDefault="00262E15" w:rsidP="00262E15">
            <w:pPr>
              <w:spacing w:line="0" w:lineRule="atLeast"/>
              <w:contextualSpacing/>
              <w:rPr>
                <w:b/>
                <w:bCs/>
                <w:lang w:val="en-GB"/>
              </w:rPr>
            </w:pPr>
            <w:r w:rsidRPr="00262E15">
              <w:rPr>
                <w:b/>
                <w:bCs/>
                <w:lang w:val="en-GB"/>
              </w:rPr>
              <w:t>Session 1</w:t>
            </w:r>
          </w:p>
          <w:p w14:paraId="56C09AB8" w14:textId="5D1D46D5" w:rsidR="00262E15" w:rsidRPr="00262E15" w:rsidRDefault="003662BF" w:rsidP="00262E15">
            <w:pPr>
              <w:spacing w:line="0" w:lineRule="atLeast"/>
              <w:contextualSpacing/>
              <w:rPr>
                <w:b/>
                <w:bCs/>
                <w:lang w:val="en-GB"/>
              </w:rPr>
            </w:pPr>
            <w:r>
              <w:rPr>
                <w:lang w:val="en-GB"/>
              </w:rPr>
              <w:t xml:space="preserve">February 23 </w:t>
            </w:r>
          </w:p>
          <w:p w14:paraId="35FC7430" w14:textId="77777777" w:rsidR="00262E15" w:rsidRPr="00262E15" w:rsidRDefault="00262E15" w:rsidP="00262E15">
            <w:pPr>
              <w:spacing w:line="0" w:lineRule="atLeast"/>
              <w:contextualSpacing/>
              <w:rPr>
                <w:lang w:val="en-GB"/>
              </w:rPr>
            </w:pPr>
          </w:p>
        </w:tc>
        <w:tc>
          <w:tcPr>
            <w:tcW w:w="8080" w:type="dxa"/>
          </w:tcPr>
          <w:p w14:paraId="273146A5" w14:textId="77777777" w:rsidR="0073187F" w:rsidRDefault="00262E15" w:rsidP="00262E15">
            <w:pPr>
              <w:spacing w:line="0" w:lineRule="atLeast"/>
              <w:contextualSpacing/>
              <w:rPr>
                <w:b/>
                <w:bCs/>
                <w:lang w:val="en-GB"/>
              </w:rPr>
            </w:pPr>
            <w:r>
              <w:rPr>
                <w:b/>
                <w:bCs/>
                <w:lang w:val="en-GB"/>
              </w:rPr>
              <w:t>Introduction to the Course</w:t>
            </w:r>
          </w:p>
          <w:p w14:paraId="31EF641A" w14:textId="5F68F123" w:rsidR="00262E15" w:rsidRDefault="00C319C9" w:rsidP="00262E15">
            <w:pPr>
              <w:spacing w:line="0" w:lineRule="atLeast"/>
              <w:contextualSpacing/>
              <w:rPr>
                <w:b/>
                <w:bCs/>
                <w:lang w:val="en-GB"/>
              </w:rPr>
            </w:pPr>
            <w:r>
              <w:rPr>
                <w:b/>
                <w:bCs/>
                <w:lang w:val="en-GB"/>
              </w:rPr>
              <w:t xml:space="preserve">Contextualising Program/Project Development and Management in Education </w:t>
            </w:r>
          </w:p>
          <w:p w14:paraId="25C38B1A" w14:textId="6C1555EE" w:rsidR="00C63422" w:rsidRDefault="00627DF0" w:rsidP="00F35A72">
            <w:pPr>
              <w:spacing w:line="0" w:lineRule="atLeast"/>
              <w:contextualSpacing/>
              <w:rPr>
                <w:lang w:val="en-GB"/>
              </w:rPr>
            </w:pPr>
            <w:r w:rsidRPr="00C63422">
              <w:rPr>
                <w:lang w:val="en-GB"/>
              </w:rPr>
              <w:t>In this session</w:t>
            </w:r>
            <w:r w:rsidR="00C63422">
              <w:rPr>
                <w:lang w:val="en-GB"/>
              </w:rPr>
              <w:t xml:space="preserve">, we begin by exploring education programs/projects as responses to complex and contested problems and then situate the practice of program/project development and management across education contexts (formal, non-formal and informal/alternative systems). </w:t>
            </w:r>
          </w:p>
          <w:p w14:paraId="3A1E26B3" w14:textId="77777777" w:rsidR="00C769BD" w:rsidRDefault="00C769BD" w:rsidP="00C63422">
            <w:pPr>
              <w:spacing w:line="0" w:lineRule="atLeast"/>
              <w:contextualSpacing/>
              <w:rPr>
                <w:i/>
                <w:iCs/>
                <w:lang w:val="en-GB"/>
              </w:rPr>
            </w:pPr>
          </w:p>
          <w:p w14:paraId="262A59C6" w14:textId="5DD44F66" w:rsidR="00C63422" w:rsidRDefault="00C63422" w:rsidP="00C63422">
            <w:pPr>
              <w:spacing w:line="0" w:lineRule="atLeast"/>
              <w:contextualSpacing/>
              <w:rPr>
                <w:i/>
                <w:iCs/>
                <w:u w:val="single"/>
                <w:lang w:val="en-GB"/>
              </w:rPr>
            </w:pPr>
            <w:r w:rsidRPr="00C63422">
              <w:rPr>
                <w:i/>
                <w:iCs/>
                <w:u w:val="single"/>
                <w:lang w:val="en-GB"/>
              </w:rPr>
              <w:t>Recommended Readings:</w:t>
            </w:r>
          </w:p>
          <w:p w14:paraId="68F6C444" w14:textId="14ACEC78" w:rsidR="00C63422" w:rsidRPr="00F220D4" w:rsidRDefault="00F220D4" w:rsidP="00C63422">
            <w:pPr>
              <w:spacing w:line="0" w:lineRule="atLeast"/>
              <w:contextualSpacing/>
            </w:pPr>
            <w:r w:rsidRPr="00F220D4">
              <w:t>Bryson, J. M. (2018). </w:t>
            </w:r>
            <w:r w:rsidRPr="00F220D4">
              <w:rPr>
                <w:i/>
                <w:iCs/>
              </w:rPr>
              <w:t>Strategic Planning for Public and Nonprofit Organizations</w:t>
            </w:r>
            <w:r w:rsidRPr="00F220D4">
              <w:t> (Ch. 1–2).</w:t>
            </w:r>
          </w:p>
          <w:p w14:paraId="3442600F" w14:textId="1FDAB139" w:rsidR="00F220D4" w:rsidRPr="00F220D4" w:rsidRDefault="00F220D4" w:rsidP="00C63422">
            <w:pPr>
              <w:spacing w:line="0" w:lineRule="atLeast"/>
              <w:contextualSpacing/>
              <w:rPr>
                <w:lang w:val="en-GB"/>
              </w:rPr>
            </w:pPr>
            <w:r w:rsidRPr="00F220D4">
              <w:t>Bush, T., &amp; Coleman, M. (2000). </w:t>
            </w:r>
            <w:r w:rsidRPr="00F220D4">
              <w:rPr>
                <w:i/>
                <w:iCs/>
              </w:rPr>
              <w:t>Leadership and Strategic Management in Education</w:t>
            </w:r>
            <w:r w:rsidRPr="00F220D4">
              <w:t> (Ch. 1).</w:t>
            </w:r>
          </w:p>
          <w:p w14:paraId="7EDEB735" w14:textId="7439114D" w:rsidR="00C63422" w:rsidRPr="00C63422" w:rsidRDefault="00C63422" w:rsidP="00C63422">
            <w:pPr>
              <w:spacing w:line="0" w:lineRule="atLeast"/>
              <w:contextualSpacing/>
              <w:rPr>
                <w:lang w:val="en-GB"/>
              </w:rPr>
            </w:pPr>
          </w:p>
        </w:tc>
      </w:tr>
      <w:tr w:rsidR="00C06B4B" w:rsidRPr="00262E15" w14:paraId="496CCA06" w14:textId="77777777" w:rsidTr="002F4CC6">
        <w:tc>
          <w:tcPr>
            <w:tcW w:w="1560" w:type="dxa"/>
          </w:tcPr>
          <w:p w14:paraId="0994898A" w14:textId="11B9A319" w:rsidR="00262E15" w:rsidRPr="00262E15" w:rsidRDefault="00262E15" w:rsidP="00262E15">
            <w:pPr>
              <w:spacing w:line="0" w:lineRule="atLeast"/>
              <w:contextualSpacing/>
              <w:rPr>
                <w:b/>
                <w:bCs/>
                <w:lang w:val="en-GB"/>
              </w:rPr>
            </w:pPr>
            <w:r w:rsidRPr="00262E15">
              <w:rPr>
                <w:b/>
                <w:bCs/>
                <w:lang w:val="en-GB"/>
              </w:rPr>
              <w:t>Session 2</w:t>
            </w:r>
          </w:p>
          <w:p w14:paraId="226D1946" w14:textId="58950CAD" w:rsidR="00262E15" w:rsidRPr="00262E15" w:rsidRDefault="003662BF" w:rsidP="00262E15">
            <w:pPr>
              <w:spacing w:line="0" w:lineRule="atLeast"/>
              <w:contextualSpacing/>
              <w:rPr>
                <w:b/>
                <w:bCs/>
                <w:lang w:val="en-GB"/>
              </w:rPr>
            </w:pPr>
            <w:r>
              <w:rPr>
                <w:lang w:val="en-GB"/>
              </w:rPr>
              <w:t>March 2</w:t>
            </w:r>
          </w:p>
        </w:tc>
        <w:tc>
          <w:tcPr>
            <w:tcW w:w="8080" w:type="dxa"/>
          </w:tcPr>
          <w:p w14:paraId="54F1DA21" w14:textId="10A7DCBF" w:rsidR="005241FF" w:rsidRPr="00D40E46" w:rsidRDefault="00C319C9" w:rsidP="00262E15">
            <w:pPr>
              <w:spacing w:line="0" w:lineRule="atLeast"/>
              <w:contextualSpacing/>
              <w:rPr>
                <w:b/>
                <w:bCs/>
                <w:lang w:val="en-GB"/>
              </w:rPr>
            </w:pPr>
            <w:r>
              <w:rPr>
                <w:b/>
                <w:bCs/>
                <w:lang w:val="en-GB"/>
              </w:rPr>
              <w:t xml:space="preserve">Fundamentals of Program/Project Development and Management in Education 1: Theoretical Frameworks </w:t>
            </w:r>
          </w:p>
          <w:p w14:paraId="23088C4E" w14:textId="7A296E2E" w:rsidR="00BB1406" w:rsidRDefault="00C769BD" w:rsidP="008F2CC4">
            <w:pPr>
              <w:spacing w:line="0" w:lineRule="atLeast"/>
              <w:contextualSpacing/>
              <w:rPr>
                <w:lang w:val="en-GB"/>
              </w:rPr>
            </w:pPr>
            <w:r w:rsidRPr="00BB1406">
              <w:rPr>
                <w:lang w:val="en-GB"/>
              </w:rPr>
              <w:t>The s</w:t>
            </w:r>
            <w:r w:rsidR="00D40E46" w:rsidRPr="00BB1406">
              <w:rPr>
                <w:lang w:val="en-GB"/>
              </w:rPr>
              <w:t xml:space="preserve">ession </w:t>
            </w:r>
            <w:r w:rsidRPr="00BB1406">
              <w:rPr>
                <w:lang w:val="en-GB"/>
              </w:rPr>
              <w:t>will introduce</w:t>
            </w:r>
            <w:r w:rsidR="00D40E46" w:rsidRPr="00BB1406">
              <w:rPr>
                <w:lang w:val="en-GB"/>
              </w:rPr>
              <w:t xml:space="preserve"> </w:t>
            </w:r>
            <w:r w:rsidR="003B13E9" w:rsidRPr="00BB1406">
              <w:rPr>
                <w:lang w:val="en-GB"/>
              </w:rPr>
              <w:t>some key theoretical frameworks in management</w:t>
            </w:r>
            <w:r w:rsidR="00BB1406">
              <w:rPr>
                <w:lang w:val="en-GB"/>
              </w:rPr>
              <w:t xml:space="preserve"> and organisational science that anchor examination of how education organisations and systems plan, behave, resist or converge in certain ways. </w:t>
            </w:r>
          </w:p>
          <w:p w14:paraId="76A06488" w14:textId="77777777" w:rsidR="00BB1406" w:rsidRDefault="00BB1406" w:rsidP="008F2CC4">
            <w:pPr>
              <w:spacing w:line="0" w:lineRule="atLeast"/>
              <w:contextualSpacing/>
              <w:rPr>
                <w:lang w:val="en-GB"/>
              </w:rPr>
            </w:pPr>
          </w:p>
          <w:p w14:paraId="5DDF86E3" w14:textId="241FA268" w:rsidR="00BB1406" w:rsidRDefault="00BB1406" w:rsidP="008F2CC4">
            <w:pPr>
              <w:spacing w:line="0" w:lineRule="atLeast"/>
              <w:contextualSpacing/>
              <w:rPr>
                <w:u w:val="single"/>
                <w:lang w:val="en-GB"/>
              </w:rPr>
            </w:pPr>
            <w:r w:rsidRPr="00BB1406">
              <w:rPr>
                <w:i/>
                <w:iCs/>
                <w:u w:val="single"/>
                <w:lang w:val="en-GB"/>
              </w:rPr>
              <w:t>Recommended Readings</w:t>
            </w:r>
            <w:r>
              <w:rPr>
                <w:i/>
                <w:iCs/>
                <w:u w:val="single"/>
                <w:lang w:val="en-GB"/>
              </w:rPr>
              <w:t>:</w:t>
            </w:r>
          </w:p>
          <w:p w14:paraId="4052423B" w14:textId="1CC32B91" w:rsidR="00BB1406" w:rsidRPr="00E725AA" w:rsidRDefault="00BB1406" w:rsidP="008F2CC4">
            <w:pPr>
              <w:spacing w:line="0" w:lineRule="atLeast"/>
              <w:contextualSpacing/>
              <w:rPr>
                <w:color w:val="000000"/>
              </w:rPr>
            </w:pPr>
            <w:r w:rsidRPr="00E725AA">
              <w:rPr>
                <w:rStyle w:val="Strong"/>
                <w:b w:val="0"/>
                <w:bCs w:val="0"/>
                <w:color w:val="000000"/>
              </w:rPr>
              <w:t>DiMaggio, P., &amp; Powell, W. (1983).</w:t>
            </w:r>
            <w:r w:rsidRPr="00E725AA">
              <w:rPr>
                <w:color w:val="000000"/>
              </w:rPr>
              <w:br/>
            </w:r>
            <w:r w:rsidRPr="00E725AA">
              <w:rPr>
                <w:rStyle w:val="Emphasis"/>
                <w:color w:val="000000"/>
              </w:rPr>
              <w:t>The iron cage revisited: Institutional isomorphism and collective rationality.</w:t>
            </w:r>
            <w:r w:rsidRPr="00E725AA">
              <w:rPr>
                <w:color w:val="000000"/>
              </w:rPr>
              <w:br/>
            </w:r>
            <w:r w:rsidRPr="00E725AA">
              <w:rPr>
                <w:rStyle w:val="Emphasis"/>
                <w:color w:val="000000"/>
              </w:rPr>
              <w:t>American Sociological Review, 48</w:t>
            </w:r>
            <w:r w:rsidRPr="00E725AA">
              <w:rPr>
                <w:color w:val="000000"/>
              </w:rPr>
              <w:t>(2), 147–160.</w:t>
            </w:r>
          </w:p>
          <w:p w14:paraId="6FCD7BAA" w14:textId="3FA0E350" w:rsidR="00E725AA" w:rsidRPr="00E725AA" w:rsidRDefault="00E725AA" w:rsidP="008F2CC4">
            <w:pPr>
              <w:spacing w:line="0" w:lineRule="atLeast"/>
              <w:contextualSpacing/>
              <w:rPr>
                <w:u w:val="single"/>
                <w:lang w:val="en-GB"/>
              </w:rPr>
            </w:pPr>
            <w:r w:rsidRPr="00E725AA">
              <w:rPr>
                <w:color w:val="000000"/>
              </w:rPr>
              <w:t>Meyer, H.-D., &amp; Rowan, B. (2006).</w:t>
            </w:r>
            <w:r w:rsidRPr="00E725AA">
              <w:rPr>
                <w:rStyle w:val="apple-converted-space"/>
                <w:color w:val="000000"/>
              </w:rPr>
              <w:t> </w:t>
            </w:r>
            <w:r w:rsidRPr="00E725AA">
              <w:rPr>
                <w:rStyle w:val="Emphasis"/>
                <w:color w:val="000000"/>
              </w:rPr>
              <w:t>Institutional Analysis and the Study of Education</w:t>
            </w:r>
            <w:r w:rsidRPr="00E725AA">
              <w:rPr>
                <w:color w:val="000000"/>
              </w:rPr>
              <w:t>. In H.-D. Meyer &amp; B. Rowan (Eds.),</w:t>
            </w:r>
            <w:r w:rsidRPr="00E725AA">
              <w:rPr>
                <w:rStyle w:val="apple-converted-space"/>
                <w:color w:val="000000"/>
              </w:rPr>
              <w:t> </w:t>
            </w:r>
            <w:r w:rsidRPr="00E725AA">
              <w:rPr>
                <w:rStyle w:val="Emphasis"/>
                <w:color w:val="000000"/>
              </w:rPr>
              <w:t>The New Institutionalism in Education</w:t>
            </w:r>
            <w:r w:rsidRPr="00E725AA">
              <w:rPr>
                <w:rStyle w:val="apple-converted-space"/>
                <w:color w:val="000000"/>
              </w:rPr>
              <w:t> </w:t>
            </w:r>
            <w:r w:rsidRPr="00E725AA">
              <w:rPr>
                <w:color w:val="000000"/>
              </w:rPr>
              <w:t>(pp. 1–20). Albany: State University of New York Press</w:t>
            </w:r>
          </w:p>
          <w:p w14:paraId="18EA3429" w14:textId="4B9F8E4F" w:rsidR="00BB1406" w:rsidRPr="00E725AA" w:rsidRDefault="00E725AA" w:rsidP="008F2CC4">
            <w:pPr>
              <w:spacing w:line="0" w:lineRule="atLeast"/>
              <w:contextualSpacing/>
              <w:rPr>
                <w:u w:val="single"/>
                <w:lang w:val="en-GB"/>
              </w:rPr>
            </w:pPr>
            <w:r w:rsidRPr="00E725AA">
              <w:rPr>
                <w:rStyle w:val="Strong"/>
                <w:b w:val="0"/>
                <w:bCs w:val="0"/>
                <w:color w:val="000000"/>
              </w:rPr>
              <w:t>Scott, W. R. (2003).</w:t>
            </w:r>
            <w:r w:rsidRPr="00E725AA">
              <w:rPr>
                <w:color w:val="000000"/>
              </w:rPr>
              <w:br/>
            </w:r>
            <w:r w:rsidRPr="00E725AA">
              <w:rPr>
                <w:rStyle w:val="Emphasis"/>
                <w:color w:val="000000"/>
              </w:rPr>
              <w:t>Organizations: Rational, Natural, and Open Systems</w:t>
            </w:r>
            <w:r w:rsidRPr="00E725AA">
              <w:rPr>
                <w:rStyle w:val="apple-converted-space"/>
                <w:color w:val="000000"/>
              </w:rPr>
              <w:t> </w:t>
            </w:r>
            <w:r w:rsidRPr="00E725AA">
              <w:rPr>
                <w:color w:val="000000"/>
              </w:rPr>
              <w:t>(5th ed.). Prentice Hall</w:t>
            </w:r>
          </w:p>
          <w:p w14:paraId="3736B93A" w14:textId="2069BECD" w:rsidR="008F2CC4" w:rsidRPr="00F566A4" w:rsidRDefault="008F2CC4" w:rsidP="008F2CC4">
            <w:pPr>
              <w:spacing w:line="0" w:lineRule="atLeast"/>
              <w:contextualSpacing/>
              <w:rPr>
                <w:color w:val="000000" w:themeColor="text1"/>
              </w:rPr>
            </w:pPr>
          </w:p>
        </w:tc>
      </w:tr>
      <w:tr w:rsidR="00C06B4B" w:rsidRPr="00262E15" w14:paraId="0482B6AD" w14:textId="77777777" w:rsidTr="002F4CC6">
        <w:trPr>
          <w:trHeight w:val="412"/>
        </w:trPr>
        <w:tc>
          <w:tcPr>
            <w:tcW w:w="1560" w:type="dxa"/>
          </w:tcPr>
          <w:p w14:paraId="7F6B5491" w14:textId="69141D84" w:rsidR="00262E15" w:rsidRPr="00262E15" w:rsidRDefault="00262E15" w:rsidP="00262E15">
            <w:pPr>
              <w:spacing w:line="0" w:lineRule="atLeast"/>
              <w:contextualSpacing/>
              <w:rPr>
                <w:b/>
                <w:bCs/>
                <w:lang w:val="en-GB"/>
              </w:rPr>
            </w:pPr>
            <w:r w:rsidRPr="00262E15">
              <w:rPr>
                <w:b/>
                <w:bCs/>
                <w:lang w:val="en-GB"/>
              </w:rPr>
              <w:t xml:space="preserve">Session 3 </w:t>
            </w:r>
          </w:p>
          <w:p w14:paraId="134F2873" w14:textId="5DEF40E4" w:rsidR="00262E15" w:rsidRPr="00262E15" w:rsidRDefault="00A40170" w:rsidP="00262E15">
            <w:pPr>
              <w:spacing w:line="0" w:lineRule="atLeast"/>
              <w:contextualSpacing/>
              <w:rPr>
                <w:b/>
                <w:bCs/>
                <w:lang w:val="en-GB"/>
              </w:rPr>
            </w:pPr>
            <w:r>
              <w:rPr>
                <w:lang w:val="en-GB"/>
              </w:rPr>
              <w:t xml:space="preserve">March </w:t>
            </w:r>
            <w:r w:rsidR="00EC4279">
              <w:rPr>
                <w:lang w:val="en-GB"/>
              </w:rPr>
              <w:t>9</w:t>
            </w:r>
          </w:p>
        </w:tc>
        <w:tc>
          <w:tcPr>
            <w:tcW w:w="8080" w:type="dxa"/>
          </w:tcPr>
          <w:p w14:paraId="5AAB4CED" w14:textId="55854881" w:rsidR="00262E15" w:rsidRDefault="00C319C9" w:rsidP="00262E15">
            <w:pPr>
              <w:spacing w:line="0" w:lineRule="atLeast"/>
              <w:contextualSpacing/>
              <w:rPr>
                <w:b/>
                <w:bCs/>
                <w:lang w:val="en-GB"/>
              </w:rPr>
            </w:pPr>
            <w:r>
              <w:rPr>
                <w:b/>
                <w:bCs/>
                <w:lang w:val="en-GB"/>
              </w:rPr>
              <w:t xml:space="preserve">Fundamentals of Program/Project Development and Management in Education 2: Principles and Models </w:t>
            </w:r>
          </w:p>
          <w:p w14:paraId="1F2C9800" w14:textId="5A722B93" w:rsidR="007E4A2C" w:rsidRDefault="00E725AA" w:rsidP="00262E15">
            <w:pPr>
              <w:spacing w:line="0" w:lineRule="atLeast"/>
              <w:contextualSpacing/>
              <w:rPr>
                <w:lang w:val="en-GB"/>
              </w:rPr>
            </w:pPr>
            <w:r>
              <w:rPr>
                <w:lang w:val="en-GB"/>
              </w:rPr>
              <w:t xml:space="preserve">From theories, we move on to examining and critiquing planning models as normative tools. We interrogate them in terms of their historical and political situatedness, linearity, technocracy, etc. </w:t>
            </w:r>
          </w:p>
          <w:p w14:paraId="05D86438" w14:textId="77777777" w:rsidR="00E725AA" w:rsidRDefault="00E725AA" w:rsidP="00262E15">
            <w:pPr>
              <w:spacing w:line="0" w:lineRule="atLeast"/>
              <w:contextualSpacing/>
              <w:rPr>
                <w:lang w:val="en-GB"/>
              </w:rPr>
            </w:pPr>
          </w:p>
          <w:p w14:paraId="05F4C03E" w14:textId="40259B25" w:rsidR="00E725AA" w:rsidRDefault="00E725AA" w:rsidP="00262E15">
            <w:pPr>
              <w:spacing w:line="0" w:lineRule="atLeast"/>
              <w:contextualSpacing/>
              <w:rPr>
                <w:lang w:val="en-GB"/>
              </w:rPr>
            </w:pPr>
            <w:r w:rsidRPr="00E725AA">
              <w:rPr>
                <w:i/>
                <w:iCs/>
                <w:u w:val="single"/>
                <w:lang w:val="en-GB"/>
              </w:rPr>
              <w:t>Recommended Readings:</w:t>
            </w:r>
          </w:p>
          <w:p w14:paraId="723E39E0" w14:textId="0C192623" w:rsidR="00E725AA" w:rsidRDefault="00E725AA" w:rsidP="00262E15">
            <w:pPr>
              <w:spacing w:line="0" w:lineRule="atLeast"/>
              <w:contextualSpacing/>
            </w:pPr>
            <w:r w:rsidRPr="00E725AA">
              <w:t>Coombs, P. H. (1970). </w:t>
            </w:r>
            <w:r w:rsidRPr="00E725AA">
              <w:rPr>
                <w:i/>
                <w:iCs/>
              </w:rPr>
              <w:t>What is educational planning?</w:t>
            </w:r>
            <w:r w:rsidRPr="00E725AA">
              <w:t> Paris: UNESCO, International Institute for Educational Planning</w:t>
            </w:r>
            <w:r>
              <w:t xml:space="preserve">. </w:t>
            </w:r>
          </w:p>
          <w:p w14:paraId="5E381FDE" w14:textId="177EE8AD" w:rsidR="0006773F" w:rsidRPr="0006773F" w:rsidRDefault="0006773F" w:rsidP="0006773F">
            <w:pPr>
              <w:spacing w:line="0" w:lineRule="atLeast"/>
              <w:contextualSpacing/>
              <w:rPr>
                <w:lang w:val="en-GB"/>
              </w:rPr>
            </w:pPr>
            <w:r w:rsidRPr="0006773F">
              <w:rPr>
                <w:lang w:val="en-GB"/>
              </w:rPr>
              <w:t xml:space="preserve">Mintzberg, H. (1994). </w:t>
            </w:r>
            <w:r w:rsidRPr="0006773F">
              <w:rPr>
                <w:i/>
                <w:iCs/>
                <w:lang w:val="en-GB"/>
              </w:rPr>
              <w:t>The fall and rise of strategic planning</w:t>
            </w:r>
            <w:r w:rsidRPr="0006773F">
              <w:rPr>
                <w:lang w:val="en-GB"/>
              </w:rPr>
              <w:t xml:space="preserve">. </w:t>
            </w:r>
            <w:r w:rsidRPr="0006773F">
              <w:rPr>
                <w:i/>
                <w:iCs/>
                <w:lang w:val="en-GB"/>
              </w:rPr>
              <w:t>Harvard Business Review, 72</w:t>
            </w:r>
            <w:r w:rsidRPr="0006773F">
              <w:rPr>
                <w:lang w:val="en-GB"/>
              </w:rPr>
              <w:t>(1), 107–114.</w:t>
            </w:r>
            <w:r>
              <w:rPr>
                <w:lang w:val="en-GB"/>
              </w:rPr>
              <w:t xml:space="preserve">  </w:t>
            </w:r>
          </w:p>
          <w:p w14:paraId="142FB014" w14:textId="6A0B8EDF" w:rsidR="00561DF2" w:rsidRPr="00CC035A" w:rsidRDefault="00561DF2" w:rsidP="00262E15">
            <w:pPr>
              <w:spacing w:line="0" w:lineRule="atLeast"/>
              <w:contextualSpacing/>
              <w:rPr>
                <w:color w:val="000000" w:themeColor="text1"/>
              </w:rPr>
            </w:pPr>
          </w:p>
        </w:tc>
      </w:tr>
      <w:tr w:rsidR="00C06B4B" w:rsidRPr="00262E15" w14:paraId="0E12507E" w14:textId="77777777" w:rsidTr="0040151A">
        <w:trPr>
          <w:trHeight w:val="557"/>
        </w:trPr>
        <w:tc>
          <w:tcPr>
            <w:tcW w:w="1560" w:type="dxa"/>
          </w:tcPr>
          <w:p w14:paraId="4270406E" w14:textId="5AC6F935" w:rsidR="00262E15" w:rsidRPr="00262E15" w:rsidRDefault="00262E15" w:rsidP="00262E15">
            <w:pPr>
              <w:spacing w:line="0" w:lineRule="atLeast"/>
              <w:contextualSpacing/>
              <w:rPr>
                <w:b/>
                <w:bCs/>
                <w:lang w:val="en-GB"/>
              </w:rPr>
            </w:pPr>
            <w:r w:rsidRPr="00262E15">
              <w:rPr>
                <w:b/>
                <w:bCs/>
                <w:lang w:val="en-GB"/>
              </w:rPr>
              <w:t>Session 4</w:t>
            </w:r>
          </w:p>
          <w:p w14:paraId="1635E948" w14:textId="1B282C0F" w:rsidR="00262E15" w:rsidRPr="00262E15" w:rsidRDefault="00A40170" w:rsidP="00262E15">
            <w:pPr>
              <w:spacing w:line="0" w:lineRule="atLeast"/>
              <w:contextualSpacing/>
              <w:rPr>
                <w:b/>
                <w:bCs/>
                <w:lang w:val="en-GB"/>
              </w:rPr>
            </w:pPr>
            <w:r>
              <w:rPr>
                <w:lang w:val="en-GB"/>
              </w:rPr>
              <w:t>March 1</w:t>
            </w:r>
            <w:r w:rsidR="00EC4279">
              <w:rPr>
                <w:lang w:val="en-GB"/>
              </w:rPr>
              <w:t>6</w:t>
            </w:r>
            <w:r>
              <w:rPr>
                <w:lang w:val="en-GB"/>
              </w:rPr>
              <w:t xml:space="preserve"> </w:t>
            </w:r>
          </w:p>
        </w:tc>
        <w:tc>
          <w:tcPr>
            <w:tcW w:w="8080" w:type="dxa"/>
          </w:tcPr>
          <w:p w14:paraId="2D43234F" w14:textId="0E8A2D68" w:rsidR="00262E15" w:rsidRDefault="00E03A96" w:rsidP="00262E15">
            <w:pPr>
              <w:spacing w:line="0" w:lineRule="atLeast"/>
              <w:contextualSpacing/>
              <w:rPr>
                <w:b/>
                <w:bCs/>
                <w:lang w:val="en-GB"/>
              </w:rPr>
            </w:pPr>
            <w:r>
              <w:rPr>
                <w:b/>
                <w:bCs/>
                <w:lang w:val="en-GB"/>
              </w:rPr>
              <w:t xml:space="preserve">Doing Research on Educational Programs: </w:t>
            </w:r>
            <w:r w:rsidR="00EE6CC0">
              <w:rPr>
                <w:b/>
                <w:bCs/>
                <w:lang w:val="en-GB"/>
              </w:rPr>
              <w:t xml:space="preserve">Evidence, Change and Design </w:t>
            </w:r>
          </w:p>
          <w:p w14:paraId="2EAF1701" w14:textId="64C1BF0C" w:rsidR="008B2486" w:rsidRPr="0040151A" w:rsidRDefault="00D87AC9" w:rsidP="004C6011">
            <w:pPr>
              <w:spacing w:line="0" w:lineRule="atLeast"/>
              <w:contextualSpacing/>
              <w:rPr>
                <w:lang w:val="en-GB"/>
              </w:rPr>
            </w:pPr>
            <w:r>
              <w:rPr>
                <w:lang w:val="en-GB"/>
              </w:rPr>
              <w:t>The focus in this session is to explore broad strokes research on educational program planning and project management. It will take stock of evaluation lessons</w:t>
            </w:r>
            <w:r w:rsidR="008B2486">
              <w:rPr>
                <w:lang w:val="en-GB"/>
              </w:rPr>
              <w:t>/research</w:t>
            </w:r>
            <w:r>
              <w:rPr>
                <w:lang w:val="en-GB"/>
              </w:rPr>
              <w:t xml:space="preserve"> </w:t>
            </w:r>
            <w:r w:rsidR="008B2486">
              <w:rPr>
                <w:lang w:val="en-GB"/>
              </w:rPr>
              <w:t xml:space="preserve">and other forms of evidence as springboards for program design and planning. In the second half of the session, we will discuss how the expected </w:t>
            </w:r>
            <w:r w:rsidR="008B2486">
              <w:rPr>
                <w:lang w:val="en-GB"/>
              </w:rPr>
              <w:lastRenderedPageBreak/>
              <w:t>final output of the course is to be positioned.</w:t>
            </w:r>
          </w:p>
        </w:tc>
      </w:tr>
      <w:tr w:rsidR="00C06B4B" w:rsidRPr="00262E15" w14:paraId="4F8468F2" w14:textId="77777777" w:rsidTr="002F4CC6">
        <w:tc>
          <w:tcPr>
            <w:tcW w:w="1560" w:type="dxa"/>
          </w:tcPr>
          <w:p w14:paraId="120DB123" w14:textId="5EDD1FC7" w:rsidR="00262E15" w:rsidRPr="00262E15" w:rsidRDefault="00262E15" w:rsidP="00262E15">
            <w:pPr>
              <w:spacing w:line="0" w:lineRule="atLeast"/>
              <w:contextualSpacing/>
              <w:rPr>
                <w:b/>
                <w:bCs/>
                <w:lang w:val="en-GB"/>
              </w:rPr>
            </w:pPr>
            <w:r w:rsidRPr="00262E15">
              <w:rPr>
                <w:b/>
                <w:bCs/>
                <w:lang w:val="en-GB"/>
              </w:rPr>
              <w:lastRenderedPageBreak/>
              <w:t>Session 5</w:t>
            </w:r>
          </w:p>
          <w:p w14:paraId="71A19017" w14:textId="1E535A18" w:rsidR="00262E15" w:rsidRPr="00262E15" w:rsidRDefault="00A40170" w:rsidP="00262E15">
            <w:pPr>
              <w:spacing w:line="0" w:lineRule="atLeast"/>
              <w:contextualSpacing/>
              <w:rPr>
                <w:b/>
                <w:bCs/>
                <w:lang w:val="en-GB"/>
              </w:rPr>
            </w:pPr>
            <w:r>
              <w:rPr>
                <w:lang w:val="en-GB"/>
              </w:rPr>
              <w:t xml:space="preserve">March </w:t>
            </w:r>
            <w:r w:rsidR="00EC4279">
              <w:rPr>
                <w:lang w:val="en-GB"/>
              </w:rPr>
              <w:t>23</w:t>
            </w:r>
          </w:p>
        </w:tc>
        <w:tc>
          <w:tcPr>
            <w:tcW w:w="8080" w:type="dxa"/>
          </w:tcPr>
          <w:p w14:paraId="5E21C268" w14:textId="57E36C07" w:rsidR="00262E15" w:rsidRPr="004C6011" w:rsidRDefault="00C67401" w:rsidP="00262E15">
            <w:pPr>
              <w:spacing w:line="0" w:lineRule="atLeast"/>
              <w:contextualSpacing/>
              <w:rPr>
                <w:b/>
                <w:bCs/>
                <w:lang w:val="en-GB"/>
              </w:rPr>
            </w:pPr>
            <w:r w:rsidRPr="004C6011">
              <w:rPr>
                <w:b/>
                <w:bCs/>
                <w:lang w:val="en-GB"/>
              </w:rPr>
              <w:t xml:space="preserve">Diagnosing and Appraising Educational </w:t>
            </w:r>
            <w:r w:rsidR="008B2486" w:rsidRPr="004C6011">
              <w:rPr>
                <w:b/>
                <w:bCs/>
                <w:lang w:val="en-GB"/>
              </w:rPr>
              <w:t xml:space="preserve">Problems and Needs </w:t>
            </w:r>
          </w:p>
          <w:p w14:paraId="7DE800A1" w14:textId="4D798069" w:rsidR="008B2486" w:rsidRPr="004C6011" w:rsidRDefault="00D9147F" w:rsidP="00C67401">
            <w:pPr>
              <w:spacing w:line="0" w:lineRule="atLeast"/>
              <w:contextualSpacing/>
              <w:rPr>
                <w:lang w:val="en-GB"/>
              </w:rPr>
            </w:pPr>
            <w:r w:rsidRPr="004C6011">
              <w:rPr>
                <w:lang w:val="en-GB"/>
              </w:rPr>
              <w:t xml:space="preserve">The session engages students in critical readings on the processes by which educational needs and challenges are diagnosed and appraised as part of the first stage </w:t>
            </w:r>
            <w:r w:rsidR="00B02928" w:rsidRPr="004C6011">
              <w:rPr>
                <w:lang w:val="en-GB"/>
              </w:rPr>
              <w:t>in</w:t>
            </w:r>
            <w:r w:rsidRPr="004C6011">
              <w:rPr>
                <w:lang w:val="en-GB"/>
              </w:rPr>
              <w:t xml:space="preserve"> program planning and management.</w:t>
            </w:r>
            <w:r w:rsidR="008B2486" w:rsidRPr="004C6011">
              <w:rPr>
                <w:lang w:val="en-GB"/>
              </w:rPr>
              <w:t xml:space="preserve"> We interrogate here needs assessment as a political and normative process informed by various social, economic and political determinants that operate within internal and external environments of an education organisation/context.</w:t>
            </w:r>
          </w:p>
          <w:p w14:paraId="3DA0534D" w14:textId="77777777" w:rsidR="008B2486" w:rsidRPr="004C6011" w:rsidRDefault="008B2486" w:rsidP="00C67401">
            <w:pPr>
              <w:spacing w:line="0" w:lineRule="atLeast"/>
              <w:contextualSpacing/>
              <w:rPr>
                <w:lang w:val="en-GB"/>
              </w:rPr>
            </w:pPr>
          </w:p>
          <w:p w14:paraId="6C7B9552" w14:textId="5C1C5915" w:rsidR="008B2486" w:rsidRPr="004C6011" w:rsidRDefault="008B2486" w:rsidP="00C67401">
            <w:pPr>
              <w:spacing w:line="0" w:lineRule="atLeast"/>
              <w:contextualSpacing/>
              <w:rPr>
                <w:i/>
                <w:iCs/>
                <w:color w:val="000000" w:themeColor="text1"/>
                <w:u w:val="single"/>
              </w:rPr>
            </w:pPr>
            <w:r w:rsidRPr="004C6011">
              <w:rPr>
                <w:i/>
                <w:iCs/>
                <w:color w:val="000000" w:themeColor="text1"/>
                <w:u w:val="single"/>
              </w:rPr>
              <w:t>Recommended Readings:</w:t>
            </w:r>
          </w:p>
          <w:p w14:paraId="2C6FA063" w14:textId="13BDCD08" w:rsidR="004C6011" w:rsidRPr="004C6011" w:rsidRDefault="004C6011" w:rsidP="004C6011">
            <w:pPr>
              <w:pStyle w:val="Level1"/>
              <w:widowControl/>
              <w:numPr>
                <w:ilvl w:val="0"/>
                <w:numId w:val="0"/>
              </w:numPr>
              <w:tabs>
                <w:tab w:val="left" w:pos="-1440"/>
              </w:tabs>
              <w:spacing w:line="0" w:lineRule="atLeast"/>
              <w:rPr>
                <w:iCs/>
                <w:sz w:val="24"/>
                <w:lang w:eastAsia="zh-TW"/>
              </w:rPr>
            </w:pPr>
            <w:r w:rsidRPr="004C6011">
              <w:rPr>
                <w:iCs/>
                <w:sz w:val="24"/>
                <w:lang w:eastAsia="zh-TW"/>
              </w:rPr>
              <w:t xml:space="preserve">Bryson, J. M. (2018). Strategic Planning for Public and Nonprofit Organizations (5th ed.). Wiley. (Chapters 5-6) </w:t>
            </w:r>
          </w:p>
          <w:p w14:paraId="52C9528E" w14:textId="2A21BB1E" w:rsidR="00F245B7" w:rsidRDefault="004C6011" w:rsidP="004C6011">
            <w:pPr>
              <w:pStyle w:val="Level1"/>
              <w:widowControl/>
              <w:numPr>
                <w:ilvl w:val="0"/>
                <w:numId w:val="0"/>
              </w:numPr>
              <w:tabs>
                <w:tab w:val="left" w:pos="-1440"/>
              </w:tabs>
              <w:spacing w:line="0" w:lineRule="atLeast"/>
              <w:rPr>
                <w:iCs/>
                <w:sz w:val="24"/>
                <w:lang w:eastAsia="zh-TW"/>
              </w:rPr>
            </w:pPr>
            <w:r w:rsidRPr="004C6011">
              <w:rPr>
                <w:iCs/>
                <w:sz w:val="24"/>
                <w:lang w:eastAsia="zh-TW"/>
              </w:rPr>
              <w:t>Hung, H. L., &amp; Altschuld, J. W. (2013). Challenges in needs assessment: the Head Start needs assessment national analysis. </w:t>
            </w:r>
            <w:r w:rsidRPr="004C6011">
              <w:rPr>
                <w:i/>
                <w:iCs/>
                <w:sz w:val="24"/>
                <w:lang w:eastAsia="zh-TW"/>
              </w:rPr>
              <w:t>Evaluation and program planning</w:t>
            </w:r>
            <w:r w:rsidRPr="004C6011">
              <w:rPr>
                <w:iCs/>
                <w:sz w:val="24"/>
                <w:lang w:eastAsia="zh-TW"/>
              </w:rPr>
              <w:t>, </w:t>
            </w:r>
            <w:r w:rsidRPr="004C6011">
              <w:rPr>
                <w:i/>
                <w:iCs/>
                <w:sz w:val="24"/>
                <w:lang w:eastAsia="zh-TW"/>
              </w:rPr>
              <w:t>38</w:t>
            </w:r>
            <w:r w:rsidRPr="004C6011">
              <w:rPr>
                <w:iCs/>
                <w:sz w:val="24"/>
                <w:lang w:eastAsia="zh-TW"/>
              </w:rPr>
              <w:t xml:space="preserve">, 13–18. </w:t>
            </w:r>
            <w:hyperlink r:id="rId11" w:history="1">
              <w:r w:rsidRPr="004C6011">
                <w:rPr>
                  <w:rStyle w:val="Hyperlink"/>
                  <w:iCs/>
                  <w:sz w:val="24"/>
                  <w:lang w:eastAsia="zh-TW"/>
                </w:rPr>
                <w:t>https://doi.org/10.1016/j.evalprogplan.2012.10.001</w:t>
              </w:r>
            </w:hyperlink>
          </w:p>
          <w:p w14:paraId="72CFE8B5" w14:textId="77777777" w:rsidR="004C6011" w:rsidRDefault="004C6011" w:rsidP="004C6011">
            <w:pPr>
              <w:pStyle w:val="Level1"/>
              <w:widowControl/>
              <w:numPr>
                <w:ilvl w:val="0"/>
                <w:numId w:val="0"/>
              </w:numPr>
              <w:tabs>
                <w:tab w:val="left" w:pos="-1440"/>
              </w:tabs>
              <w:spacing w:line="0" w:lineRule="atLeast"/>
              <w:rPr>
                <w:iCs/>
                <w:sz w:val="24"/>
                <w:lang w:eastAsia="zh-TW"/>
              </w:rPr>
            </w:pPr>
            <w:r w:rsidRPr="004C6011">
              <w:rPr>
                <w:iCs/>
                <w:sz w:val="24"/>
                <w:lang w:eastAsia="zh-TW"/>
              </w:rPr>
              <w:t xml:space="preserve">Sava, S. (2012). </w:t>
            </w:r>
            <w:r w:rsidRPr="004C6011">
              <w:rPr>
                <w:i/>
                <w:iCs/>
                <w:sz w:val="24"/>
                <w:lang w:eastAsia="zh-TW"/>
              </w:rPr>
              <w:t>Needs analysis and programme planning in adult education</w:t>
            </w:r>
            <w:r w:rsidRPr="004C6011">
              <w:rPr>
                <w:iCs/>
                <w:sz w:val="24"/>
                <w:lang w:eastAsia="zh-TW"/>
              </w:rPr>
              <w:t>. University of Duisburg-Essen. (Units 2-3, pp. 13-39)</w:t>
            </w:r>
          </w:p>
          <w:p w14:paraId="06964FEA" w14:textId="753C313E" w:rsidR="000E1225" w:rsidRPr="004C6011" w:rsidRDefault="000E1225" w:rsidP="004C6011">
            <w:pPr>
              <w:pStyle w:val="Level1"/>
              <w:widowControl/>
              <w:numPr>
                <w:ilvl w:val="0"/>
                <w:numId w:val="0"/>
              </w:numPr>
              <w:tabs>
                <w:tab w:val="left" w:pos="-1440"/>
              </w:tabs>
              <w:spacing w:line="0" w:lineRule="atLeast"/>
              <w:rPr>
                <w:iCs/>
                <w:sz w:val="24"/>
                <w:lang w:eastAsia="zh-TW"/>
              </w:rPr>
            </w:pPr>
          </w:p>
        </w:tc>
      </w:tr>
      <w:tr w:rsidR="00F40754" w:rsidRPr="00262E15" w14:paraId="34FD497F" w14:textId="77777777" w:rsidTr="002F4CC6">
        <w:trPr>
          <w:trHeight w:val="703"/>
        </w:trPr>
        <w:tc>
          <w:tcPr>
            <w:tcW w:w="1560" w:type="dxa"/>
          </w:tcPr>
          <w:p w14:paraId="49966B3F" w14:textId="7FC71B7D" w:rsidR="00262E15" w:rsidRPr="00262E15" w:rsidRDefault="00262E15" w:rsidP="00262E15">
            <w:pPr>
              <w:spacing w:line="0" w:lineRule="atLeast"/>
              <w:contextualSpacing/>
              <w:rPr>
                <w:lang w:val="en-GB"/>
              </w:rPr>
            </w:pPr>
            <w:r w:rsidRPr="00262E15">
              <w:rPr>
                <w:b/>
                <w:bCs/>
                <w:lang w:val="en-GB"/>
              </w:rPr>
              <w:t>Session 6</w:t>
            </w:r>
          </w:p>
          <w:p w14:paraId="69458287" w14:textId="4BF89A18" w:rsidR="00262E15" w:rsidRPr="00262E15" w:rsidRDefault="00A40170" w:rsidP="00262E15">
            <w:pPr>
              <w:spacing w:line="0" w:lineRule="atLeast"/>
              <w:contextualSpacing/>
              <w:rPr>
                <w:b/>
                <w:bCs/>
                <w:lang w:val="en-GB"/>
              </w:rPr>
            </w:pPr>
            <w:r>
              <w:rPr>
                <w:lang w:val="en-GB"/>
              </w:rPr>
              <w:t xml:space="preserve">March </w:t>
            </w:r>
            <w:r w:rsidR="00EC4279">
              <w:rPr>
                <w:lang w:val="en-GB"/>
              </w:rPr>
              <w:t>30</w:t>
            </w:r>
            <w:r w:rsidR="00262E15" w:rsidRPr="00262E15">
              <w:rPr>
                <w:lang w:val="en-GB"/>
              </w:rPr>
              <w:t xml:space="preserve"> </w:t>
            </w:r>
          </w:p>
        </w:tc>
        <w:tc>
          <w:tcPr>
            <w:tcW w:w="8080" w:type="dxa"/>
          </w:tcPr>
          <w:p w14:paraId="7E3149B5" w14:textId="04A9DCC8" w:rsidR="00003C92" w:rsidRPr="00262E15" w:rsidRDefault="008B2486" w:rsidP="00003C92">
            <w:pPr>
              <w:spacing w:line="0" w:lineRule="atLeast"/>
              <w:contextualSpacing/>
              <w:rPr>
                <w:b/>
                <w:bCs/>
                <w:lang w:val="en-GB"/>
              </w:rPr>
            </w:pPr>
            <w:r>
              <w:rPr>
                <w:b/>
                <w:bCs/>
                <w:lang w:val="en-GB"/>
              </w:rPr>
              <w:t xml:space="preserve">Strategy and Goal Formation: Formal School </w:t>
            </w:r>
            <w:r w:rsidR="00003C92">
              <w:rPr>
                <w:b/>
                <w:bCs/>
                <w:lang w:val="en-GB"/>
              </w:rPr>
              <w:t xml:space="preserve">Settings </w:t>
            </w:r>
          </w:p>
          <w:p w14:paraId="2EA82141" w14:textId="77777777" w:rsidR="008B2486" w:rsidRDefault="00003C92" w:rsidP="00003C92">
            <w:pPr>
              <w:spacing w:line="0" w:lineRule="atLeast"/>
              <w:contextualSpacing/>
              <w:rPr>
                <w:lang w:val="en-GB"/>
              </w:rPr>
            </w:pPr>
            <w:r w:rsidRPr="008B2486">
              <w:rPr>
                <w:lang w:val="en-GB"/>
              </w:rPr>
              <w:t xml:space="preserve">The session will highlight 2-3 cases of educational programs designed for formal school settings which may include but not limited to the ff: improving learning outcomes e.g., curricular or pedagogical programs to support or complement student learning; or organisational development programs e.g., mentoring programs for teachers, facilities and support developmental programs, etc. </w:t>
            </w:r>
          </w:p>
          <w:p w14:paraId="70112EDD" w14:textId="77777777" w:rsidR="008B2486" w:rsidRDefault="008B2486" w:rsidP="00003C92">
            <w:pPr>
              <w:spacing w:line="0" w:lineRule="atLeast"/>
              <w:contextualSpacing/>
              <w:rPr>
                <w:lang w:val="en-GB"/>
              </w:rPr>
            </w:pPr>
          </w:p>
          <w:p w14:paraId="50718079" w14:textId="3D7B69BA" w:rsidR="008B2486" w:rsidRDefault="008B2486" w:rsidP="00003C92">
            <w:pPr>
              <w:spacing w:line="0" w:lineRule="atLeast"/>
              <w:contextualSpacing/>
              <w:rPr>
                <w:lang w:val="en-GB"/>
              </w:rPr>
            </w:pPr>
            <w:r>
              <w:rPr>
                <w:lang w:val="en-GB"/>
              </w:rPr>
              <w:t xml:space="preserve">We distinguish between instructional and organisational development programs in formal schools, and critically examine strategic goal-setting as part of strategic management and planning. We also discuss the issues of accountability and bureaucracy as critical factors in this context. </w:t>
            </w:r>
          </w:p>
          <w:p w14:paraId="2E5B34F8" w14:textId="77777777" w:rsidR="008B2486" w:rsidRDefault="008B2486" w:rsidP="00003C92">
            <w:pPr>
              <w:spacing w:line="0" w:lineRule="atLeast"/>
              <w:contextualSpacing/>
              <w:rPr>
                <w:lang w:val="en-GB"/>
              </w:rPr>
            </w:pPr>
          </w:p>
          <w:p w14:paraId="79A3F557" w14:textId="1DE3F355" w:rsidR="008B2486" w:rsidRDefault="008B2486" w:rsidP="00003C92">
            <w:pPr>
              <w:spacing w:line="0" w:lineRule="atLeast"/>
              <w:contextualSpacing/>
              <w:rPr>
                <w:i/>
                <w:iCs/>
                <w:u w:val="single"/>
                <w:lang w:val="en-GB"/>
              </w:rPr>
            </w:pPr>
            <w:r w:rsidRPr="008B2486">
              <w:rPr>
                <w:i/>
                <w:iCs/>
                <w:u w:val="single"/>
                <w:lang w:val="en-GB"/>
              </w:rPr>
              <w:t>Recommended Readings:</w:t>
            </w:r>
          </w:p>
          <w:p w14:paraId="5F8C7597" w14:textId="4286F705" w:rsidR="000E1225" w:rsidRPr="000E1225" w:rsidRDefault="000E1225" w:rsidP="00003C92">
            <w:pPr>
              <w:spacing w:line="0" w:lineRule="atLeast"/>
              <w:contextualSpacing/>
              <w:rPr>
                <w:lang w:val="en-GB"/>
              </w:rPr>
            </w:pPr>
            <w:r w:rsidRPr="000E1225">
              <w:t>Hatton E (2001), " School development planning in a small primary school ‐ Addressing the challenge in rural NSW". </w:t>
            </w:r>
            <w:r w:rsidRPr="000E1225">
              <w:rPr>
                <w:i/>
                <w:iCs/>
              </w:rPr>
              <w:t>Journal of Educational Administration</w:t>
            </w:r>
            <w:r w:rsidRPr="000E1225">
              <w:t>, Vol. 39 No. 2 pp. 118–133, doi: </w:t>
            </w:r>
            <w:hyperlink r:id="rId12" w:tgtFrame="_blank" w:history="1">
              <w:r w:rsidRPr="000E1225">
                <w:rPr>
                  <w:rStyle w:val="Hyperlink"/>
                </w:rPr>
                <w:t>https://doi.org/10.1108/09578230110386241</w:t>
              </w:r>
            </w:hyperlink>
          </w:p>
          <w:p w14:paraId="1BD2FCA6" w14:textId="77777777" w:rsidR="00ED1834" w:rsidRDefault="000E1225" w:rsidP="005511B5">
            <w:pPr>
              <w:spacing w:line="0" w:lineRule="atLeast"/>
              <w:contextualSpacing/>
              <w:rPr>
                <w:lang w:val="en-GB"/>
              </w:rPr>
            </w:pPr>
            <w:r w:rsidRPr="000E1225">
              <w:t xml:space="preserve">Yemini, M., Oplatka, I., &amp; Sagie, N. (2018). </w:t>
            </w:r>
            <w:r w:rsidRPr="000E1225">
              <w:rPr>
                <w:i/>
                <w:iCs/>
              </w:rPr>
              <w:t>Project Management in Schools: New Conceptualizations, Orientations, and Applications</w:t>
            </w:r>
            <w:r w:rsidRPr="000E1225">
              <w:t xml:space="preserve">. Palgrave Pivot Cham. </w:t>
            </w:r>
            <w:hyperlink r:id="rId13" w:history="1">
              <w:r w:rsidRPr="000E1225">
                <w:rPr>
                  <w:rStyle w:val="Hyperlink"/>
                </w:rPr>
                <w:t>https://doi.org/10.1007/978-3-319-78608-7</w:t>
              </w:r>
            </w:hyperlink>
          </w:p>
          <w:p w14:paraId="56D498F8" w14:textId="104DF4F0" w:rsidR="005511B5" w:rsidRPr="005511B5" w:rsidRDefault="005511B5" w:rsidP="005511B5">
            <w:pPr>
              <w:spacing w:line="0" w:lineRule="atLeast"/>
              <w:contextualSpacing/>
              <w:rPr>
                <w:lang w:val="en-GB"/>
              </w:rPr>
            </w:pPr>
          </w:p>
        </w:tc>
      </w:tr>
      <w:tr w:rsidR="00C06B4B" w:rsidRPr="00262E15" w14:paraId="4493BAF7" w14:textId="77777777" w:rsidTr="002F4CC6">
        <w:trPr>
          <w:trHeight w:val="416"/>
        </w:trPr>
        <w:tc>
          <w:tcPr>
            <w:tcW w:w="1560" w:type="dxa"/>
          </w:tcPr>
          <w:p w14:paraId="73F95A16" w14:textId="394CF608" w:rsidR="00262E15" w:rsidRPr="00262E15" w:rsidRDefault="00262E15" w:rsidP="00262E15">
            <w:pPr>
              <w:spacing w:line="0" w:lineRule="atLeast"/>
              <w:contextualSpacing/>
              <w:rPr>
                <w:b/>
                <w:bCs/>
                <w:lang w:val="en-GB"/>
              </w:rPr>
            </w:pPr>
            <w:r w:rsidRPr="00262E15">
              <w:rPr>
                <w:b/>
                <w:bCs/>
                <w:lang w:val="en-GB"/>
              </w:rPr>
              <w:t>Session 7</w:t>
            </w:r>
          </w:p>
          <w:p w14:paraId="24E3D41F" w14:textId="4A591E44" w:rsidR="00262E15" w:rsidRDefault="00EC4279" w:rsidP="00262E15">
            <w:pPr>
              <w:spacing w:line="0" w:lineRule="atLeast"/>
              <w:contextualSpacing/>
              <w:rPr>
                <w:lang w:val="en-GB"/>
              </w:rPr>
            </w:pPr>
            <w:r>
              <w:rPr>
                <w:lang w:val="en-GB"/>
              </w:rPr>
              <w:t>April 6</w:t>
            </w:r>
          </w:p>
          <w:p w14:paraId="534D6B59" w14:textId="2E43BA2C" w:rsidR="00262E15" w:rsidRPr="002B432D" w:rsidRDefault="00262E15" w:rsidP="00262E15">
            <w:pPr>
              <w:spacing w:line="0" w:lineRule="atLeast"/>
              <w:contextualSpacing/>
              <w:rPr>
                <w:b/>
                <w:bCs/>
                <w:color w:val="EE0000"/>
                <w:sz w:val="20"/>
                <w:szCs w:val="20"/>
                <w:lang w:val="en-GB"/>
              </w:rPr>
            </w:pPr>
          </w:p>
        </w:tc>
        <w:tc>
          <w:tcPr>
            <w:tcW w:w="8080" w:type="dxa"/>
          </w:tcPr>
          <w:p w14:paraId="71D62794" w14:textId="65C68205" w:rsidR="00003C92" w:rsidRDefault="00003C92" w:rsidP="00262E15">
            <w:pPr>
              <w:spacing w:line="0" w:lineRule="atLeast"/>
              <w:contextualSpacing/>
              <w:rPr>
                <w:b/>
                <w:bCs/>
                <w:lang w:val="en-GB"/>
              </w:rPr>
            </w:pPr>
            <w:r>
              <w:rPr>
                <w:b/>
                <w:bCs/>
                <w:lang w:val="en-GB"/>
              </w:rPr>
              <w:t xml:space="preserve">No session: Reading week </w:t>
            </w:r>
          </w:p>
          <w:p w14:paraId="227D972C" w14:textId="77777777" w:rsidR="00003C92" w:rsidRDefault="00003C92" w:rsidP="00262E15">
            <w:pPr>
              <w:spacing w:line="0" w:lineRule="atLeast"/>
              <w:contextualSpacing/>
              <w:rPr>
                <w:b/>
                <w:bCs/>
                <w:lang w:val="en-GB"/>
              </w:rPr>
            </w:pPr>
          </w:p>
          <w:p w14:paraId="7EAFE5B5" w14:textId="77777777" w:rsidR="00C45C99" w:rsidRDefault="00003C92" w:rsidP="00003C92">
            <w:pPr>
              <w:spacing w:line="0" w:lineRule="atLeast"/>
              <w:contextualSpacing/>
              <w:rPr>
                <w:i/>
                <w:iCs/>
                <w:lang w:val="en-GB"/>
              </w:rPr>
            </w:pPr>
            <w:r w:rsidRPr="00003C92">
              <w:rPr>
                <w:i/>
                <w:iCs/>
                <w:lang w:val="en-GB"/>
              </w:rPr>
              <w:t xml:space="preserve">Asynchronous task: Students will prepare/submit by the next meeting 1-2 ideas for their final paper. It will contain a short description of the subject of analysis (summary of educational program) and 1-2 research questions for the paper. </w:t>
            </w:r>
          </w:p>
          <w:p w14:paraId="6F87B766" w14:textId="1BC3AB09" w:rsidR="00A355A1" w:rsidRPr="009A6C48" w:rsidRDefault="00A355A1" w:rsidP="00003C92">
            <w:pPr>
              <w:spacing w:line="0" w:lineRule="atLeast"/>
              <w:contextualSpacing/>
              <w:rPr>
                <w:i/>
                <w:iCs/>
                <w:lang w:val="en-GB"/>
              </w:rPr>
            </w:pPr>
          </w:p>
        </w:tc>
      </w:tr>
      <w:tr w:rsidR="00C06B4B" w:rsidRPr="00262E15" w14:paraId="50C86B18" w14:textId="77777777" w:rsidTr="002F4CC6">
        <w:tc>
          <w:tcPr>
            <w:tcW w:w="1560" w:type="dxa"/>
          </w:tcPr>
          <w:p w14:paraId="32DB3936" w14:textId="2C193756" w:rsidR="00262E15" w:rsidRPr="00262E15" w:rsidRDefault="00262E15" w:rsidP="00262E15">
            <w:pPr>
              <w:spacing w:line="0" w:lineRule="atLeast"/>
              <w:contextualSpacing/>
              <w:rPr>
                <w:b/>
                <w:bCs/>
                <w:lang w:val="en-GB"/>
              </w:rPr>
            </w:pPr>
            <w:r w:rsidRPr="00262E15">
              <w:rPr>
                <w:b/>
                <w:bCs/>
                <w:lang w:val="en-GB"/>
              </w:rPr>
              <w:t>Session 8</w:t>
            </w:r>
          </w:p>
          <w:p w14:paraId="57BB15F5" w14:textId="19FFDF6E" w:rsidR="00262E15" w:rsidRPr="00262E15" w:rsidRDefault="00EC4279" w:rsidP="00262E15">
            <w:pPr>
              <w:spacing w:line="0" w:lineRule="atLeast"/>
              <w:contextualSpacing/>
              <w:rPr>
                <w:b/>
                <w:bCs/>
                <w:lang w:val="en-GB"/>
              </w:rPr>
            </w:pPr>
            <w:r>
              <w:rPr>
                <w:lang w:val="en-GB"/>
              </w:rPr>
              <w:t>April 13</w:t>
            </w:r>
            <w:r w:rsidR="00262E15" w:rsidRPr="00262E15">
              <w:rPr>
                <w:lang w:val="en-GB"/>
              </w:rPr>
              <w:t xml:space="preserve"> </w:t>
            </w:r>
          </w:p>
        </w:tc>
        <w:tc>
          <w:tcPr>
            <w:tcW w:w="8080" w:type="dxa"/>
          </w:tcPr>
          <w:p w14:paraId="3EE02E0D" w14:textId="75B1BB56" w:rsidR="00CD2E21" w:rsidRDefault="00CD2E21" w:rsidP="00CD2E21">
            <w:pPr>
              <w:spacing w:line="0" w:lineRule="atLeast"/>
              <w:contextualSpacing/>
              <w:rPr>
                <w:b/>
                <w:bCs/>
                <w:lang w:val="en-GB"/>
              </w:rPr>
            </w:pPr>
            <w:r>
              <w:rPr>
                <w:b/>
                <w:bCs/>
                <w:lang w:val="en-GB"/>
              </w:rPr>
              <w:t xml:space="preserve">Strategy and Goal Formation in Alternative Educational Systems </w:t>
            </w:r>
          </w:p>
          <w:p w14:paraId="2B6E2A20" w14:textId="77777777" w:rsidR="00C342FF" w:rsidRDefault="00CD2E21" w:rsidP="00CD2E21">
            <w:pPr>
              <w:spacing w:line="0" w:lineRule="atLeast"/>
              <w:contextualSpacing/>
              <w:rPr>
                <w:lang w:val="en-GB"/>
              </w:rPr>
            </w:pPr>
            <w:r w:rsidRPr="00CD2E21">
              <w:rPr>
                <w:lang w:val="en-GB"/>
              </w:rPr>
              <w:t xml:space="preserve">Similar to the </w:t>
            </w:r>
            <w:r>
              <w:rPr>
                <w:lang w:val="en-GB"/>
              </w:rPr>
              <w:t>previous session</w:t>
            </w:r>
            <w:r w:rsidRPr="00CD2E21">
              <w:rPr>
                <w:lang w:val="en-GB"/>
              </w:rPr>
              <w:t>, here we focus on 2-3 examples of educational programs designed within alternative educational systems i.e., non-formal learning programs such as those offered by training institutions, educational non-profits,</w:t>
            </w:r>
            <w:r>
              <w:rPr>
                <w:lang w:val="en-GB"/>
              </w:rPr>
              <w:t xml:space="preserve"> grassroots and community organisations, </w:t>
            </w:r>
            <w:r w:rsidRPr="00CD2E21">
              <w:rPr>
                <w:lang w:val="en-GB"/>
              </w:rPr>
              <w:t xml:space="preserve">etc. This can cover examples </w:t>
            </w:r>
            <w:r w:rsidRPr="00CD2E21">
              <w:rPr>
                <w:lang w:val="en-GB"/>
              </w:rPr>
              <w:lastRenderedPageBreak/>
              <w:t xml:space="preserve">such as internship programs, collaborative learning programs, community-based educational programs, etc. </w:t>
            </w:r>
          </w:p>
          <w:p w14:paraId="502558D4" w14:textId="77777777" w:rsidR="00C342FF" w:rsidRDefault="00C342FF" w:rsidP="00CD2E21">
            <w:pPr>
              <w:spacing w:line="0" w:lineRule="atLeast"/>
              <w:contextualSpacing/>
              <w:rPr>
                <w:lang w:val="en-GB"/>
              </w:rPr>
            </w:pPr>
          </w:p>
          <w:p w14:paraId="60AA0926" w14:textId="00836C4D" w:rsidR="00C342FF" w:rsidRDefault="00C342FF" w:rsidP="00CD2E21">
            <w:pPr>
              <w:spacing w:line="0" w:lineRule="atLeast"/>
              <w:contextualSpacing/>
              <w:rPr>
                <w:lang w:val="en-GB"/>
              </w:rPr>
            </w:pPr>
            <w:r>
              <w:rPr>
                <w:lang w:val="en-GB"/>
              </w:rPr>
              <w:t>In this context, we explore issues of flexibility, donor logics, and legitimacy</w:t>
            </w:r>
            <w:r w:rsidR="008A6D4E">
              <w:rPr>
                <w:lang w:val="en-GB"/>
              </w:rPr>
              <w:t xml:space="preserve"> as part of strategy and goal development</w:t>
            </w:r>
            <w:r w:rsidR="001A72A6">
              <w:rPr>
                <w:lang w:val="en-GB"/>
              </w:rPr>
              <w:t xml:space="preserve"> </w:t>
            </w:r>
            <w:r>
              <w:rPr>
                <w:lang w:val="en-GB"/>
              </w:rPr>
              <w:t xml:space="preserve">and compare lessons </w:t>
            </w:r>
            <w:r w:rsidR="008A6D4E">
              <w:rPr>
                <w:lang w:val="en-GB"/>
              </w:rPr>
              <w:t xml:space="preserve">with those of formal school settings. </w:t>
            </w:r>
            <w:r>
              <w:rPr>
                <w:lang w:val="en-GB"/>
              </w:rPr>
              <w:t xml:space="preserve"> </w:t>
            </w:r>
          </w:p>
          <w:p w14:paraId="5BC8E0A4" w14:textId="77777777" w:rsidR="00C342FF" w:rsidRDefault="00C342FF" w:rsidP="00CD2E21">
            <w:pPr>
              <w:spacing w:line="0" w:lineRule="atLeast"/>
              <w:contextualSpacing/>
              <w:rPr>
                <w:lang w:val="en-GB"/>
              </w:rPr>
            </w:pPr>
          </w:p>
          <w:p w14:paraId="748A9E60" w14:textId="19420DBE" w:rsidR="00CD2E21" w:rsidRDefault="00C342FF" w:rsidP="00CD2E21">
            <w:pPr>
              <w:spacing w:line="0" w:lineRule="atLeast"/>
              <w:contextualSpacing/>
              <w:rPr>
                <w:i/>
                <w:iCs/>
                <w:lang w:val="en-GB"/>
              </w:rPr>
            </w:pPr>
            <w:r w:rsidRPr="00C342FF">
              <w:rPr>
                <w:i/>
                <w:iCs/>
                <w:u w:val="single"/>
                <w:lang w:val="en-GB"/>
              </w:rPr>
              <w:t>Recommended Reading:</w:t>
            </w:r>
            <w:r w:rsidR="00CD2E21" w:rsidRPr="00C342FF">
              <w:rPr>
                <w:i/>
                <w:iCs/>
                <w:lang w:val="en-GB"/>
              </w:rPr>
              <w:t xml:space="preserve">  </w:t>
            </w:r>
          </w:p>
          <w:p w14:paraId="596E22C7" w14:textId="6C35D070" w:rsidR="009A33AA" w:rsidRDefault="009A33AA" w:rsidP="005511B5">
            <w:pPr>
              <w:spacing w:line="0" w:lineRule="atLeast"/>
              <w:contextualSpacing/>
              <w:rPr>
                <w:lang w:val="en-GB"/>
              </w:rPr>
            </w:pPr>
            <w:r w:rsidRPr="009A33AA">
              <w:t>Chaudhary, A. K., Diaz, J., Jayaratne, K. S. U., &amp; Assan, E. (2020). Evaluation capacity building in the nonformal education context: Challenges and strategies. </w:t>
            </w:r>
            <w:r w:rsidRPr="009A33AA">
              <w:rPr>
                <w:i/>
                <w:iCs/>
              </w:rPr>
              <w:t>Evaluation and Program Planning, 79,</w:t>
            </w:r>
            <w:r w:rsidRPr="009A33AA">
              <w:t> 101768. </w:t>
            </w:r>
          </w:p>
          <w:p w14:paraId="4CDE777C" w14:textId="04DAD01A" w:rsidR="005511B5" w:rsidRDefault="005511B5" w:rsidP="005511B5">
            <w:pPr>
              <w:spacing w:line="0" w:lineRule="atLeast"/>
              <w:contextualSpacing/>
              <w:rPr>
                <w:lang w:val="en-GB"/>
              </w:rPr>
            </w:pPr>
            <w:r w:rsidRPr="005511B5">
              <w:rPr>
                <w:lang w:val="en-GB"/>
              </w:rPr>
              <w:t>Inter-agency Network for Education in Emergencies (INEE). (2021). Policy note: Creating</w:t>
            </w:r>
            <w:r>
              <w:rPr>
                <w:lang w:val="en-GB"/>
              </w:rPr>
              <w:t xml:space="preserve"> </w:t>
            </w:r>
            <w:r w:rsidRPr="005511B5">
              <w:rPr>
                <w:lang w:val="en-GB"/>
              </w:rPr>
              <w:t>an enabling non-formal education environment for adolescents and youth. INEE.</w:t>
            </w:r>
            <w:r>
              <w:rPr>
                <w:lang w:val="en-GB"/>
              </w:rPr>
              <w:t xml:space="preserve"> </w:t>
            </w:r>
            <w:hyperlink r:id="rId14" w:history="1">
              <w:r w:rsidRPr="005511B5">
                <w:rPr>
                  <w:rStyle w:val="Hyperlink"/>
                  <w:lang w:val="en-GB"/>
                </w:rPr>
                <w:t>https://inee.org/resources/creating-enabling-non-formal-education-environment-adolescents-and-youth</w:t>
              </w:r>
            </w:hyperlink>
          </w:p>
          <w:p w14:paraId="490D4138" w14:textId="77777777" w:rsidR="00262E15" w:rsidRDefault="009A33AA" w:rsidP="009A33AA">
            <w:pPr>
              <w:spacing w:line="0" w:lineRule="atLeast"/>
              <w:contextualSpacing/>
              <w:rPr>
                <w:lang w:val="en-GB"/>
              </w:rPr>
            </w:pPr>
            <w:r w:rsidRPr="009A33AA">
              <w:rPr>
                <w:lang w:val="en-GB"/>
              </w:rPr>
              <w:t xml:space="preserve">Organizing Engagement. (2025, January 29). </w:t>
            </w:r>
            <w:r w:rsidRPr="009A33AA">
              <w:rPr>
                <w:i/>
                <w:iCs/>
                <w:lang w:val="en-GB"/>
              </w:rPr>
              <w:t>Ladder of citizen participation</w:t>
            </w:r>
            <w:r w:rsidRPr="009A33AA">
              <w:rPr>
                <w:lang w:val="en-GB"/>
              </w:rPr>
              <w:t xml:space="preserve">. Organizing Engagement. </w:t>
            </w:r>
            <w:hyperlink r:id="rId15" w:history="1">
              <w:r w:rsidRPr="009A33AA">
                <w:rPr>
                  <w:rStyle w:val="Hyperlink"/>
                  <w:lang w:val="en-GB"/>
                </w:rPr>
                <w:t>https://organizingengagement.org/models/ladder-of-citizen-participation/?print=print</w:t>
              </w:r>
            </w:hyperlink>
          </w:p>
          <w:p w14:paraId="251FD202" w14:textId="1B22105F" w:rsidR="009A33AA" w:rsidRPr="009A33AA" w:rsidRDefault="009A33AA" w:rsidP="009A33AA">
            <w:pPr>
              <w:spacing w:line="0" w:lineRule="atLeast"/>
              <w:contextualSpacing/>
              <w:rPr>
                <w:lang w:val="en-GB"/>
              </w:rPr>
            </w:pPr>
          </w:p>
        </w:tc>
      </w:tr>
      <w:tr w:rsidR="00C06B4B" w:rsidRPr="00262E15" w14:paraId="3D8CA885" w14:textId="77777777" w:rsidTr="002F4CC6">
        <w:tc>
          <w:tcPr>
            <w:tcW w:w="1560" w:type="dxa"/>
          </w:tcPr>
          <w:p w14:paraId="587FB6A8" w14:textId="5DF8EB9A" w:rsidR="00262E15" w:rsidRPr="00262E15" w:rsidRDefault="00262E15" w:rsidP="00262E15">
            <w:pPr>
              <w:spacing w:line="0" w:lineRule="atLeast"/>
              <w:contextualSpacing/>
              <w:rPr>
                <w:b/>
                <w:bCs/>
                <w:lang w:val="en-GB"/>
              </w:rPr>
            </w:pPr>
            <w:r w:rsidRPr="00262E15">
              <w:rPr>
                <w:b/>
                <w:bCs/>
                <w:lang w:val="en-GB"/>
              </w:rPr>
              <w:lastRenderedPageBreak/>
              <w:t>Session 9</w:t>
            </w:r>
            <w:r w:rsidR="00EC4279">
              <w:rPr>
                <w:b/>
                <w:bCs/>
                <w:lang w:val="en-GB"/>
              </w:rPr>
              <w:br/>
            </w:r>
            <w:r w:rsidR="00EC4279">
              <w:rPr>
                <w:lang w:val="en-GB"/>
              </w:rPr>
              <w:t xml:space="preserve">April 20 </w:t>
            </w:r>
          </w:p>
          <w:p w14:paraId="368F204D" w14:textId="77777777" w:rsidR="00262E15" w:rsidRPr="00262E15" w:rsidRDefault="00262E15" w:rsidP="00262E15">
            <w:pPr>
              <w:spacing w:line="0" w:lineRule="atLeast"/>
              <w:contextualSpacing/>
              <w:rPr>
                <w:lang w:val="en-GB"/>
              </w:rPr>
            </w:pPr>
          </w:p>
        </w:tc>
        <w:tc>
          <w:tcPr>
            <w:tcW w:w="8080" w:type="dxa"/>
          </w:tcPr>
          <w:p w14:paraId="0C554A39" w14:textId="0A3F3F84" w:rsidR="00D82504" w:rsidRDefault="008A6D4E" w:rsidP="00CD2E21">
            <w:pPr>
              <w:spacing w:line="0" w:lineRule="atLeast"/>
              <w:contextualSpacing/>
              <w:rPr>
                <w:b/>
                <w:bCs/>
              </w:rPr>
            </w:pPr>
            <w:r w:rsidRPr="006F3E3D">
              <w:rPr>
                <w:b/>
                <w:bCs/>
              </w:rPr>
              <w:t xml:space="preserve">Issues in Implementation: </w:t>
            </w:r>
            <w:r w:rsidR="006F3E3D" w:rsidRPr="006F3E3D">
              <w:rPr>
                <w:b/>
                <w:bCs/>
              </w:rPr>
              <w:t>Capacity, Leadership</w:t>
            </w:r>
            <w:r w:rsidR="007C0AE4">
              <w:rPr>
                <w:b/>
                <w:bCs/>
              </w:rPr>
              <w:t xml:space="preserve">, </w:t>
            </w:r>
            <w:r w:rsidR="006F3E3D" w:rsidRPr="006F3E3D">
              <w:rPr>
                <w:b/>
                <w:bCs/>
              </w:rPr>
              <w:t xml:space="preserve">and Organisational Learning </w:t>
            </w:r>
          </w:p>
          <w:p w14:paraId="465F00FF" w14:textId="179A0DD1" w:rsidR="006F3E3D" w:rsidRDefault="006F3E3D" w:rsidP="00CD2E21">
            <w:pPr>
              <w:spacing w:line="0" w:lineRule="atLeast"/>
              <w:contextualSpacing/>
            </w:pPr>
            <w:r>
              <w:t>From interrogating strategies and program/project goals, we move on to the next phase in the management cycle: implementation. Here we examine the management of human, organisational, and institutional capacities, framed within relevant theoretical frameworks</w:t>
            </w:r>
            <w:r w:rsidR="00EB3203">
              <w:t xml:space="preserve"> </w:t>
            </w:r>
            <w:r w:rsidR="00B75335">
              <w:t>including</w:t>
            </w:r>
            <w:r w:rsidR="00C45AB2">
              <w:t xml:space="preserve"> capacity-building theory, organisational learning theory, leadership theories (distributed and relational), implementation as sense-making and adaptation, and multi-level capacity frameworks</w:t>
            </w:r>
            <w:r w:rsidR="00BC1F2E">
              <w:t>, among others</w:t>
            </w:r>
            <w:r w:rsidR="00C45AB2">
              <w:t xml:space="preserve">.  </w:t>
            </w:r>
          </w:p>
          <w:p w14:paraId="736C77F5" w14:textId="77777777" w:rsidR="006F3E3D" w:rsidRDefault="006F3E3D" w:rsidP="00CD2E21">
            <w:pPr>
              <w:spacing w:line="0" w:lineRule="atLeast"/>
              <w:contextualSpacing/>
            </w:pPr>
          </w:p>
          <w:p w14:paraId="64BCE1B2" w14:textId="337B05D9" w:rsidR="006F3E3D" w:rsidRDefault="006F3E3D" w:rsidP="00CD2E21">
            <w:pPr>
              <w:spacing w:line="0" w:lineRule="atLeast"/>
              <w:contextualSpacing/>
              <w:rPr>
                <w:i/>
                <w:iCs/>
              </w:rPr>
            </w:pPr>
            <w:r w:rsidRPr="006F3E3D">
              <w:rPr>
                <w:i/>
                <w:iCs/>
                <w:u w:val="single"/>
              </w:rPr>
              <w:t>Recommended Readings:</w:t>
            </w:r>
            <w:r w:rsidRPr="006F3E3D">
              <w:rPr>
                <w:i/>
                <w:iCs/>
              </w:rPr>
              <w:t xml:space="preserve"> </w:t>
            </w:r>
          </w:p>
          <w:p w14:paraId="6764EC60" w14:textId="77AB0814" w:rsidR="00745AB9" w:rsidRDefault="00745AB9" w:rsidP="00745AB9">
            <w:pPr>
              <w:spacing w:line="0" w:lineRule="atLeast"/>
              <w:contextualSpacing/>
            </w:pPr>
            <w:r w:rsidRPr="00745AB9">
              <w:t>Fullan, M. (2007). </w:t>
            </w:r>
            <w:r w:rsidRPr="00745AB9">
              <w:rPr>
                <w:i/>
                <w:iCs/>
              </w:rPr>
              <w:t>The new meaning of educational change</w:t>
            </w:r>
            <w:r w:rsidRPr="00745AB9">
              <w:t> (4th ed.). New York, NY: Teachers College Press.</w:t>
            </w:r>
          </w:p>
          <w:p w14:paraId="7A2CD108" w14:textId="3751CC2F" w:rsidR="00745AB9" w:rsidRDefault="00745AB9" w:rsidP="00745AB9">
            <w:pPr>
              <w:spacing w:line="0" w:lineRule="atLeast"/>
              <w:contextualSpacing/>
              <w:rPr>
                <w:lang w:val="en-GB"/>
              </w:rPr>
            </w:pPr>
            <w:r w:rsidRPr="00745AB9">
              <w:rPr>
                <w:lang w:val="en-GB"/>
              </w:rPr>
              <w:t xml:space="preserve">Honig, M. I. (Ed.). (2006). </w:t>
            </w:r>
            <w:r w:rsidRPr="00745AB9">
              <w:rPr>
                <w:i/>
                <w:iCs/>
                <w:lang w:val="en-GB"/>
              </w:rPr>
              <w:t>New directions in education policy implementation: Confronting complexity</w:t>
            </w:r>
            <w:r w:rsidRPr="00745AB9">
              <w:rPr>
                <w:lang w:val="en-GB"/>
              </w:rPr>
              <w:t>. Albany: State University of New York Press.</w:t>
            </w:r>
            <w:r>
              <w:t xml:space="preserve"> </w:t>
            </w:r>
            <w:hyperlink r:id="rId16" w:history="1">
              <w:r w:rsidR="00B94F3F" w:rsidRPr="00E3610A">
                <w:rPr>
                  <w:rStyle w:val="Hyperlink"/>
                  <w:lang w:val="en-GB"/>
                </w:rPr>
                <w:t>https://api.pageplace.de/preview/DT0400.9780791481431_A40634836/preview-9780791481431_A40634836.pdf</w:t>
              </w:r>
            </w:hyperlink>
          </w:p>
          <w:p w14:paraId="11E5F249" w14:textId="6BD775CE" w:rsidR="006F3E3D" w:rsidRPr="00745AB9" w:rsidRDefault="006F3E3D" w:rsidP="00745AB9">
            <w:pPr>
              <w:spacing w:line="0" w:lineRule="atLeast"/>
              <w:contextualSpacing/>
              <w:rPr>
                <w:lang w:val="en-GB"/>
              </w:rPr>
            </w:pPr>
          </w:p>
        </w:tc>
      </w:tr>
      <w:tr w:rsidR="00C06B4B" w:rsidRPr="00262E15" w14:paraId="1D0D2A39" w14:textId="77777777" w:rsidTr="002F4CC6">
        <w:tc>
          <w:tcPr>
            <w:tcW w:w="1560" w:type="dxa"/>
          </w:tcPr>
          <w:p w14:paraId="50C71FE3" w14:textId="1AD3D02F" w:rsidR="00262E15" w:rsidRPr="00262E15" w:rsidRDefault="00262E15" w:rsidP="00262E15">
            <w:pPr>
              <w:spacing w:line="0" w:lineRule="atLeast"/>
              <w:contextualSpacing/>
              <w:rPr>
                <w:b/>
                <w:bCs/>
                <w:lang w:val="en-GB"/>
              </w:rPr>
            </w:pPr>
            <w:r w:rsidRPr="00262E15">
              <w:rPr>
                <w:b/>
                <w:bCs/>
                <w:lang w:val="en-GB"/>
              </w:rPr>
              <w:t>Session 1</w:t>
            </w:r>
            <w:r w:rsidR="00EC4279">
              <w:rPr>
                <w:b/>
                <w:bCs/>
                <w:lang w:val="en-GB"/>
              </w:rPr>
              <w:t>0</w:t>
            </w:r>
          </w:p>
          <w:p w14:paraId="016706D4" w14:textId="01070166" w:rsidR="00262E15" w:rsidRPr="00262E15" w:rsidRDefault="00F72536" w:rsidP="00262E15">
            <w:pPr>
              <w:spacing w:line="0" w:lineRule="atLeast"/>
              <w:contextualSpacing/>
              <w:rPr>
                <w:b/>
                <w:bCs/>
                <w:lang w:val="en-GB"/>
              </w:rPr>
            </w:pPr>
            <w:r>
              <w:rPr>
                <w:lang w:val="en-GB"/>
              </w:rPr>
              <w:t>April 2</w:t>
            </w:r>
            <w:r w:rsidR="00EC4279">
              <w:rPr>
                <w:lang w:val="en-GB"/>
              </w:rPr>
              <w:t>7</w:t>
            </w:r>
          </w:p>
          <w:p w14:paraId="687DA2AC" w14:textId="77777777" w:rsidR="00262E15" w:rsidRPr="00262E15" w:rsidRDefault="00262E15" w:rsidP="00262E15">
            <w:pPr>
              <w:spacing w:line="0" w:lineRule="atLeast"/>
              <w:contextualSpacing/>
              <w:rPr>
                <w:lang w:val="en-GB"/>
              </w:rPr>
            </w:pPr>
          </w:p>
        </w:tc>
        <w:tc>
          <w:tcPr>
            <w:tcW w:w="8080" w:type="dxa"/>
          </w:tcPr>
          <w:p w14:paraId="7CCD4873" w14:textId="4A9CFEDB" w:rsidR="00304F5C" w:rsidRPr="006F265D" w:rsidRDefault="000E630C" w:rsidP="00304F5C">
            <w:pPr>
              <w:spacing w:line="0" w:lineRule="atLeast"/>
              <w:contextualSpacing/>
              <w:rPr>
                <w:b/>
                <w:bCs/>
                <w:color w:val="000000" w:themeColor="text1"/>
                <w:lang w:val="en-GB"/>
              </w:rPr>
            </w:pPr>
            <w:r>
              <w:rPr>
                <w:b/>
                <w:bCs/>
                <w:color w:val="000000" w:themeColor="text1"/>
                <w:lang w:val="en-GB"/>
              </w:rPr>
              <w:t xml:space="preserve">Issues in Implementation: Building Resilient Systems for Sustainability </w:t>
            </w:r>
            <w:r w:rsidR="006F265D" w:rsidRPr="006F265D">
              <w:rPr>
                <w:b/>
                <w:bCs/>
                <w:color w:val="000000" w:themeColor="text1"/>
                <w:lang w:val="en-GB"/>
              </w:rPr>
              <w:t xml:space="preserve"> </w:t>
            </w:r>
          </w:p>
          <w:p w14:paraId="1511681B" w14:textId="6710686B" w:rsidR="00801DB1" w:rsidRDefault="00801DB1" w:rsidP="00C319C9">
            <w:pPr>
              <w:spacing w:line="0" w:lineRule="atLeast"/>
              <w:contextualSpacing/>
              <w:rPr>
                <w:lang w:val="en-GB"/>
              </w:rPr>
            </w:pPr>
            <w:r>
              <w:rPr>
                <w:lang w:val="en-GB"/>
              </w:rPr>
              <w:t xml:space="preserve">In this session, we engage further issues in implementation, particularly tensions between sustainability and institutionalisation, governance beyond hierarchy, and program/project resilience as adaptive and transformative capacity. Relevant theoretical frameworks include system resilience theory, adaptive systems and complexity theory, and resource mobilisation theory. </w:t>
            </w:r>
          </w:p>
          <w:p w14:paraId="502C9C4D" w14:textId="77777777" w:rsidR="00D82684" w:rsidRDefault="00D82684" w:rsidP="00C319C9">
            <w:pPr>
              <w:spacing w:line="0" w:lineRule="atLeast"/>
              <w:contextualSpacing/>
              <w:rPr>
                <w:lang w:val="en-GB"/>
              </w:rPr>
            </w:pPr>
          </w:p>
          <w:p w14:paraId="1ED579A0" w14:textId="53C306F3" w:rsidR="0088185F" w:rsidRDefault="00801DB1" w:rsidP="00C319C9">
            <w:pPr>
              <w:spacing w:line="0" w:lineRule="atLeast"/>
              <w:contextualSpacing/>
              <w:rPr>
                <w:i/>
                <w:iCs/>
                <w:lang w:val="en-GB"/>
              </w:rPr>
            </w:pPr>
            <w:r w:rsidRPr="00801DB1">
              <w:rPr>
                <w:i/>
                <w:iCs/>
                <w:u w:val="single"/>
                <w:lang w:val="en-GB"/>
              </w:rPr>
              <w:t>Recommended Readings:</w:t>
            </w:r>
            <w:r w:rsidRPr="00801DB1">
              <w:rPr>
                <w:i/>
                <w:iCs/>
                <w:lang w:val="en-GB"/>
              </w:rPr>
              <w:t xml:space="preserve"> </w:t>
            </w:r>
          </w:p>
          <w:p w14:paraId="726E6AA4" w14:textId="746EBE90" w:rsidR="00520791" w:rsidRDefault="00520791" w:rsidP="00C319C9">
            <w:pPr>
              <w:spacing w:line="0" w:lineRule="atLeast"/>
              <w:contextualSpacing/>
            </w:pPr>
            <w:r w:rsidRPr="00520791">
              <w:t>Ansell, C., &amp; Gash, A. (2008). Collaborative Governance in Theory and Practice. </w:t>
            </w:r>
            <w:r w:rsidRPr="00520791">
              <w:rPr>
                <w:i/>
                <w:iCs/>
              </w:rPr>
              <w:t>Journal of Public Administration Research and Theory</w:t>
            </w:r>
            <w:r w:rsidRPr="00520791">
              <w:t>, </w:t>
            </w:r>
            <w:r w:rsidRPr="00520791">
              <w:rPr>
                <w:i/>
                <w:iCs/>
              </w:rPr>
              <w:t>18</w:t>
            </w:r>
            <w:r w:rsidRPr="00520791">
              <w:t xml:space="preserve">(4), 543–571. </w:t>
            </w:r>
            <w:hyperlink r:id="rId17" w:history="1">
              <w:r w:rsidRPr="00E3610A">
                <w:rPr>
                  <w:rStyle w:val="Hyperlink"/>
                </w:rPr>
                <w:t>https://doi.org/10.1093/jop</w:t>
              </w:r>
            </w:hyperlink>
          </w:p>
          <w:p w14:paraId="69B2FAB8" w14:textId="77777777" w:rsidR="003A2577" w:rsidRDefault="00520791" w:rsidP="00520791">
            <w:pPr>
              <w:spacing w:line="0" w:lineRule="atLeast"/>
              <w:contextualSpacing/>
            </w:pPr>
            <w:r w:rsidRPr="00520791">
              <w:t>Boin, A., &amp; van Eeten, M. J. G. (2013). The Resilient Organization. </w:t>
            </w:r>
            <w:r w:rsidRPr="00520791">
              <w:rPr>
                <w:i/>
                <w:iCs/>
              </w:rPr>
              <w:t>Public Management Review</w:t>
            </w:r>
            <w:r w:rsidRPr="00520791">
              <w:t>, </w:t>
            </w:r>
            <w:r w:rsidRPr="00520791">
              <w:rPr>
                <w:i/>
                <w:iCs/>
              </w:rPr>
              <w:t>15</w:t>
            </w:r>
            <w:r w:rsidRPr="00520791">
              <w:t xml:space="preserve">(3), 429–445. </w:t>
            </w:r>
            <w:hyperlink r:id="rId18" w:history="1">
              <w:r w:rsidRPr="00E3610A">
                <w:rPr>
                  <w:rStyle w:val="Hyperlink"/>
                </w:rPr>
                <w:t>https://doi.org/10.1080/147</w:t>
              </w:r>
            </w:hyperlink>
          </w:p>
          <w:p w14:paraId="4DE490A2" w14:textId="0D2E0BAC" w:rsidR="00520791" w:rsidRDefault="00E57173" w:rsidP="00520791">
            <w:pPr>
              <w:spacing w:line="0" w:lineRule="atLeast"/>
              <w:contextualSpacing/>
            </w:pPr>
            <w:r w:rsidRPr="00E57173">
              <w:lastRenderedPageBreak/>
              <w:t>Hess, F. M. (2021, February 18). </w:t>
            </w:r>
            <w:r w:rsidRPr="00E57173">
              <w:rPr>
                <w:i/>
                <w:iCs/>
              </w:rPr>
              <w:t>Why schools struggle with implementation—and how they can do better</w:t>
            </w:r>
            <w:r w:rsidRPr="00E57173">
              <w:t>. </w:t>
            </w:r>
            <w:r w:rsidRPr="00E57173">
              <w:rPr>
                <w:i/>
                <w:iCs/>
              </w:rPr>
              <w:t>Medium</w:t>
            </w:r>
            <w:r w:rsidRPr="00E57173">
              <w:t>. </w:t>
            </w:r>
            <w:hyperlink r:id="rId19" w:history="1">
              <w:r w:rsidRPr="00E3610A">
                <w:rPr>
                  <w:rStyle w:val="Hyperlink"/>
                </w:rPr>
                <w:t>https://rickhess99.medium.com/why-schools-struggle-with-implementation-and-how-they-can-do-better-2c67caf4d17f</w:t>
              </w:r>
            </w:hyperlink>
          </w:p>
          <w:p w14:paraId="10E42FDF" w14:textId="24C05B09" w:rsidR="00E57173" w:rsidRPr="00520791" w:rsidRDefault="00E57173" w:rsidP="00520791">
            <w:pPr>
              <w:spacing w:line="0" w:lineRule="atLeast"/>
              <w:contextualSpacing/>
            </w:pPr>
          </w:p>
        </w:tc>
      </w:tr>
      <w:tr w:rsidR="00C06B4B" w:rsidRPr="00262E15" w14:paraId="5CC62DB6" w14:textId="77777777" w:rsidTr="002F4CC6">
        <w:tc>
          <w:tcPr>
            <w:tcW w:w="1560" w:type="dxa"/>
          </w:tcPr>
          <w:p w14:paraId="02B451E2" w14:textId="538C181D" w:rsidR="00262E15" w:rsidRPr="00262E15" w:rsidRDefault="00262E15" w:rsidP="00262E15">
            <w:pPr>
              <w:spacing w:line="0" w:lineRule="atLeast"/>
              <w:contextualSpacing/>
              <w:rPr>
                <w:b/>
                <w:bCs/>
                <w:lang w:val="en-GB"/>
              </w:rPr>
            </w:pPr>
            <w:r w:rsidRPr="00262E15">
              <w:rPr>
                <w:b/>
                <w:bCs/>
                <w:lang w:val="en-GB"/>
              </w:rPr>
              <w:lastRenderedPageBreak/>
              <w:t>Session 11</w:t>
            </w:r>
          </w:p>
          <w:p w14:paraId="12700B64" w14:textId="7F2C69DD" w:rsidR="00262E15" w:rsidRPr="00262E15" w:rsidRDefault="00EC4279" w:rsidP="00262E15">
            <w:pPr>
              <w:spacing w:line="0" w:lineRule="atLeast"/>
              <w:contextualSpacing/>
              <w:rPr>
                <w:b/>
                <w:bCs/>
                <w:lang w:val="en-GB"/>
              </w:rPr>
            </w:pPr>
            <w:r>
              <w:rPr>
                <w:lang w:val="en-GB"/>
              </w:rPr>
              <w:t>May 4</w:t>
            </w:r>
          </w:p>
        </w:tc>
        <w:tc>
          <w:tcPr>
            <w:tcW w:w="8080" w:type="dxa"/>
          </w:tcPr>
          <w:p w14:paraId="3243535C" w14:textId="77777777" w:rsidR="003A2577" w:rsidRDefault="003A2577" w:rsidP="003A2577">
            <w:pPr>
              <w:spacing w:line="0" w:lineRule="atLeast"/>
              <w:contextualSpacing/>
              <w:rPr>
                <w:b/>
                <w:bCs/>
                <w:lang w:val="en-GB"/>
              </w:rPr>
            </w:pPr>
            <w:r>
              <w:rPr>
                <w:b/>
                <w:bCs/>
                <w:lang w:val="en-GB"/>
              </w:rPr>
              <w:t xml:space="preserve">Issues in Implementation: Working with Multiple Stakeholders </w:t>
            </w:r>
          </w:p>
          <w:p w14:paraId="2AC11493" w14:textId="393EB25C" w:rsidR="003A2577" w:rsidRDefault="003A2577" w:rsidP="003A2577">
            <w:pPr>
              <w:spacing w:line="0" w:lineRule="atLeast"/>
              <w:contextualSpacing/>
              <w:rPr>
                <w:lang w:val="en-GB"/>
              </w:rPr>
            </w:pPr>
            <w:r w:rsidRPr="003A2577">
              <w:rPr>
                <w:lang w:val="en-GB"/>
              </w:rPr>
              <w:t xml:space="preserve">The session will highlight issues in educational program management concerning working with stakeholders. </w:t>
            </w:r>
            <w:r>
              <w:rPr>
                <w:lang w:val="en-GB"/>
              </w:rPr>
              <w:t xml:space="preserve">We examine stakeholders as political actors (not just partners), participation as a design choice, and conflict as both productive and destructive. We anchor the discussion on theoretical frames, such as network and boundary-spanning theory, conflict theory, and power and participation theories. </w:t>
            </w:r>
          </w:p>
          <w:p w14:paraId="19C11664" w14:textId="150957FC" w:rsidR="00CC3C3A" w:rsidRDefault="00CC3C3A" w:rsidP="003A2577">
            <w:pPr>
              <w:spacing w:line="0" w:lineRule="atLeast"/>
              <w:contextualSpacing/>
              <w:rPr>
                <w:lang w:val="en-GB"/>
              </w:rPr>
            </w:pPr>
            <w:r>
              <w:rPr>
                <w:lang w:val="en-GB"/>
              </w:rPr>
              <w:t xml:space="preserve">In the second half of the session, students are expected to give updates on their final paper (theoretical framework/s </w:t>
            </w:r>
            <w:r w:rsidR="009A0A14">
              <w:rPr>
                <w:lang w:val="en-GB"/>
              </w:rPr>
              <w:t xml:space="preserve">that anchor their examination). </w:t>
            </w:r>
          </w:p>
          <w:p w14:paraId="71A84B5E" w14:textId="77777777" w:rsidR="003A2577" w:rsidRDefault="003A2577" w:rsidP="003A2577">
            <w:pPr>
              <w:spacing w:line="0" w:lineRule="atLeast"/>
              <w:contextualSpacing/>
              <w:rPr>
                <w:lang w:val="en-GB"/>
              </w:rPr>
            </w:pPr>
          </w:p>
          <w:p w14:paraId="6633A36E" w14:textId="6618A53F" w:rsidR="003A2577" w:rsidRPr="003A2577" w:rsidRDefault="003A2577" w:rsidP="003A2577">
            <w:pPr>
              <w:spacing w:line="0" w:lineRule="atLeast"/>
              <w:contextualSpacing/>
              <w:rPr>
                <w:i/>
                <w:iCs/>
                <w:lang w:val="en-GB"/>
              </w:rPr>
            </w:pPr>
            <w:r w:rsidRPr="003A2577">
              <w:rPr>
                <w:i/>
                <w:iCs/>
                <w:u w:val="single"/>
                <w:lang w:val="en-GB"/>
              </w:rPr>
              <w:t>Recommended Readings:</w:t>
            </w:r>
            <w:r w:rsidRPr="003A2577">
              <w:rPr>
                <w:i/>
                <w:iCs/>
                <w:lang w:val="en-GB"/>
              </w:rPr>
              <w:t xml:space="preserve"> </w:t>
            </w:r>
          </w:p>
          <w:p w14:paraId="2BFD9EC9" w14:textId="3E0D6003" w:rsidR="003A2577" w:rsidRDefault="00E57173" w:rsidP="003A2577">
            <w:pPr>
              <w:spacing w:line="0" w:lineRule="atLeast"/>
              <w:contextualSpacing/>
            </w:pPr>
            <w:r w:rsidRPr="00E57173">
              <w:t>Bryson, J. M. (2004). What to do when Stakeholders matter: Stakeholder Identification and Analysis Techniques. </w:t>
            </w:r>
            <w:r w:rsidRPr="00E57173">
              <w:rPr>
                <w:i/>
                <w:iCs/>
              </w:rPr>
              <w:t>Public Management Review</w:t>
            </w:r>
            <w:r w:rsidRPr="00E57173">
              <w:t>, </w:t>
            </w:r>
            <w:r w:rsidRPr="00E57173">
              <w:rPr>
                <w:i/>
                <w:iCs/>
              </w:rPr>
              <w:t>6</w:t>
            </w:r>
            <w:r w:rsidRPr="00E57173">
              <w:t xml:space="preserve">(1), 21–53. </w:t>
            </w:r>
            <w:hyperlink r:id="rId20" w:history="1">
              <w:r w:rsidRPr="00E3610A">
                <w:rPr>
                  <w:rStyle w:val="Hyperlink"/>
                </w:rPr>
                <w:t>https://doi.org/10.1080/14719030410001675722</w:t>
              </w:r>
            </w:hyperlink>
          </w:p>
          <w:p w14:paraId="234FBD8E" w14:textId="2F632A38" w:rsidR="00E57173" w:rsidRDefault="00E57173" w:rsidP="003A2577">
            <w:pPr>
              <w:spacing w:line="0" w:lineRule="atLeast"/>
              <w:contextualSpacing/>
              <w:rPr>
                <w:lang w:val="en-GB"/>
              </w:rPr>
            </w:pPr>
            <w:r w:rsidRPr="00E57173">
              <w:t>Cornwall, A. (2008). Unpacking ‘Participation’: models, meanings and practices. </w:t>
            </w:r>
            <w:r w:rsidRPr="00E57173">
              <w:rPr>
                <w:i/>
                <w:iCs/>
              </w:rPr>
              <w:t>Community Development Journal</w:t>
            </w:r>
            <w:r w:rsidRPr="00E57173">
              <w:t>, </w:t>
            </w:r>
            <w:r w:rsidRPr="00E57173">
              <w:rPr>
                <w:i/>
                <w:iCs/>
              </w:rPr>
              <w:t>43</w:t>
            </w:r>
            <w:r w:rsidRPr="00E57173">
              <w:t>(3), 269–283. https://doi.org/10.1093/cdj/bsn010</w:t>
            </w:r>
          </w:p>
          <w:p w14:paraId="6A50F94C" w14:textId="02AF1EA5" w:rsidR="00262E15" w:rsidRDefault="00E57173" w:rsidP="00E57173">
            <w:pPr>
              <w:spacing w:line="0" w:lineRule="atLeast"/>
              <w:contextualSpacing/>
            </w:pPr>
            <w:r w:rsidRPr="00E57173">
              <w:t>Gaventa, J. (2006). Finding the Spaces for Change: A Power Analysis. </w:t>
            </w:r>
            <w:r w:rsidRPr="00E57173">
              <w:rPr>
                <w:i/>
                <w:iCs/>
              </w:rPr>
              <w:t>IDS Bulletin (Brighton. 1984)</w:t>
            </w:r>
            <w:r w:rsidRPr="00E57173">
              <w:t>, </w:t>
            </w:r>
            <w:r w:rsidRPr="00E57173">
              <w:rPr>
                <w:i/>
                <w:iCs/>
              </w:rPr>
              <w:t>37</w:t>
            </w:r>
            <w:r w:rsidRPr="00E57173">
              <w:t xml:space="preserve">(6), 23–33. </w:t>
            </w:r>
            <w:hyperlink r:id="rId21" w:history="1">
              <w:r w:rsidRPr="00E3610A">
                <w:rPr>
                  <w:rStyle w:val="Hyperlink"/>
                </w:rPr>
                <w:t>https://doi.org/10.1111/j.1759-5436.2006.tb00320.x</w:t>
              </w:r>
            </w:hyperlink>
          </w:p>
          <w:p w14:paraId="5ED82271" w14:textId="77777777" w:rsidR="00E57173" w:rsidRDefault="009D401B" w:rsidP="00E57173">
            <w:pPr>
              <w:spacing w:line="0" w:lineRule="atLeast"/>
              <w:contextualSpacing/>
              <w:rPr>
                <w:lang w:val="en-GB"/>
              </w:rPr>
            </w:pPr>
            <w:r w:rsidRPr="009D401B">
              <w:t xml:space="preserve">Weerts, D. J., &amp; Sandmann, L. R. (2010). Community engagement and boundary-spanning roles at research universities. </w:t>
            </w:r>
            <w:r w:rsidRPr="009D401B">
              <w:rPr>
                <w:i/>
                <w:iCs/>
              </w:rPr>
              <w:t>The Journal of Higher Education, 81</w:t>
            </w:r>
            <w:r w:rsidRPr="009D401B">
              <w:t xml:space="preserve">(6), 632–657. </w:t>
            </w:r>
            <w:hyperlink r:id="rId22" w:history="1">
              <w:r w:rsidRPr="009D401B">
                <w:rPr>
                  <w:rStyle w:val="Hyperlink"/>
                </w:rPr>
                <w:t>https://www.jstor.org/stable/40929570</w:t>
              </w:r>
            </w:hyperlink>
          </w:p>
          <w:p w14:paraId="0D8C5C86" w14:textId="18E50A42" w:rsidR="009D401B" w:rsidRPr="00E57173" w:rsidRDefault="009D401B" w:rsidP="00E57173">
            <w:pPr>
              <w:spacing w:line="0" w:lineRule="atLeast"/>
              <w:contextualSpacing/>
              <w:rPr>
                <w:lang w:val="en-GB"/>
              </w:rPr>
            </w:pPr>
          </w:p>
        </w:tc>
      </w:tr>
      <w:tr w:rsidR="00C06B4B" w:rsidRPr="00262E15" w14:paraId="679B15BE" w14:textId="77777777" w:rsidTr="002F4CC6">
        <w:trPr>
          <w:trHeight w:val="984"/>
        </w:trPr>
        <w:tc>
          <w:tcPr>
            <w:tcW w:w="1560" w:type="dxa"/>
          </w:tcPr>
          <w:p w14:paraId="40208EF2" w14:textId="65E62E22" w:rsidR="00262E15" w:rsidRDefault="00262E15" w:rsidP="00262E15">
            <w:pPr>
              <w:spacing w:line="0" w:lineRule="atLeast"/>
              <w:contextualSpacing/>
              <w:rPr>
                <w:b/>
                <w:bCs/>
                <w:lang w:val="en-GB"/>
              </w:rPr>
            </w:pPr>
            <w:r w:rsidRPr="00262E15">
              <w:rPr>
                <w:b/>
                <w:bCs/>
                <w:lang w:val="en-GB"/>
              </w:rPr>
              <w:t xml:space="preserve">Session 12 </w:t>
            </w:r>
          </w:p>
          <w:p w14:paraId="3D205D7D" w14:textId="1E607867" w:rsidR="00F72536" w:rsidRPr="00F72536" w:rsidRDefault="00EC4279" w:rsidP="00262E15">
            <w:pPr>
              <w:spacing w:line="0" w:lineRule="atLeast"/>
              <w:contextualSpacing/>
              <w:rPr>
                <w:lang w:val="en-GB"/>
              </w:rPr>
            </w:pPr>
            <w:r>
              <w:rPr>
                <w:lang w:val="en-GB"/>
              </w:rPr>
              <w:t>May 11</w:t>
            </w:r>
          </w:p>
          <w:p w14:paraId="17FD2416" w14:textId="77777777" w:rsidR="00262E15" w:rsidRPr="00262E15" w:rsidRDefault="00262E15" w:rsidP="00262E15">
            <w:pPr>
              <w:spacing w:line="0" w:lineRule="atLeast"/>
              <w:contextualSpacing/>
              <w:rPr>
                <w:lang w:val="en-GB"/>
              </w:rPr>
            </w:pPr>
          </w:p>
        </w:tc>
        <w:tc>
          <w:tcPr>
            <w:tcW w:w="8080" w:type="dxa"/>
          </w:tcPr>
          <w:p w14:paraId="393A6ABD" w14:textId="77777777" w:rsidR="00912D58" w:rsidRDefault="00912D58" w:rsidP="00912D58">
            <w:pPr>
              <w:spacing w:line="0" w:lineRule="atLeast"/>
              <w:contextualSpacing/>
              <w:rPr>
                <w:b/>
                <w:bCs/>
                <w:lang w:val="en-GB"/>
              </w:rPr>
            </w:pPr>
            <w:r>
              <w:rPr>
                <w:b/>
                <w:bCs/>
                <w:lang w:val="en-GB"/>
              </w:rPr>
              <w:t xml:space="preserve">Issues in Implementation: Impacts of Technology </w:t>
            </w:r>
          </w:p>
          <w:p w14:paraId="0317B3F9" w14:textId="548A5A34" w:rsidR="00A10B04" w:rsidRDefault="00A10B04" w:rsidP="00912D58">
            <w:pPr>
              <w:spacing w:line="0" w:lineRule="atLeast"/>
              <w:contextualSpacing/>
              <w:rPr>
                <w:lang w:val="en-GB"/>
              </w:rPr>
            </w:pPr>
            <w:r>
              <w:rPr>
                <w:lang w:val="en-GB"/>
              </w:rPr>
              <w:t xml:space="preserve">Digitalisation has become a core feature in the implementation of education programs/projects. Here we engage with critical issues in the use of technology including digital divides as part of governance failures and automation vs professional judgement. Relevant theories to be explored include critical digital governance, datafication and surveillance, </w:t>
            </w:r>
            <w:r w:rsidR="007A4A66">
              <w:rPr>
                <w:lang w:val="en-GB"/>
              </w:rPr>
              <w:t>sociotechnical theory</w:t>
            </w:r>
            <w:r w:rsidR="00882F96">
              <w:rPr>
                <w:lang w:val="en-GB"/>
              </w:rPr>
              <w:t xml:space="preserve">, </w:t>
            </w:r>
            <w:r>
              <w:rPr>
                <w:lang w:val="en-GB"/>
              </w:rPr>
              <w:t>and technology as a policy instrument</w:t>
            </w:r>
            <w:r w:rsidR="001E1629">
              <w:rPr>
                <w:lang w:val="en-GB"/>
              </w:rPr>
              <w:t xml:space="preserve">, among others. </w:t>
            </w:r>
          </w:p>
          <w:p w14:paraId="7F4EE77E" w14:textId="77777777" w:rsidR="00912D58" w:rsidRDefault="00912D58" w:rsidP="00912D58">
            <w:pPr>
              <w:spacing w:line="0" w:lineRule="atLeast"/>
              <w:contextualSpacing/>
              <w:rPr>
                <w:i/>
                <w:iCs/>
                <w:lang w:val="en-GB"/>
              </w:rPr>
            </w:pPr>
          </w:p>
          <w:p w14:paraId="2259B716" w14:textId="66D17E23" w:rsidR="00D82684" w:rsidRPr="00D82684" w:rsidRDefault="00912D58" w:rsidP="00912D58">
            <w:pPr>
              <w:spacing w:line="0" w:lineRule="atLeast"/>
              <w:contextualSpacing/>
              <w:rPr>
                <w:i/>
                <w:iCs/>
                <w:lang w:val="en-GB"/>
              </w:rPr>
            </w:pPr>
            <w:r w:rsidRPr="00912D58">
              <w:rPr>
                <w:i/>
                <w:iCs/>
                <w:u w:val="single"/>
                <w:lang w:val="en-GB"/>
              </w:rPr>
              <w:t>Recommended Readings:</w:t>
            </w:r>
            <w:r w:rsidRPr="00912D58">
              <w:rPr>
                <w:i/>
                <w:iCs/>
                <w:lang w:val="en-GB"/>
              </w:rPr>
              <w:t xml:space="preserve"> </w:t>
            </w:r>
          </w:p>
          <w:p w14:paraId="4A9F3AAB" w14:textId="18EEF5D5" w:rsidR="00912D58" w:rsidRDefault="00D82684" w:rsidP="00912D58">
            <w:pPr>
              <w:spacing w:line="0" w:lineRule="atLeast"/>
              <w:contextualSpacing/>
            </w:pPr>
            <w:r>
              <w:t>O</w:t>
            </w:r>
            <w:r w:rsidRPr="00D82684">
              <w:t>rlikowski, W. J. (1992). The Duality of Technology: Rethinking the Concept of Technology in Organizations. </w:t>
            </w:r>
            <w:r w:rsidRPr="00D82684">
              <w:rPr>
                <w:i/>
                <w:iCs/>
              </w:rPr>
              <w:t>Organization Science (Providence, R.I.)</w:t>
            </w:r>
            <w:r w:rsidRPr="00D82684">
              <w:t>, </w:t>
            </w:r>
            <w:r w:rsidRPr="00D82684">
              <w:rPr>
                <w:i/>
                <w:iCs/>
              </w:rPr>
              <w:t>3</w:t>
            </w:r>
            <w:r w:rsidRPr="00D82684">
              <w:t xml:space="preserve">(3), 398–427. </w:t>
            </w:r>
            <w:hyperlink r:id="rId23" w:history="1">
              <w:r w:rsidRPr="00E3610A">
                <w:rPr>
                  <w:rStyle w:val="Hyperlink"/>
                </w:rPr>
                <w:t>https://doi.org/10.1287/orsc.3.3.398</w:t>
              </w:r>
            </w:hyperlink>
          </w:p>
          <w:p w14:paraId="2A6C6276" w14:textId="77777777" w:rsidR="00B360AE" w:rsidRDefault="00D82684" w:rsidP="00D82684">
            <w:pPr>
              <w:spacing w:line="0" w:lineRule="atLeast"/>
              <w:contextualSpacing/>
              <w:rPr>
                <w:lang w:val="en-GB"/>
              </w:rPr>
            </w:pPr>
            <w:r w:rsidRPr="00D82684">
              <w:rPr>
                <w:lang w:val="en-GB"/>
              </w:rPr>
              <w:t xml:space="preserve">Perkins, R. A. (2011). </w:t>
            </w:r>
            <w:r w:rsidRPr="00D82684">
              <w:rPr>
                <w:i/>
                <w:iCs/>
                <w:lang w:val="en-GB"/>
              </w:rPr>
              <w:t>Using Rogers’ theory of perceived attributes as a framework for understanding the challenges of adoption of open educational resources</w:t>
            </w:r>
            <w:r w:rsidRPr="00D82684">
              <w:rPr>
                <w:lang w:val="en-GB"/>
              </w:rPr>
              <w:t>. International Review of Research in Open and Distributed Learning, 12(2), 104–122</w:t>
            </w:r>
          </w:p>
          <w:p w14:paraId="187F52E0" w14:textId="0F7EECC0" w:rsidR="00302E81" w:rsidRPr="00D82684" w:rsidRDefault="00302E81" w:rsidP="00D82684">
            <w:pPr>
              <w:spacing w:line="0" w:lineRule="atLeast"/>
              <w:contextualSpacing/>
              <w:rPr>
                <w:lang w:val="en-GB"/>
              </w:rPr>
            </w:pPr>
          </w:p>
        </w:tc>
      </w:tr>
      <w:tr w:rsidR="00C06B4B" w:rsidRPr="00262E15" w14:paraId="3FB6E964" w14:textId="77777777" w:rsidTr="002F4CC6">
        <w:tc>
          <w:tcPr>
            <w:tcW w:w="1560" w:type="dxa"/>
          </w:tcPr>
          <w:p w14:paraId="35387F07" w14:textId="75F7DCD5" w:rsidR="00262E15" w:rsidRPr="00262E15" w:rsidRDefault="00262E15" w:rsidP="00262E15">
            <w:pPr>
              <w:spacing w:line="0" w:lineRule="atLeast"/>
              <w:contextualSpacing/>
              <w:rPr>
                <w:b/>
                <w:bCs/>
                <w:lang w:val="en-GB"/>
              </w:rPr>
            </w:pPr>
            <w:r w:rsidRPr="00262E15">
              <w:rPr>
                <w:b/>
                <w:bCs/>
                <w:lang w:val="en-GB"/>
              </w:rPr>
              <w:t xml:space="preserve">Session 13 </w:t>
            </w:r>
          </w:p>
          <w:p w14:paraId="3DA49AB5" w14:textId="66C5BC38" w:rsidR="00262E15" w:rsidRPr="00262E15" w:rsidRDefault="00F72536" w:rsidP="00262E15">
            <w:pPr>
              <w:spacing w:line="0" w:lineRule="atLeast"/>
              <w:contextualSpacing/>
              <w:rPr>
                <w:b/>
                <w:bCs/>
                <w:lang w:val="en-GB"/>
              </w:rPr>
            </w:pPr>
            <w:r>
              <w:rPr>
                <w:lang w:val="en-GB"/>
              </w:rPr>
              <w:t>May 1</w:t>
            </w:r>
            <w:r w:rsidR="00EC4279">
              <w:rPr>
                <w:lang w:val="en-GB"/>
              </w:rPr>
              <w:t>8</w:t>
            </w:r>
          </w:p>
          <w:p w14:paraId="6ECFEA18" w14:textId="77777777" w:rsidR="00262E15" w:rsidRPr="00262E15" w:rsidRDefault="00262E15" w:rsidP="00262E15">
            <w:pPr>
              <w:spacing w:line="0" w:lineRule="atLeast"/>
              <w:contextualSpacing/>
              <w:rPr>
                <w:b/>
                <w:bCs/>
                <w:lang w:val="en-GB"/>
              </w:rPr>
            </w:pPr>
          </w:p>
        </w:tc>
        <w:tc>
          <w:tcPr>
            <w:tcW w:w="8080" w:type="dxa"/>
          </w:tcPr>
          <w:p w14:paraId="00395A02" w14:textId="7216F97B" w:rsidR="00BF0001" w:rsidRDefault="00890516" w:rsidP="00BF0001">
            <w:pPr>
              <w:spacing w:line="0" w:lineRule="atLeast"/>
              <w:contextualSpacing/>
              <w:rPr>
                <w:b/>
                <w:bCs/>
                <w:lang w:val="en-GB"/>
              </w:rPr>
            </w:pPr>
            <w:r>
              <w:rPr>
                <w:b/>
                <w:bCs/>
                <w:lang w:val="en-GB"/>
              </w:rPr>
              <w:t xml:space="preserve">Monitoring and Evaluation of Educational Programs: Knowledge Production </w:t>
            </w:r>
          </w:p>
          <w:p w14:paraId="3B023A1A" w14:textId="77777777" w:rsidR="00302E81" w:rsidRDefault="00D418C0" w:rsidP="00BF0001">
            <w:pPr>
              <w:spacing w:line="0" w:lineRule="atLeast"/>
              <w:contextualSpacing/>
              <w:rPr>
                <w:lang w:val="en-GB"/>
              </w:rPr>
            </w:pPr>
            <w:r>
              <w:rPr>
                <w:lang w:val="en-GB"/>
              </w:rPr>
              <w:t xml:space="preserve">This session frames monitoring and evaluation as not only a technical issue but especially, as an epistemic practice in planning and management of educational programs. We examine here how M&amp;E processes are ways of producing, legitimising, and mobilising knowledge on educational programs. We examine </w:t>
            </w:r>
            <w:r>
              <w:rPr>
                <w:lang w:val="en-GB"/>
              </w:rPr>
              <w:lastRenderedPageBreak/>
              <w:t>M&amp;E practices/cases in the use of evidence as measurement vs explanation</w:t>
            </w:r>
          </w:p>
          <w:p w14:paraId="15CB2A41" w14:textId="3F4451C8" w:rsidR="00D418C0" w:rsidRDefault="00D418C0" w:rsidP="00BF0001">
            <w:pPr>
              <w:spacing w:line="0" w:lineRule="atLeast"/>
              <w:contextualSpacing/>
              <w:rPr>
                <w:lang w:val="en-GB"/>
              </w:rPr>
            </w:pPr>
            <w:r>
              <w:rPr>
                <w:lang w:val="en-GB"/>
              </w:rPr>
              <w:t xml:space="preserve">, and differentiate between learning-oriented and accountability-oriented M&amp;E. </w:t>
            </w:r>
          </w:p>
          <w:p w14:paraId="37BCC871" w14:textId="77777777" w:rsidR="00D418C0" w:rsidRDefault="00D418C0" w:rsidP="00BF0001">
            <w:pPr>
              <w:spacing w:line="0" w:lineRule="atLeast"/>
              <w:contextualSpacing/>
              <w:rPr>
                <w:lang w:val="en-GB"/>
              </w:rPr>
            </w:pPr>
          </w:p>
          <w:p w14:paraId="29EC86A7" w14:textId="1B0A227C" w:rsidR="00D418C0" w:rsidRDefault="00D418C0" w:rsidP="00BF0001">
            <w:pPr>
              <w:spacing w:line="0" w:lineRule="atLeast"/>
              <w:contextualSpacing/>
              <w:rPr>
                <w:i/>
                <w:iCs/>
                <w:u w:val="single"/>
                <w:lang w:val="en-GB"/>
              </w:rPr>
            </w:pPr>
            <w:r w:rsidRPr="00D418C0">
              <w:rPr>
                <w:i/>
                <w:iCs/>
                <w:u w:val="single"/>
                <w:lang w:val="en-GB"/>
              </w:rPr>
              <w:t>Recommended Readings:</w:t>
            </w:r>
          </w:p>
          <w:p w14:paraId="499A45B5" w14:textId="5261C34B" w:rsidR="00832615" w:rsidRDefault="00832615" w:rsidP="00BF0001">
            <w:pPr>
              <w:spacing w:line="0" w:lineRule="atLeast"/>
              <w:contextualSpacing/>
            </w:pPr>
            <w:r w:rsidRPr="00832615">
              <w:t>Chen, M.-J., Guo, C.-Y., &amp; Tang, C. W. (2020). Monitoring learning-oriented school education: Indicator construction and their application. </w:t>
            </w:r>
            <w:r w:rsidRPr="00832615">
              <w:rPr>
                <w:i/>
                <w:iCs/>
              </w:rPr>
              <w:t>Studies in Educational Evaluation, 67,</w:t>
            </w:r>
            <w:r w:rsidRPr="00832615">
              <w:t> 100918. </w:t>
            </w:r>
          </w:p>
          <w:p w14:paraId="7C3FBD56" w14:textId="6A0B2BC0" w:rsidR="00832615" w:rsidRDefault="00832615" w:rsidP="00BF0001">
            <w:pPr>
              <w:spacing w:line="0" w:lineRule="atLeast"/>
              <w:contextualSpacing/>
            </w:pPr>
            <w:r w:rsidRPr="00832615">
              <w:t>Dusabe, C., Abimpaye, M., Kabarungi, N., &amp; Uwamahoro, M. D. (2021). Monitoring, evaluation and accountability evidence use for design, adaptation, and scale-up of an early childhood development program in Rwanda. Frontiers in Public Health, 9, 713283.</w:t>
            </w:r>
          </w:p>
          <w:p w14:paraId="3CCDD6D1" w14:textId="699D2A32" w:rsidR="0056623C" w:rsidRPr="008818C9" w:rsidRDefault="00832615" w:rsidP="008818C9">
            <w:pPr>
              <w:spacing w:line="0" w:lineRule="atLeast"/>
              <w:contextualSpacing/>
              <w:rPr>
                <w:lang w:val="en-GB"/>
              </w:rPr>
            </w:pPr>
            <w:r w:rsidRPr="00832615">
              <w:t>Intermediate Technology Publications., International Development Research Centre, &amp; Estrella, M. (2000). </w:t>
            </w:r>
            <w:r w:rsidRPr="00832615">
              <w:rPr>
                <w:i/>
                <w:iCs/>
              </w:rPr>
              <w:t>Learning from change: issues and experiences in participatory monitoring and evaluation</w:t>
            </w:r>
            <w:r w:rsidRPr="00832615">
              <w:t>. Intermediate Technology Publications</w:t>
            </w:r>
            <w:r w:rsidR="008818C9">
              <w:br/>
            </w:r>
          </w:p>
        </w:tc>
      </w:tr>
      <w:tr w:rsidR="00C06B4B" w:rsidRPr="00262E15" w14:paraId="396AB776" w14:textId="77777777" w:rsidTr="002F4CC6">
        <w:tc>
          <w:tcPr>
            <w:tcW w:w="1560" w:type="dxa"/>
          </w:tcPr>
          <w:p w14:paraId="76ABBF16" w14:textId="0BC98AB4" w:rsidR="00262E15" w:rsidRPr="00262E15" w:rsidRDefault="00262E15" w:rsidP="00262E15">
            <w:pPr>
              <w:spacing w:line="0" w:lineRule="atLeast"/>
              <w:contextualSpacing/>
              <w:rPr>
                <w:b/>
                <w:bCs/>
                <w:lang w:val="en-GB"/>
              </w:rPr>
            </w:pPr>
            <w:r w:rsidRPr="00262E15">
              <w:rPr>
                <w:b/>
                <w:bCs/>
                <w:lang w:val="en-GB"/>
              </w:rPr>
              <w:lastRenderedPageBreak/>
              <w:t>Session 14</w:t>
            </w:r>
          </w:p>
          <w:p w14:paraId="561837D8" w14:textId="34926E44" w:rsidR="00262E15" w:rsidRPr="00262E15" w:rsidRDefault="00F72536" w:rsidP="00262E15">
            <w:pPr>
              <w:spacing w:line="0" w:lineRule="atLeast"/>
              <w:contextualSpacing/>
              <w:rPr>
                <w:b/>
                <w:bCs/>
                <w:lang w:val="en-GB"/>
              </w:rPr>
            </w:pPr>
            <w:r>
              <w:rPr>
                <w:lang w:val="en-GB"/>
              </w:rPr>
              <w:t xml:space="preserve">May </w:t>
            </w:r>
            <w:r w:rsidR="00EC4279">
              <w:rPr>
                <w:lang w:val="en-GB"/>
              </w:rPr>
              <w:t>25</w:t>
            </w:r>
          </w:p>
        </w:tc>
        <w:tc>
          <w:tcPr>
            <w:tcW w:w="8080" w:type="dxa"/>
          </w:tcPr>
          <w:p w14:paraId="6B5117F4" w14:textId="77777777" w:rsidR="0021389D" w:rsidRDefault="00BF0001" w:rsidP="00BF0001">
            <w:pPr>
              <w:spacing w:line="0" w:lineRule="atLeast"/>
              <w:contextualSpacing/>
              <w:rPr>
                <w:b/>
                <w:bCs/>
                <w:lang w:val="en-GB"/>
              </w:rPr>
            </w:pPr>
            <w:r>
              <w:rPr>
                <w:b/>
                <w:bCs/>
                <w:lang w:val="en-GB"/>
              </w:rPr>
              <w:t>Strategic Planning and Management Informing Policy</w:t>
            </w:r>
            <w:r w:rsidR="002B43AB">
              <w:rPr>
                <w:b/>
                <w:bCs/>
                <w:lang w:val="en-GB"/>
              </w:rPr>
              <w:t xml:space="preserve">: Power and Influence </w:t>
            </w:r>
          </w:p>
          <w:p w14:paraId="4F47BCB1" w14:textId="78BF3DCF" w:rsidR="002B43AB" w:rsidRDefault="00B64922" w:rsidP="00BF0001">
            <w:pPr>
              <w:spacing w:line="0" w:lineRule="atLeast"/>
              <w:contextualSpacing/>
              <w:rPr>
                <w:lang w:val="en-GB"/>
              </w:rPr>
            </w:pPr>
            <w:r>
              <w:rPr>
                <w:lang w:val="en-GB"/>
              </w:rPr>
              <w:t xml:space="preserve">In this final session, we explore how M&amp;E as epistemic practice (develops knowledge) leads to policy, governance, and system-level reform. We examine the politics in the use of evidence, issues of scaling-up and contextual adaptation, tensions between research use vs research influence, and program success vs policy relevance, and policy translation. Some relevant theoretical/conceptual anchors include knowledge brokerage, policy scaling, and evidence-based and evidence-informed policy. </w:t>
            </w:r>
          </w:p>
          <w:p w14:paraId="78A19A11" w14:textId="77777777" w:rsidR="00B64922" w:rsidRDefault="00B64922" w:rsidP="00BF0001">
            <w:pPr>
              <w:spacing w:line="0" w:lineRule="atLeast"/>
              <w:contextualSpacing/>
              <w:rPr>
                <w:i/>
                <w:iCs/>
                <w:u w:val="single"/>
                <w:lang w:val="en-GB"/>
              </w:rPr>
            </w:pPr>
            <w:r>
              <w:rPr>
                <w:lang w:val="en-GB"/>
              </w:rPr>
              <w:br/>
            </w:r>
            <w:r w:rsidRPr="00B64922">
              <w:rPr>
                <w:i/>
                <w:iCs/>
                <w:u w:val="single"/>
                <w:lang w:val="en-GB"/>
              </w:rPr>
              <w:t>Recommended Readings:</w:t>
            </w:r>
          </w:p>
          <w:p w14:paraId="30F46FAA" w14:textId="191E590A" w:rsidR="00162268" w:rsidRDefault="00162268" w:rsidP="00881303">
            <w:pPr>
              <w:spacing w:line="0" w:lineRule="atLeast"/>
              <w:contextualSpacing/>
              <w:rPr>
                <w:lang w:val="en-GB"/>
              </w:rPr>
            </w:pPr>
            <w:r w:rsidRPr="00162268">
              <w:rPr>
                <w:lang w:val="en-GB"/>
              </w:rPr>
              <w:t xml:space="preserve">Abdul Latif Jameel Poverty Action Lab (JPAL). (2019, September; updated 2022, August). Teaching at the Right Level to improve learning. J-PAL Evidence to Policy Case Study. </w:t>
            </w:r>
            <w:hyperlink r:id="rId24" w:history="1">
              <w:r w:rsidRPr="00E3610A">
                <w:rPr>
                  <w:rStyle w:val="Hyperlink"/>
                  <w:lang w:val="en-GB"/>
                </w:rPr>
                <w:t>https://www.povertyactionlab.org/case-study/teaching-right-level-improve-learning</w:t>
              </w:r>
            </w:hyperlink>
          </w:p>
          <w:p w14:paraId="52A8D386" w14:textId="0CF5135C" w:rsidR="00162268" w:rsidRDefault="00162268" w:rsidP="00881303">
            <w:pPr>
              <w:spacing w:line="0" w:lineRule="atLeast"/>
              <w:contextualSpacing/>
              <w:rPr>
                <w:lang w:val="en-GB"/>
              </w:rPr>
            </w:pPr>
            <w:r w:rsidRPr="00162268">
              <w:rPr>
                <w:lang w:val="en-GB"/>
              </w:rPr>
              <w:t xml:space="preserve">Maruyama, T. (2023). Using evidence to improve and scale up development program in education: A case study from India. </w:t>
            </w:r>
            <w:r w:rsidRPr="00162268">
              <w:rPr>
                <w:i/>
                <w:iCs/>
                <w:lang w:val="en-GB"/>
              </w:rPr>
              <w:t>World Development Perspectives, 32</w:t>
            </w:r>
            <w:r w:rsidRPr="00162268">
              <w:rPr>
                <w:lang w:val="en-GB"/>
              </w:rPr>
              <w:t xml:space="preserve">. </w:t>
            </w:r>
            <w:hyperlink r:id="rId25" w:history="1">
              <w:r w:rsidRPr="00162268">
                <w:rPr>
                  <w:rStyle w:val="Hyperlink"/>
                  <w:lang w:val="en-GB"/>
                </w:rPr>
                <w:t>https://doi.org/10.1016/j.wdp.2023.100542</w:t>
              </w:r>
            </w:hyperlink>
          </w:p>
          <w:p w14:paraId="3E8006C8" w14:textId="2ABDE938" w:rsidR="00645904" w:rsidRDefault="00881303" w:rsidP="00881303">
            <w:pPr>
              <w:spacing w:line="0" w:lineRule="atLeast"/>
              <w:contextualSpacing/>
              <w:rPr>
                <w:lang w:val="en-GB"/>
              </w:rPr>
            </w:pPr>
            <w:r w:rsidRPr="00881303">
              <w:rPr>
                <w:lang w:val="en-GB"/>
              </w:rPr>
              <w:t xml:space="preserve">Nutley, S., Walter, I., &amp; Davies, H. (2007). </w:t>
            </w:r>
            <w:r w:rsidRPr="00881303">
              <w:rPr>
                <w:i/>
                <w:iCs/>
                <w:lang w:val="en-GB"/>
              </w:rPr>
              <w:t>Using evidence: How research can inform public services</w:t>
            </w:r>
            <w:r w:rsidRPr="00881303">
              <w:rPr>
                <w:lang w:val="en-GB"/>
              </w:rPr>
              <w:t>. Bristol, UK: Policy Press.</w:t>
            </w:r>
          </w:p>
          <w:p w14:paraId="0FCCA88C" w14:textId="3B3CDCE5" w:rsidR="00881303" w:rsidRPr="00881303" w:rsidRDefault="00881303" w:rsidP="00881303">
            <w:pPr>
              <w:spacing w:line="0" w:lineRule="atLeast"/>
              <w:contextualSpacing/>
              <w:rPr>
                <w:lang w:val="en-GB"/>
              </w:rPr>
            </w:pPr>
          </w:p>
        </w:tc>
      </w:tr>
      <w:tr w:rsidR="00EC4279" w:rsidRPr="00262E15" w14:paraId="1463072B" w14:textId="77777777" w:rsidTr="002F4CC6">
        <w:tc>
          <w:tcPr>
            <w:tcW w:w="1560" w:type="dxa"/>
          </w:tcPr>
          <w:p w14:paraId="7D8E1D6D" w14:textId="709CE903" w:rsidR="00EC4279" w:rsidRPr="00262E15" w:rsidRDefault="00EC4279" w:rsidP="00EC4279">
            <w:pPr>
              <w:spacing w:line="0" w:lineRule="atLeast"/>
              <w:contextualSpacing/>
              <w:rPr>
                <w:b/>
                <w:bCs/>
                <w:lang w:val="en-GB"/>
              </w:rPr>
            </w:pPr>
            <w:r w:rsidRPr="00262E15">
              <w:rPr>
                <w:b/>
                <w:bCs/>
                <w:lang w:val="en-GB"/>
              </w:rPr>
              <w:t xml:space="preserve">Session 15 </w:t>
            </w:r>
          </w:p>
          <w:p w14:paraId="71529CF2" w14:textId="014203F5" w:rsidR="00EC4279" w:rsidRPr="00262E15" w:rsidRDefault="00EC4279" w:rsidP="00EC4279">
            <w:pPr>
              <w:spacing w:line="0" w:lineRule="atLeast"/>
              <w:contextualSpacing/>
              <w:rPr>
                <w:b/>
                <w:bCs/>
                <w:lang w:val="en-GB"/>
              </w:rPr>
            </w:pPr>
            <w:r>
              <w:rPr>
                <w:lang w:val="en-GB"/>
              </w:rPr>
              <w:t>June 1</w:t>
            </w:r>
          </w:p>
        </w:tc>
        <w:tc>
          <w:tcPr>
            <w:tcW w:w="8080" w:type="dxa"/>
          </w:tcPr>
          <w:p w14:paraId="37FA3228" w14:textId="0F4244AD" w:rsidR="00EC4279" w:rsidRPr="00BF0001" w:rsidRDefault="00BF0001" w:rsidP="00EC4279">
            <w:pPr>
              <w:spacing w:line="0" w:lineRule="atLeast"/>
              <w:contextualSpacing/>
              <w:rPr>
                <w:b/>
                <w:bCs/>
                <w:i/>
                <w:iCs/>
                <w:lang w:val="en-GB"/>
              </w:rPr>
            </w:pPr>
            <w:r w:rsidRPr="00BF0001">
              <w:rPr>
                <w:b/>
                <w:bCs/>
                <w:i/>
                <w:iCs/>
                <w:lang w:val="en-GB"/>
              </w:rPr>
              <w:t>Final Paper Workshops/Consultation</w:t>
            </w:r>
          </w:p>
        </w:tc>
      </w:tr>
      <w:tr w:rsidR="00EC4279" w:rsidRPr="00262E15" w14:paraId="52439C76" w14:textId="77777777" w:rsidTr="002F4CC6">
        <w:tc>
          <w:tcPr>
            <w:tcW w:w="1560" w:type="dxa"/>
          </w:tcPr>
          <w:p w14:paraId="3E35EB47" w14:textId="48BA5345" w:rsidR="00EC4279" w:rsidRPr="00262E15" w:rsidRDefault="00EC4279" w:rsidP="00EC4279">
            <w:pPr>
              <w:spacing w:line="0" w:lineRule="atLeast"/>
              <w:contextualSpacing/>
              <w:rPr>
                <w:b/>
                <w:bCs/>
                <w:lang w:val="en-GB"/>
              </w:rPr>
            </w:pPr>
            <w:r w:rsidRPr="00262E15">
              <w:rPr>
                <w:b/>
                <w:bCs/>
                <w:lang w:val="en-GB"/>
              </w:rPr>
              <w:t>Session 16</w:t>
            </w:r>
          </w:p>
          <w:p w14:paraId="6B27037D" w14:textId="79C71707" w:rsidR="00EC4279" w:rsidRPr="00262E15" w:rsidRDefault="00EC4279" w:rsidP="00EC4279">
            <w:pPr>
              <w:spacing w:line="0" w:lineRule="atLeast"/>
              <w:contextualSpacing/>
              <w:rPr>
                <w:b/>
                <w:bCs/>
                <w:lang w:val="en-GB"/>
              </w:rPr>
            </w:pPr>
            <w:r>
              <w:rPr>
                <w:lang w:val="en-GB"/>
              </w:rPr>
              <w:t>June 8</w:t>
            </w:r>
          </w:p>
        </w:tc>
        <w:tc>
          <w:tcPr>
            <w:tcW w:w="8080" w:type="dxa"/>
          </w:tcPr>
          <w:p w14:paraId="52BDB132" w14:textId="19CB9DC3" w:rsidR="00EC4279" w:rsidRPr="00BF4168" w:rsidRDefault="0004003E" w:rsidP="00EC4279">
            <w:pPr>
              <w:spacing w:line="0" w:lineRule="atLeast"/>
              <w:contextualSpacing/>
              <w:rPr>
                <w:b/>
                <w:bCs/>
                <w:lang w:val="en-GB"/>
              </w:rPr>
            </w:pPr>
            <w:r>
              <w:rPr>
                <w:b/>
                <w:bCs/>
                <w:lang w:val="en-GB"/>
              </w:rPr>
              <w:t xml:space="preserve">Final Paper Presentations </w:t>
            </w:r>
          </w:p>
        </w:tc>
      </w:tr>
    </w:tbl>
    <w:p w14:paraId="5C637BDF" w14:textId="0AE72C19" w:rsidR="00162268" w:rsidRPr="00F70DC1" w:rsidRDefault="00162268"/>
    <w:sectPr w:rsidR="00162268" w:rsidRPr="00F70DC1" w:rsidSect="00D94345">
      <w:footerReference w:type="default" r:id="rId26"/>
      <w:footerReference w:type="first" r:id="rId27"/>
      <w:pgSz w:w="11906" w:h="16838"/>
      <w:pgMar w:top="1304" w:right="1440" w:bottom="1418" w:left="1440" w:header="170"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07672" w14:textId="77777777" w:rsidR="00A018ED" w:rsidRDefault="00A018ED" w:rsidP="00F53800">
      <w:r>
        <w:separator/>
      </w:r>
    </w:p>
  </w:endnote>
  <w:endnote w:type="continuationSeparator" w:id="0">
    <w:p w14:paraId="0A53828B" w14:textId="77777777" w:rsidR="00A018ED" w:rsidRDefault="00A018ED" w:rsidP="00F53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DFKai-SB">
    <w:altName w:val="Microsoft YaHei"/>
    <w:panose1 w:val="020B0604020202020204"/>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2789925"/>
      <w:docPartObj>
        <w:docPartGallery w:val="Page Numbers (Bottom of Page)"/>
        <w:docPartUnique/>
      </w:docPartObj>
    </w:sdtPr>
    <w:sdtEndPr>
      <w:rPr>
        <w:noProof/>
      </w:rPr>
    </w:sdtEndPr>
    <w:sdtContent>
      <w:p w14:paraId="00ACF86C" w14:textId="77777777" w:rsidR="005627B7" w:rsidRDefault="005627B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A6317A" w14:textId="77777777" w:rsidR="005627B7" w:rsidRDefault="005627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82409278"/>
      <w:docPartObj>
        <w:docPartGallery w:val="Page Numbers (Bottom of Page)"/>
        <w:docPartUnique/>
      </w:docPartObj>
    </w:sdtPr>
    <w:sdtEndPr>
      <w:rPr>
        <w:noProof/>
      </w:rPr>
    </w:sdtEndPr>
    <w:sdtContent>
      <w:p w14:paraId="24D57252" w14:textId="3C6D1458" w:rsidR="00F605C8" w:rsidRPr="00F605C8" w:rsidRDefault="00F605C8">
        <w:pPr>
          <w:pStyle w:val="Footer"/>
          <w:jc w:val="right"/>
          <w:rPr>
            <w:sz w:val="22"/>
            <w:szCs w:val="22"/>
          </w:rPr>
        </w:pPr>
        <w:r w:rsidRPr="00F605C8">
          <w:rPr>
            <w:sz w:val="22"/>
            <w:szCs w:val="22"/>
          </w:rPr>
          <w:fldChar w:fldCharType="begin"/>
        </w:r>
        <w:r w:rsidRPr="00F605C8">
          <w:rPr>
            <w:sz w:val="22"/>
            <w:szCs w:val="22"/>
          </w:rPr>
          <w:instrText xml:space="preserve"> PAGE   \* MERGEFORMAT </w:instrText>
        </w:r>
        <w:r w:rsidRPr="00F605C8">
          <w:rPr>
            <w:sz w:val="22"/>
            <w:szCs w:val="22"/>
          </w:rPr>
          <w:fldChar w:fldCharType="separate"/>
        </w:r>
        <w:r w:rsidRPr="00F605C8">
          <w:rPr>
            <w:noProof/>
            <w:sz w:val="22"/>
            <w:szCs w:val="22"/>
          </w:rPr>
          <w:t>2</w:t>
        </w:r>
        <w:r w:rsidRPr="00F605C8">
          <w:rPr>
            <w:noProof/>
            <w:sz w:val="22"/>
            <w:szCs w:val="22"/>
          </w:rPr>
          <w:fldChar w:fldCharType="end"/>
        </w:r>
      </w:p>
    </w:sdtContent>
  </w:sdt>
  <w:p w14:paraId="25F0E031" w14:textId="77777777" w:rsidR="00F605C8" w:rsidRDefault="00F605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0FBC4" w14:textId="77777777" w:rsidR="00A018ED" w:rsidRDefault="00A018ED" w:rsidP="00F53800">
      <w:r>
        <w:separator/>
      </w:r>
    </w:p>
  </w:footnote>
  <w:footnote w:type="continuationSeparator" w:id="0">
    <w:p w14:paraId="63ED77D6" w14:textId="77777777" w:rsidR="00A018ED" w:rsidRDefault="00A018ED" w:rsidP="00F538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2EA7291"/>
    <w:multiLevelType w:val="multilevel"/>
    <w:tmpl w:val="FBAEF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E5A20"/>
    <w:multiLevelType w:val="hybridMultilevel"/>
    <w:tmpl w:val="8960C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683863"/>
    <w:multiLevelType w:val="hybridMultilevel"/>
    <w:tmpl w:val="C2A830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C77778"/>
    <w:multiLevelType w:val="hybridMultilevel"/>
    <w:tmpl w:val="F18E71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3D80886"/>
    <w:multiLevelType w:val="hybridMultilevel"/>
    <w:tmpl w:val="6F7A0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FB5778"/>
    <w:multiLevelType w:val="hybridMultilevel"/>
    <w:tmpl w:val="36188330"/>
    <w:lvl w:ilvl="0" w:tplc="08090001">
      <w:start w:val="1"/>
      <w:numFmt w:val="bullet"/>
      <w:lvlText w:val=""/>
      <w:lvlJc w:val="left"/>
      <w:pPr>
        <w:ind w:left="835" w:hanging="360"/>
      </w:pPr>
      <w:rPr>
        <w:rFonts w:ascii="Symbol" w:hAnsi="Symbol" w:hint="default"/>
      </w:rPr>
    </w:lvl>
    <w:lvl w:ilvl="1" w:tplc="08090003">
      <w:start w:val="1"/>
      <w:numFmt w:val="bullet"/>
      <w:lvlText w:val="o"/>
      <w:lvlJc w:val="left"/>
      <w:pPr>
        <w:ind w:left="1555" w:hanging="360"/>
      </w:pPr>
      <w:rPr>
        <w:rFonts w:ascii="Courier New" w:hAnsi="Courier New" w:cs="Courier New" w:hint="default"/>
      </w:rPr>
    </w:lvl>
    <w:lvl w:ilvl="2" w:tplc="08090005" w:tentative="1">
      <w:start w:val="1"/>
      <w:numFmt w:val="bullet"/>
      <w:lvlText w:val=""/>
      <w:lvlJc w:val="left"/>
      <w:pPr>
        <w:ind w:left="2275" w:hanging="360"/>
      </w:pPr>
      <w:rPr>
        <w:rFonts w:ascii="Wingdings" w:hAnsi="Wingdings" w:hint="default"/>
      </w:rPr>
    </w:lvl>
    <w:lvl w:ilvl="3" w:tplc="08090001" w:tentative="1">
      <w:start w:val="1"/>
      <w:numFmt w:val="bullet"/>
      <w:lvlText w:val=""/>
      <w:lvlJc w:val="left"/>
      <w:pPr>
        <w:ind w:left="2995" w:hanging="360"/>
      </w:pPr>
      <w:rPr>
        <w:rFonts w:ascii="Symbol" w:hAnsi="Symbol" w:hint="default"/>
      </w:rPr>
    </w:lvl>
    <w:lvl w:ilvl="4" w:tplc="08090003" w:tentative="1">
      <w:start w:val="1"/>
      <w:numFmt w:val="bullet"/>
      <w:lvlText w:val="o"/>
      <w:lvlJc w:val="left"/>
      <w:pPr>
        <w:ind w:left="3715" w:hanging="360"/>
      </w:pPr>
      <w:rPr>
        <w:rFonts w:ascii="Courier New" w:hAnsi="Courier New" w:cs="Courier New" w:hint="default"/>
      </w:rPr>
    </w:lvl>
    <w:lvl w:ilvl="5" w:tplc="08090005" w:tentative="1">
      <w:start w:val="1"/>
      <w:numFmt w:val="bullet"/>
      <w:lvlText w:val=""/>
      <w:lvlJc w:val="left"/>
      <w:pPr>
        <w:ind w:left="4435" w:hanging="360"/>
      </w:pPr>
      <w:rPr>
        <w:rFonts w:ascii="Wingdings" w:hAnsi="Wingdings" w:hint="default"/>
      </w:rPr>
    </w:lvl>
    <w:lvl w:ilvl="6" w:tplc="08090001" w:tentative="1">
      <w:start w:val="1"/>
      <w:numFmt w:val="bullet"/>
      <w:lvlText w:val=""/>
      <w:lvlJc w:val="left"/>
      <w:pPr>
        <w:ind w:left="5155" w:hanging="360"/>
      </w:pPr>
      <w:rPr>
        <w:rFonts w:ascii="Symbol" w:hAnsi="Symbol" w:hint="default"/>
      </w:rPr>
    </w:lvl>
    <w:lvl w:ilvl="7" w:tplc="08090003" w:tentative="1">
      <w:start w:val="1"/>
      <w:numFmt w:val="bullet"/>
      <w:lvlText w:val="o"/>
      <w:lvlJc w:val="left"/>
      <w:pPr>
        <w:ind w:left="5875" w:hanging="360"/>
      </w:pPr>
      <w:rPr>
        <w:rFonts w:ascii="Courier New" w:hAnsi="Courier New" w:cs="Courier New" w:hint="default"/>
      </w:rPr>
    </w:lvl>
    <w:lvl w:ilvl="8" w:tplc="08090005" w:tentative="1">
      <w:start w:val="1"/>
      <w:numFmt w:val="bullet"/>
      <w:lvlText w:val=""/>
      <w:lvlJc w:val="left"/>
      <w:pPr>
        <w:ind w:left="6595" w:hanging="360"/>
      </w:pPr>
      <w:rPr>
        <w:rFonts w:ascii="Wingdings" w:hAnsi="Wingdings" w:hint="default"/>
      </w:rPr>
    </w:lvl>
  </w:abstractNum>
  <w:abstractNum w:abstractNumId="7" w15:restartNumberingAfterBreak="0">
    <w:nsid w:val="22E013AE"/>
    <w:multiLevelType w:val="hybridMultilevel"/>
    <w:tmpl w:val="66D45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C95FE2"/>
    <w:multiLevelType w:val="hybridMultilevel"/>
    <w:tmpl w:val="ACB66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186A57"/>
    <w:multiLevelType w:val="hybridMultilevel"/>
    <w:tmpl w:val="4DC28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E61F59"/>
    <w:multiLevelType w:val="hybridMultilevel"/>
    <w:tmpl w:val="BEE86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2D37B7"/>
    <w:multiLevelType w:val="hybridMultilevel"/>
    <w:tmpl w:val="5B007B98"/>
    <w:lvl w:ilvl="0" w:tplc="0E5E991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A422B5"/>
    <w:multiLevelType w:val="hybridMultilevel"/>
    <w:tmpl w:val="41B66F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66C7D10"/>
    <w:multiLevelType w:val="hybridMultilevel"/>
    <w:tmpl w:val="63AE7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817A71"/>
    <w:multiLevelType w:val="hybridMultilevel"/>
    <w:tmpl w:val="3C1C7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6D114D"/>
    <w:multiLevelType w:val="hybridMultilevel"/>
    <w:tmpl w:val="CA0CB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955BB6"/>
    <w:multiLevelType w:val="hybridMultilevel"/>
    <w:tmpl w:val="4E06C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732173"/>
    <w:multiLevelType w:val="hybridMultilevel"/>
    <w:tmpl w:val="BDDC4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9E6C89"/>
    <w:multiLevelType w:val="hybridMultilevel"/>
    <w:tmpl w:val="18CCD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7D5861"/>
    <w:multiLevelType w:val="hybridMultilevel"/>
    <w:tmpl w:val="97262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0A6510"/>
    <w:multiLevelType w:val="hybridMultilevel"/>
    <w:tmpl w:val="C3981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DB5291"/>
    <w:multiLevelType w:val="hybridMultilevel"/>
    <w:tmpl w:val="7E24B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3E74A4"/>
    <w:multiLevelType w:val="multilevel"/>
    <w:tmpl w:val="04208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8373C5"/>
    <w:multiLevelType w:val="hybridMultilevel"/>
    <w:tmpl w:val="36BA0C60"/>
    <w:lvl w:ilvl="0" w:tplc="0409000B">
      <w:start w:val="1"/>
      <w:numFmt w:val="bullet"/>
      <w:lvlText w:val=""/>
      <w:lvlJc w:val="left"/>
      <w:pPr>
        <w:ind w:left="1344" w:hanging="480"/>
      </w:pPr>
      <w:rPr>
        <w:rFonts w:ascii="Wingdings" w:hAnsi="Wingdings" w:hint="default"/>
      </w:rPr>
    </w:lvl>
    <w:lvl w:ilvl="1" w:tplc="04090003" w:tentative="1">
      <w:start w:val="1"/>
      <w:numFmt w:val="bullet"/>
      <w:lvlText w:val=""/>
      <w:lvlJc w:val="left"/>
      <w:pPr>
        <w:ind w:left="1824" w:hanging="480"/>
      </w:pPr>
      <w:rPr>
        <w:rFonts w:ascii="Wingdings" w:hAnsi="Wingdings" w:hint="default"/>
      </w:rPr>
    </w:lvl>
    <w:lvl w:ilvl="2" w:tplc="04090005" w:tentative="1">
      <w:start w:val="1"/>
      <w:numFmt w:val="bullet"/>
      <w:lvlText w:val=""/>
      <w:lvlJc w:val="left"/>
      <w:pPr>
        <w:ind w:left="2304" w:hanging="480"/>
      </w:pPr>
      <w:rPr>
        <w:rFonts w:ascii="Wingdings" w:hAnsi="Wingdings" w:hint="default"/>
      </w:rPr>
    </w:lvl>
    <w:lvl w:ilvl="3" w:tplc="04090001" w:tentative="1">
      <w:start w:val="1"/>
      <w:numFmt w:val="bullet"/>
      <w:lvlText w:val=""/>
      <w:lvlJc w:val="left"/>
      <w:pPr>
        <w:ind w:left="2784" w:hanging="480"/>
      </w:pPr>
      <w:rPr>
        <w:rFonts w:ascii="Wingdings" w:hAnsi="Wingdings" w:hint="default"/>
      </w:rPr>
    </w:lvl>
    <w:lvl w:ilvl="4" w:tplc="04090003" w:tentative="1">
      <w:start w:val="1"/>
      <w:numFmt w:val="bullet"/>
      <w:lvlText w:val=""/>
      <w:lvlJc w:val="left"/>
      <w:pPr>
        <w:ind w:left="3264" w:hanging="480"/>
      </w:pPr>
      <w:rPr>
        <w:rFonts w:ascii="Wingdings" w:hAnsi="Wingdings" w:hint="default"/>
      </w:rPr>
    </w:lvl>
    <w:lvl w:ilvl="5" w:tplc="04090005" w:tentative="1">
      <w:start w:val="1"/>
      <w:numFmt w:val="bullet"/>
      <w:lvlText w:val=""/>
      <w:lvlJc w:val="left"/>
      <w:pPr>
        <w:ind w:left="3744" w:hanging="480"/>
      </w:pPr>
      <w:rPr>
        <w:rFonts w:ascii="Wingdings" w:hAnsi="Wingdings" w:hint="default"/>
      </w:rPr>
    </w:lvl>
    <w:lvl w:ilvl="6" w:tplc="04090001" w:tentative="1">
      <w:start w:val="1"/>
      <w:numFmt w:val="bullet"/>
      <w:lvlText w:val=""/>
      <w:lvlJc w:val="left"/>
      <w:pPr>
        <w:ind w:left="4224" w:hanging="480"/>
      </w:pPr>
      <w:rPr>
        <w:rFonts w:ascii="Wingdings" w:hAnsi="Wingdings" w:hint="default"/>
      </w:rPr>
    </w:lvl>
    <w:lvl w:ilvl="7" w:tplc="04090003" w:tentative="1">
      <w:start w:val="1"/>
      <w:numFmt w:val="bullet"/>
      <w:lvlText w:val=""/>
      <w:lvlJc w:val="left"/>
      <w:pPr>
        <w:ind w:left="4704" w:hanging="480"/>
      </w:pPr>
      <w:rPr>
        <w:rFonts w:ascii="Wingdings" w:hAnsi="Wingdings" w:hint="default"/>
      </w:rPr>
    </w:lvl>
    <w:lvl w:ilvl="8" w:tplc="04090005" w:tentative="1">
      <w:start w:val="1"/>
      <w:numFmt w:val="bullet"/>
      <w:lvlText w:val=""/>
      <w:lvlJc w:val="left"/>
      <w:pPr>
        <w:ind w:left="5184" w:hanging="480"/>
      </w:pPr>
      <w:rPr>
        <w:rFonts w:ascii="Wingdings" w:hAnsi="Wingdings" w:hint="default"/>
      </w:rPr>
    </w:lvl>
  </w:abstractNum>
  <w:abstractNum w:abstractNumId="24" w15:restartNumberingAfterBreak="0">
    <w:nsid w:val="50213970"/>
    <w:multiLevelType w:val="hybridMultilevel"/>
    <w:tmpl w:val="0DCA7070"/>
    <w:lvl w:ilvl="0" w:tplc="0E5E991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0E3F4D"/>
    <w:multiLevelType w:val="hybridMultilevel"/>
    <w:tmpl w:val="4A061520"/>
    <w:lvl w:ilvl="0" w:tplc="08090001">
      <w:start w:val="1"/>
      <w:numFmt w:val="bullet"/>
      <w:lvlText w:val=""/>
      <w:lvlJc w:val="left"/>
      <w:pPr>
        <w:ind w:left="835" w:hanging="360"/>
      </w:pPr>
      <w:rPr>
        <w:rFonts w:ascii="Symbol" w:hAnsi="Symbol" w:hint="default"/>
      </w:rPr>
    </w:lvl>
    <w:lvl w:ilvl="1" w:tplc="08090003" w:tentative="1">
      <w:start w:val="1"/>
      <w:numFmt w:val="bullet"/>
      <w:lvlText w:val="o"/>
      <w:lvlJc w:val="left"/>
      <w:pPr>
        <w:ind w:left="1555" w:hanging="360"/>
      </w:pPr>
      <w:rPr>
        <w:rFonts w:ascii="Courier New" w:hAnsi="Courier New" w:cs="Courier New" w:hint="default"/>
      </w:rPr>
    </w:lvl>
    <w:lvl w:ilvl="2" w:tplc="08090005" w:tentative="1">
      <w:start w:val="1"/>
      <w:numFmt w:val="bullet"/>
      <w:lvlText w:val=""/>
      <w:lvlJc w:val="left"/>
      <w:pPr>
        <w:ind w:left="2275" w:hanging="360"/>
      </w:pPr>
      <w:rPr>
        <w:rFonts w:ascii="Wingdings" w:hAnsi="Wingdings" w:hint="default"/>
      </w:rPr>
    </w:lvl>
    <w:lvl w:ilvl="3" w:tplc="08090001" w:tentative="1">
      <w:start w:val="1"/>
      <w:numFmt w:val="bullet"/>
      <w:lvlText w:val=""/>
      <w:lvlJc w:val="left"/>
      <w:pPr>
        <w:ind w:left="2995" w:hanging="360"/>
      </w:pPr>
      <w:rPr>
        <w:rFonts w:ascii="Symbol" w:hAnsi="Symbol" w:hint="default"/>
      </w:rPr>
    </w:lvl>
    <w:lvl w:ilvl="4" w:tplc="08090003" w:tentative="1">
      <w:start w:val="1"/>
      <w:numFmt w:val="bullet"/>
      <w:lvlText w:val="o"/>
      <w:lvlJc w:val="left"/>
      <w:pPr>
        <w:ind w:left="3715" w:hanging="360"/>
      </w:pPr>
      <w:rPr>
        <w:rFonts w:ascii="Courier New" w:hAnsi="Courier New" w:cs="Courier New" w:hint="default"/>
      </w:rPr>
    </w:lvl>
    <w:lvl w:ilvl="5" w:tplc="08090005" w:tentative="1">
      <w:start w:val="1"/>
      <w:numFmt w:val="bullet"/>
      <w:lvlText w:val=""/>
      <w:lvlJc w:val="left"/>
      <w:pPr>
        <w:ind w:left="4435" w:hanging="360"/>
      </w:pPr>
      <w:rPr>
        <w:rFonts w:ascii="Wingdings" w:hAnsi="Wingdings" w:hint="default"/>
      </w:rPr>
    </w:lvl>
    <w:lvl w:ilvl="6" w:tplc="08090001" w:tentative="1">
      <w:start w:val="1"/>
      <w:numFmt w:val="bullet"/>
      <w:lvlText w:val=""/>
      <w:lvlJc w:val="left"/>
      <w:pPr>
        <w:ind w:left="5155" w:hanging="360"/>
      </w:pPr>
      <w:rPr>
        <w:rFonts w:ascii="Symbol" w:hAnsi="Symbol" w:hint="default"/>
      </w:rPr>
    </w:lvl>
    <w:lvl w:ilvl="7" w:tplc="08090003" w:tentative="1">
      <w:start w:val="1"/>
      <w:numFmt w:val="bullet"/>
      <w:lvlText w:val="o"/>
      <w:lvlJc w:val="left"/>
      <w:pPr>
        <w:ind w:left="5875" w:hanging="360"/>
      </w:pPr>
      <w:rPr>
        <w:rFonts w:ascii="Courier New" w:hAnsi="Courier New" w:cs="Courier New" w:hint="default"/>
      </w:rPr>
    </w:lvl>
    <w:lvl w:ilvl="8" w:tplc="08090005" w:tentative="1">
      <w:start w:val="1"/>
      <w:numFmt w:val="bullet"/>
      <w:lvlText w:val=""/>
      <w:lvlJc w:val="left"/>
      <w:pPr>
        <w:ind w:left="6595" w:hanging="360"/>
      </w:pPr>
      <w:rPr>
        <w:rFonts w:ascii="Wingdings" w:hAnsi="Wingdings" w:hint="default"/>
      </w:rPr>
    </w:lvl>
  </w:abstractNum>
  <w:abstractNum w:abstractNumId="26" w15:restartNumberingAfterBreak="0">
    <w:nsid w:val="51FA1AB5"/>
    <w:multiLevelType w:val="hybridMultilevel"/>
    <w:tmpl w:val="8E12F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D9593A"/>
    <w:multiLevelType w:val="hybridMultilevel"/>
    <w:tmpl w:val="AD04D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5B0325"/>
    <w:multiLevelType w:val="hybridMultilevel"/>
    <w:tmpl w:val="A84CE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772A17"/>
    <w:multiLevelType w:val="hybridMultilevel"/>
    <w:tmpl w:val="F0824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66027"/>
    <w:multiLevelType w:val="hybridMultilevel"/>
    <w:tmpl w:val="EA5EA0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A436990"/>
    <w:multiLevelType w:val="hybridMultilevel"/>
    <w:tmpl w:val="2F30BBE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2" w15:restartNumberingAfterBreak="0">
    <w:nsid w:val="6FA312B8"/>
    <w:multiLevelType w:val="hybridMultilevel"/>
    <w:tmpl w:val="817ACD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2230A2E"/>
    <w:multiLevelType w:val="multilevel"/>
    <w:tmpl w:val="4DDEA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5DA0771"/>
    <w:multiLevelType w:val="hybridMultilevel"/>
    <w:tmpl w:val="6A7A6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985C50"/>
    <w:multiLevelType w:val="hybridMultilevel"/>
    <w:tmpl w:val="5A1C5AF4"/>
    <w:lvl w:ilvl="0" w:tplc="08090001">
      <w:start w:val="1"/>
      <w:numFmt w:val="bullet"/>
      <w:lvlText w:val=""/>
      <w:lvlJc w:val="left"/>
      <w:pPr>
        <w:ind w:left="835" w:hanging="360"/>
      </w:pPr>
      <w:rPr>
        <w:rFonts w:ascii="Symbol" w:hAnsi="Symbol" w:hint="default"/>
      </w:rPr>
    </w:lvl>
    <w:lvl w:ilvl="1" w:tplc="08090003" w:tentative="1">
      <w:start w:val="1"/>
      <w:numFmt w:val="bullet"/>
      <w:lvlText w:val="o"/>
      <w:lvlJc w:val="left"/>
      <w:pPr>
        <w:ind w:left="1555" w:hanging="360"/>
      </w:pPr>
      <w:rPr>
        <w:rFonts w:ascii="Courier New" w:hAnsi="Courier New" w:cs="Courier New" w:hint="default"/>
      </w:rPr>
    </w:lvl>
    <w:lvl w:ilvl="2" w:tplc="08090005" w:tentative="1">
      <w:start w:val="1"/>
      <w:numFmt w:val="bullet"/>
      <w:lvlText w:val=""/>
      <w:lvlJc w:val="left"/>
      <w:pPr>
        <w:ind w:left="2275" w:hanging="360"/>
      </w:pPr>
      <w:rPr>
        <w:rFonts w:ascii="Wingdings" w:hAnsi="Wingdings" w:hint="default"/>
      </w:rPr>
    </w:lvl>
    <w:lvl w:ilvl="3" w:tplc="08090001" w:tentative="1">
      <w:start w:val="1"/>
      <w:numFmt w:val="bullet"/>
      <w:lvlText w:val=""/>
      <w:lvlJc w:val="left"/>
      <w:pPr>
        <w:ind w:left="2995" w:hanging="360"/>
      </w:pPr>
      <w:rPr>
        <w:rFonts w:ascii="Symbol" w:hAnsi="Symbol" w:hint="default"/>
      </w:rPr>
    </w:lvl>
    <w:lvl w:ilvl="4" w:tplc="08090003" w:tentative="1">
      <w:start w:val="1"/>
      <w:numFmt w:val="bullet"/>
      <w:lvlText w:val="o"/>
      <w:lvlJc w:val="left"/>
      <w:pPr>
        <w:ind w:left="3715" w:hanging="360"/>
      </w:pPr>
      <w:rPr>
        <w:rFonts w:ascii="Courier New" w:hAnsi="Courier New" w:cs="Courier New" w:hint="default"/>
      </w:rPr>
    </w:lvl>
    <w:lvl w:ilvl="5" w:tplc="08090005" w:tentative="1">
      <w:start w:val="1"/>
      <w:numFmt w:val="bullet"/>
      <w:lvlText w:val=""/>
      <w:lvlJc w:val="left"/>
      <w:pPr>
        <w:ind w:left="4435" w:hanging="360"/>
      </w:pPr>
      <w:rPr>
        <w:rFonts w:ascii="Wingdings" w:hAnsi="Wingdings" w:hint="default"/>
      </w:rPr>
    </w:lvl>
    <w:lvl w:ilvl="6" w:tplc="08090001" w:tentative="1">
      <w:start w:val="1"/>
      <w:numFmt w:val="bullet"/>
      <w:lvlText w:val=""/>
      <w:lvlJc w:val="left"/>
      <w:pPr>
        <w:ind w:left="5155" w:hanging="360"/>
      </w:pPr>
      <w:rPr>
        <w:rFonts w:ascii="Symbol" w:hAnsi="Symbol" w:hint="default"/>
      </w:rPr>
    </w:lvl>
    <w:lvl w:ilvl="7" w:tplc="08090003" w:tentative="1">
      <w:start w:val="1"/>
      <w:numFmt w:val="bullet"/>
      <w:lvlText w:val="o"/>
      <w:lvlJc w:val="left"/>
      <w:pPr>
        <w:ind w:left="5875" w:hanging="360"/>
      </w:pPr>
      <w:rPr>
        <w:rFonts w:ascii="Courier New" w:hAnsi="Courier New" w:cs="Courier New" w:hint="default"/>
      </w:rPr>
    </w:lvl>
    <w:lvl w:ilvl="8" w:tplc="08090005" w:tentative="1">
      <w:start w:val="1"/>
      <w:numFmt w:val="bullet"/>
      <w:lvlText w:val=""/>
      <w:lvlJc w:val="left"/>
      <w:pPr>
        <w:ind w:left="6595" w:hanging="360"/>
      </w:pPr>
      <w:rPr>
        <w:rFonts w:ascii="Wingdings" w:hAnsi="Wingdings" w:hint="default"/>
      </w:rPr>
    </w:lvl>
  </w:abstractNum>
  <w:abstractNum w:abstractNumId="36" w15:restartNumberingAfterBreak="0">
    <w:nsid w:val="7F2E6D87"/>
    <w:multiLevelType w:val="multilevel"/>
    <w:tmpl w:val="5C36F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1123473">
    <w:abstractNumId w:val="12"/>
  </w:num>
  <w:num w:numId="2" w16cid:durableId="1480272388">
    <w:abstractNumId w:val="3"/>
  </w:num>
  <w:num w:numId="3" w16cid:durableId="13650766">
    <w:abstractNumId w:val="10"/>
  </w:num>
  <w:num w:numId="4" w16cid:durableId="1954290574">
    <w:abstractNumId w:val="9"/>
  </w:num>
  <w:num w:numId="5" w16cid:durableId="1781796266">
    <w:abstractNumId w:val="31"/>
  </w:num>
  <w:num w:numId="6" w16cid:durableId="1225064663">
    <w:abstractNumId w:val="21"/>
  </w:num>
  <w:num w:numId="7" w16cid:durableId="1105492462">
    <w:abstractNumId w:val="4"/>
  </w:num>
  <w:num w:numId="8" w16cid:durableId="1102988659">
    <w:abstractNumId w:val="22"/>
  </w:num>
  <w:num w:numId="9" w16cid:durableId="1989899083">
    <w:abstractNumId w:val="26"/>
  </w:num>
  <w:num w:numId="10" w16cid:durableId="106588359">
    <w:abstractNumId w:val="32"/>
  </w:num>
  <w:num w:numId="11" w16cid:durableId="1445541850">
    <w:abstractNumId w:val="14"/>
  </w:num>
  <w:num w:numId="12" w16cid:durableId="1788692337">
    <w:abstractNumId w:val="34"/>
  </w:num>
  <w:num w:numId="13" w16cid:durableId="1341471179">
    <w:abstractNumId w:val="28"/>
  </w:num>
  <w:num w:numId="14" w16cid:durableId="1635332828">
    <w:abstractNumId w:val="29"/>
  </w:num>
  <w:num w:numId="15" w16cid:durableId="1855261791">
    <w:abstractNumId w:val="15"/>
  </w:num>
  <w:num w:numId="16" w16cid:durableId="531502804">
    <w:abstractNumId w:val="27"/>
  </w:num>
  <w:num w:numId="17" w16cid:durableId="605815749">
    <w:abstractNumId w:val="8"/>
  </w:num>
  <w:num w:numId="18" w16cid:durableId="1399014573">
    <w:abstractNumId w:val="5"/>
  </w:num>
  <w:num w:numId="19" w16cid:durableId="1405109493">
    <w:abstractNumId w:val="18"/>
  </w:num>
  <w:num w:numId="20" w16cid:durableId="1503008196">
    <w:abstractNumId w:val="11"/>
  </w:num>
  <w:num w:numId="21" w16cid:durableId="1981765098">
    <w:abstractNumId w:val="24"/>
  </w:num>
  <w:num w:numId="22" w16cid:durableId="176771556">
    <w:abstractNumId w:val="7"/>
  </w:num>
  <w:num w:numId="23" w16cid:durableId="117335007">
    <w:abstractNumId w:val="17"/>
  </w:num>
  <w:num w:numId="24" w16cid:durableId="921140797">
    <w:abstractNumId w:val="13"/>
  </w:num>
  <w:num w:numId="25" w16cid:durableId="948706852">
    <w:abstractNumId w:val="20"/>
  </w:num>
  <w:num w:numId="26" w16cid:durableId="181819828">
    <w:abstractNumId w:val="2"/>
  </w:num>
  <w:num w:numId="27" w16cid:durableId="586572428">
    <w:abstractNumId w:val="19"/>
  </w:num>
  <w:num w:numId="28" w16cid:durableId="830826700">
    <w:abstractNumId w:val="16"/>
  </w:num>
  <w:num w:numId="29" w16cid:durableId="351345553">
    <w:abstractNumId w:val="6"/>
  </w:num>
  <w:num w:numId="30" w16cid:durableId="1407145808">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1" w16cid:durableId="1815217372">
    <w:abstractNumId w:val="23"/>
  </w:num>
  <w:num w:numId="32" w16cid:durableId="741490979">
    <w:abstractNumId w:val="25"/>
  </w:num>
  <w:num w:numId="33" w16cid:durableId="1432049993">
    <w:abstractNumId w:val="30"/>
  </w:num>
  <w:num w:numId="34" w16cid:durableId="1737437460">
    <w:abstractNumId w:val="35"/>
  </w:num>
  <w:num w:numId="35" w16cid:durableId="299848723">
    <w:abstractNumId w:val="36"/>
  </w:num>
  <w:num w:numId="36" w16cid:durableId="2074115670">
    <w:abstractNumId w:val="33"/>
  </w:num>
  <w:num w:numId="37" w16cid:durableId="42562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BCC"/>
    <w:rsid w:val="0000153C"/>
    <w:rsid w:val="00002496"/>
    <w:rsid w:val="00003C92"/>
    <w:rsid w:val="00004B33"/>
    <w:rsid w:val="00004F83"/>
    <w:rsid w:val="00006BFC"/>
    <w:rsid w:val="00007FA1"/>
    <w:rsid w:val="00010195"/>
    <w:rsid w:val="00014E44"/>
    <w:rsid w:val="0001578B"/>
    <w:rsid w:val="00015FB3"/>
    <w:rsid w:val="00016738"/>
    <w:rsid w:val="00021E03"/>
    <w:rsid w:val="000243D0"/>
    <w:rsid w:val="00027398"/>
    <w:rsid w:val="000309D6"/>
    <w:rsid w:val="00032619"/>
    <w:rsid w:val="000336D1"/>
    <w:rsid w:val="0004003E"/>
    <w:rsid w:val="000401B2"/>
    <w:rsid w:val="000475B5"/>
    <w:rsid w:val="00050F25"/>
    <w:rsid w:val="000511A3"/>
    <w:rsid w:val="000522FB"/>
    <w:rsid w:val="00057CF4"/>
    <w:rsid w:val="00062459"/>
    <w:rsid w:val="00064015"/>
    <w:rsid w:val="0006773F"/>
    <w:rsid w:val="00073499"/>
    <w:rsid w:val="00073832"/>
    <w:rsid w:val="000747D5"/>
    <w:rsid w:val="00076871"/>
    <w:rsid w:val="00077BAF"/>
    <w:rsid w:val="0008022C"/>
    <w:rsid w:val="000873F7"/>
    <w:rsid w:val="00093C5A"/>
    <w:rsid w:val="000973B3"/>
    <w:rsid w:val="000A51C2"/>
    <w:rsid w:val="000A54C3"/>
    <w:rsid w:val="000A58CF"/>
    <w:rsid w:val="000B4833"/>
    <w:rsid w:val="000B5479"/>
    <w:rsid w:val="000B63C0"/>
    <w:rsid w:val="000C1BCF"/>
    <w:rsid w:val="000C72CF"/>
    <w:rsid w:val="000D1475"/>
    <w:rsid w:val="000D41B0"/>
    <w:rsid w:val="000E1225"/>
    <w:rsid w:val="000E2B53"/>
    <w:rsid w:val="000E406C"/>
    <w:rsid w:val="000E5573"/>
    <w:rsid w:val="000E630C"/>
    <w:rsid w:val="000F5BFF"/>
    <w:rsid w:val="00100A4A"/>
    <w:rsid w:val="00101E36"/>
    <w:rsid w:val="00102D56"/>
    <w:rsid w:val="00103B9F"/>
    <w:rsid w:val="0010411D"/>
    <w:rsid w:val="00104C5A"/>
    <w:rsid w:val="00111E23"/>
    <w:rsid w:val="00115FE5"/>
    <w:rsid w:val="00117F4F"/>
    <w:rsid w:val="00121A5D"/>
    <w:rsid w:val="0013315D"/>
    <w:rsid w:val="00134372"/>
    <w:rsid w:val="00134377"/>
    <w:rsid w:val="00135009"/>
    <w:rsid w:val="00135779"/>
    <w:rsid w:val="00143531"/>
    <w:rsid w:val="001465B7"/>
    <w:rsid w:val="00153015"/>
    <w:rsid w:val="0015350A"/>
    <w:rsid w:val="00157F57"/>
    <w:rsid w:val="00161C73"/>
    <w:rsid w:val="00162268"/>
    <w:rsid w:val="001649FD"/>
    <w:rsid w:val="00167269"/>
    <w:rsid w:val="00171A44"/>
    <w:rsid w:val="00173FF8"/>
    <w:rsid w:val="00175FF8"/>
    <w:rsid w:val="0018030A"/>
    <w:rsid w:val="00180BA5"/>
    <w:rsid w:val="001811C5"/>
    <w:rsid w:val="0018126F"/>
    <w:rsid w:val="00181A85"/>
    <w:rsid w:val="00182791"/>
    <w:rsid w:val="001924B7"/>
    <w:rsid w:val="001959B0"/>
    <w:rsid w:val="001A057E"/>
    <w:rsid w:val="001A3CB5"/>
    <w:rsid w:val="001A4996"/>
    <w:rsid w:val="001A72A6"/>
    <w:rsid w:val="001B0428"/>
    <w:rsid w:val="001C01EC"/>
    <w:rsid w:val="001C0275"/>
    <w:rsid w:val="001C052D"/>
    <w:rsid w:val="001C0CF3"/>
    <w:rsid w:val="001C285A"/>
    <w:rsid w:val="001D1CF7"/>
    <w:rsid w:val="001D4FED"/>
    <w:rsid w:val="001E1629"/>
    <w:rsid w:val="001E7015"/>
    <w:rsid w:val="001F28CD"/>
    <w:rsid w:val="001F2B18"/>
    <w:rsid w:val="001F547D"/>
    <w:rsid w:val="001F575A"/>
    <w:rsid w:val="001F7D65"/>
    <w:rsid w:val="00203E3A"/>
    <w:rsid w:val="002137D0"/>
    <w:rsid w:val="0021389D"/>
    <w:rsid w:val="00217A66"/>
    <w:rsid w:val="00222BF6"/>
    <w:rsid w:val="00223362"/>
    <w:rsid w:val="00224BEF"/>
    <w:rsid w:val="00226F22"/>
    <w:rsid w:val="002278AF"/>
    <w:rsid w:val="002423AF"/>
    <w:rsid w:val="0024436D"/>
    <w:rsid w:val="002460C0"/>
    <w:rsid w:val="002464C3"/>
    <w:rsid w:val="00247A2F"/>
    <w:rsid w:val="00251535"/>
    <w:rsid w:val="00257686"/>
    <w:rsid w:val="00257F9A"/>
    <w:rsid w:val="00260F44"/>
    <w:rsid w:val="00262E15"/>
    <w:rsid w:val="00273CDD"/>
    <w:rsid w:val="00281604"/>
    <w:rsid w:val="0029402E"/>
    <w:rsid w:val="002A520D"/>
    <w:rsid w:val="002B413F"/>
    <w:rsid w:val="002B432D"/>
    <w:rsid w:val="002B43AB"/>
    <w:rsid w:val="002B5DF5"/>
    <w:rsid w:val="002C00D4"/>
    <w:rsid w:val="002C2A02"/>
    <w:rsid w:val="002D0751"/>
    <w:rsid w:val="002D267C"/>
    <w:rsid w:val="002D2D6F"/>
    <w:rsid w:val="002D4846"/>
    <w:rsid w:val="002D7A7F"/>
    <w:rsid w:val="002E043C"/>
    <w:rsid w:val="002E17F3"/>
    <w:rsid w:val="002E34B1"/>
    <w:rsid w:val="002E626C"/>
    <w:rsid w:val="002E67FD"/>
    <w:rsid w:val="002F2B53"/>
    <w:rsid w:val="002F3D3F"/>
    <w:rsid w:val="002F4904"/>
    <w:rsid w:val="002F4CC6"/>
    <w:rsid w:val="002F53AB"/>
    <w:rsid w:val="002F5FB6"/>
    <w:rsid w:val="003020F5"/>
    <w:rsid w:val="00302758"/>
    <w:rsid w:val="00302E81"/>
    <w:rsid w:val="0030482D"/>
    <w:rsid w:val="00304F5C"/>
    <w:rsid w:val="00305E00"/>
    <w:rsid w:val="003136AB"/>
    <w:rsid w:val="003200F3"/>
    <w:rsid w:val="00320AAC"/>
    <w:rsid w:val="00331D79"/>
    <w:rsid w:val="0034113A"/>
    <w:rsid w:val="0035078B"/>
    <w:rsid w:val="00356161"/>
    <w:rsid w:val="00363248"/>
    <w:rsid w:val="00363EDC"/>
    <w:rsid w:val="003662BF"/>
    <w:rsid w:val="003676D5"/>
    <w:rsid w:val="003728B5"/>
    <w:rsid w:val="00372D4B"/>
    <w:rsid w:val="00373625"/>
    <w:rsid w:val="00373673"/>
    <w:rsid w:val="00375CBF"/>
    <w:rsid w:val="00380012"/>
    <w:rsid w:val="0038174D"/>
    <w:rsid w:val="003821B2"/>
    <w:rsid w:val="00387175"/>
    <w:rsid w:val="00387DBB"/>
    <w:rsid w:val="00392C30"/>
    <w:rsid w:val="00392CED"/>
    <w:rsid w:val="003940D2"/>
    <w:rsid w:val="00396B82"/>
    <w:rsid w:val="003A20E2"/>
    <w:rsid w:val="003A2577"/>
    <w:rsid w:val="003A37A9"/>
    <w:rsid w:val="003A686B"/>
    <w:rsid w:val="003B0FB3"/>
    <w:rsid w:val="003B13E9"/>
    <w:rsid w:val="003C1024"/>
    <w:rsid w:val="003C31C2"/>
    <w:rsid w:val="003C3C12"/>
    <w:rsid w:val="003C4656"/>
    <w:rsid w:val="003D46B8"/>
    <w:rsid w:val="003D5ECD"/>
    <w:rsid w:val="003E06CB"/>
    <w:rsid w:val="003E4FAC"/>
    <w:rsid w:val="003F3049"/>
    <w:rsid w:val="003F6561"/>
    <w:rsid w:val="0040151A"/>
    <w:rsid w:val="0040601B"/>
    <w:rsid w:val="0040761E"/>
    <w:rsid w:val="00407AAC"/>
    <w:rsid w:val="004173B1"/>
    <w:rsid w:val="00421690"/>
    <w:rsid w:val="0042597C"/>
    <w:rsid w:val="004352C5"/>
    <w:rsid w:val="004402CB"/>
    <w:rsid w:val="00444044"/>
    <w:rsid w:val="00451230"/>
    <w:rsid w:val="00451DF6"/>
    <w:rsid w:val="00456B47"/>
    <w:rsid w:val="00457892"/>
    <w:rsid w:val="004605D6"/>
    <w:rsid w:val="004613C3"/>
    <w:rsid w:val="00464B2B"/>
    <w:rsid w:val="00464DC4"/>
    <w:rsid w:val="00465EB3"/>
    <w:rsid w:val="0047119F"/>
    <w:rsid w:val="004730ED"/>
    <w:rsid w:val="004771F8"/>
    <w:rsid w:val="004778A6"/>
    <w:rsid w:val="0048577E"/>
    <w:rsid w:val="00485EBD"/>
    <w:rsid w:val="004914C2"/>
    <w:rsid w:val="004949EB"/>
    <w:rsid w:val="004A159B"/>
    <w:rsid w:val="004A1EEA"/>
    <w:rsid w:val="004A56BB"/>
    <w:rsid w:val="004A63EA"/>
    <w:rsid w:val="004B0BAE"/>
    <w:rsid w:val="004B2161"/>
    <w:rsid w:val="004B4A4C"/>
    <w:rsid w:val="004B6573"/>
    <w:rsid w:val="004C0E8A"/>
    <w:rsid w:val="004C6011"/>
    <w:rsid w:val="004D1B51"/>
    <w:rsid w:val="004E53A1"/>
    <w:rsid w:val="004E6D85"/>
    <w:rsid w:val="004F4384"/>
    <w:rsid w:val="004F514C"/>
    <w:rsid w:val="004F6DC1"/>
    <w:rsid w:val="00502B5F"/>
    <w:rsid w:val="00511B49"/>
    <w:rsid w:val="00517049"/>
    <w:rsid w:val="00517BA0"/>
    <w:rsid w:val="00520791"/>
    <w:rsid w:val="0052171B"/>
    <w:rsid w:val="00522B59"/>
    <w:rsid w:val="005241FF"/>
    <w:rsid w:val="005274C7"/>
    <w:rsid w:val="0053090A"/>
    <w:rsid w:val="00531AAD"/>
    <w:rsid w:val="00535493"/>
    <w:rsid w:val="005371F5"/>
    <w:rsid w:val="00542B49"/>
    <w:rsid w:val="00542D8D"/>
    <w:rsid w:val="005511B5"/>
    <w:rsid w:val="00552C7E"/>
    <w:rsid w:val="00552DE3"/>
    <w:rsid w:val="00553629"/>
    <w:rsid w:val="00555E99"/>
    <w:rsid w:val="00561DF2"/>
    <w:rsid w:val="005627B7"/>
    <w:rsid w:val="00565569"/>
    <w:rsid w:val="0056623C"/>
    <w:rsid w:val="005677B9"/>
    <w:rsid w:val="00570519"/>
    <w:rsid w:val="00570D03"/>
    <w:rsid w:val="0057578C"/>
    <w:rsid w:val="00575A2C"/>
    <w:rsid w:val="00580823"/>
    <w:rsid w:val="00581851"/>
    <w:rsid w:val="00587DD1"/>
    <w:rsid w:val="00591656"/>
    <w:rsid w:val="0059429E"/>
    <w:rsid w:val="005A36CF"/>
    <w:rsid w:val="005A480F"/>
    <w:rsid w:val="005A4A88"/>
    <w:rsid w:val="005A4FB6"/>
    <w:rsid w:val="005A6A37"/>
    <w:rsid w:val="005B3466"/>
    <w:rsid w:val="005C0556"/>
    <w:rsid w:val="005C1192"/>
    <w:rsid w:val="005C41DC"/>
    <w:rsid w:val="005C699F"/>
    <w:rsid w:val="005D3697"/>
    <w:rsid w:val="005E3749"/>
    <w:rsid w:val="005E7C49"/>
    <w:rsid w:val="005F4FA7"/>
    <w:rsid w:val="0060092D"/>
    <w:rsid w:val="006017FC"/>
    <w:rsid w:val="00610822"/>
    <w:rsid w:val="00611831"/>
    <w:rsid w:val="00612EAC"/>
    <w:rsid w:val="006150BC"/>
    <w:rsid w:val="00615183"/>
    <w:rsid w:val="00622CFD"/>
    <w:rsid w:val="006231EF"/>
    <w:rsid w:val="00623A6D"/>
    <w:rsid w:val="00627DF0"/>
    <w:rsid w:val="00631003"/>
    <w:rsid w:val="00631BEC"/>
    <w:rsid w:val="0064148D"/>
    <w:rsid w:val="00645904"/>
    <w:rsid w:val="006464C2"/>
    <w:rsid w:val="00646D1A"/>
    <w:rsid w:val="0064775C"/>
    <w:rsid w:val="006537D5"/>
    <w:rsid w:val="006543D5"/>
    <w:rsid w:val="00660D56"/>
    <w:rsid w:val="00666DFE"/>
    <w:rsid w:val="0067346B"/>
    <w:rsid w:val="00683E93"/>
    <w:rsid w:val="00685CBC"/>
    <w:rsid w:val="006920A6"/>
    <w:rsid w:val="00692A13"/>
    <w:rsid w:val="006955EA"/>
    <w:rsid w:val="0069705F"/>
    <w:rsid w:val="006A12A2"/>
    <w:rsid w:val="006A2987"/>
    <w:rsid w:val="006B0A76"/>
    <w:rsid w:val="006B3BF3"/>
    <w:rsid w:val="006B4665"/>
    <w:rsid w:val="006C1882"/>
    <w:rsid w:val="006C1E8F"/>
    <w:rsid w:val="006C296A"/>
    <w:rsid w:val="006C3E08"/>
    <w:rsid w:val="006C5860"/>
    <w:rsid w:val="006E5638"/>
    <w:rsid w:val="006F0E75"/>
    <w:rsid w:val="006F1CCC"/>
    <w:rsid w:val="006F265D"/>
    <w:rsid w:val="006F28F2"/>
    <w:rsid w:val="006F3E3D"/>
    <w:rsid w:val="006F4A4E"/>
    <w:rsid w:val="006F5758"/>
    <w:rsid w:val="006F59A9"/>
    <w:rsid w:val="00712C35"/>
    <w:rsid w:val="007154E0"/>
    <w:rsid w:val="00724368"/>
    <w:rsid w:val="00727142"/>
    <w:rsid w:val="0073187F"/>
    <w:rsid w:val="00732F55"/>
    <w:rsid w:val="00734654"/>
    <w:rsid w:val="00735F65"/>
    <w:rsid w:val="00745AB9"/>
    <w:rsid w:val="007471B2"/>
    <w:rsid w:val="007472C1"/>
    <w:rsid w:val="00753CE3"/>
    <w:rsid w:val="00761443"/>
    <w:rsid w:val="00761534"/>
    <w:rsid w:val="00762154"/>
    <w:rsid w:val="007772EE"/>
    <w:rsid w:val="0078427B"/>
    <w:rsid w:val="007914E6"/>
    <w:rsid w:val="00793598"/>
    <w:rsid w:val="00793FB5"/>
    <w:rsid w:val="00796629"/>
    <w:rsid w:val="007A3F83"/>
    <w:rsid w:val="007A4A66"/>
    <w:rsid w:val="007C0AE4"/>
    <w:rsid w:val="007C2DB9"/>
    <w:rsid w:val="007D1254"/>
    <w:rsid w:val="007D3870"/>
    <w:rsid w:val="007D3C02"/>
    <w:rsid w:val="007E128A"/>
    <w:rsid w:val="007E4A2C"/>
    <w:rsid w:val="007F6647"/>
    <w:rsid w:val="007F70CC"/>
    <w:rsid w:val="00801DB1"/>
    <w:rsid w:val="00814175"/>
    <w:rsid w:val="00822B12"/>
    <w:rsid w:val="0082313D"/>
    <w:rsid w:val="00824876"/>
    <w:rsid w:val="00824977"/>
    <w:rsid w:val="00826A27"/>
    <w:rsid w:val="00831827"/>
    <w:rsid w:val="00831BEB"/>
    <w:rsid w:val="00832615"/>
    <w:rsid w:val="00834662"/>
    <w:rsid w:val="00835858"/>
    <w:rsid w:val="0084464B"/>
    <w:rsid w:val="0084732C"/>
    <w:rsid w:val="008520F9"/>
    <w:rsid w:val="00853EF8"/>
    <w:rsid w:val="008639E2"/>
    <w:rsid w:val="0086728E"/>
    <w:rsid w:val="00880573"/>
    <w:rsid w:val="00881303"/>
    <w:rsid w:val="0088185F"/>
    <w:rsid w:val="008818C9"/>
    <w:rsid w:val="00882F96"/>
    <w:rsid w:val="00884325"/>
    <w:rsid w:val="00884965"/>
    <w:rsid w:val="0088751A"/>
    <w:rsid w:val="00890516"/>
    <w:rsid w:val="00890AFF"/>
    <w:rsid w:val="00897FED"/>
    <w:rsid w:val="008A2465"/>
    <w:rsid w:val="008A5932"/>
    <w:rsid w:val="008A6D4E"/>
    <w:rsid w:val="008B2486"/>
    <w:rsid w:val="008C3804"/>
    <w:rsid w:val="008C4AFB"/>
    <w:rsid w:val="008C667C"/>
    <w:rsid w:val="008C6B80"/>
    <w:rsid w:val="008D1337"/>
    <w:rsid w:val="008D4F63"/>
    <w:rsid w:val="008E6DC4"/>
    <w:rsid w:val="008F0271"/>
    <w:rsid w:val="008F1A89"/>
    <w:rsid w:val="008F1CAE"/>
    <w:rsid w:val="008F2CC4"/>
    <w:rsid w:val="008F3834"/>
    <w:rsid w:val="0090432C"/>
    <w:rsid w:val="0090560C"/>
    <w:rsid w:val="00907BB1"/>
    <w:rsid w:val="00912144"/>
    <w:rsid w:val="00912D58"/>
    <w:rsid w:val="00913ED6"/>
    <w:rsid w:val="00917B55"/>
    <w:rsid w:val="00917EC7"/>
    <w:rsid w:val="009205CF"/>
    <w:rsid w:val="0092101E"/>
    <w:rsid w:val="009237F5"/>
    <w:rsid w:val="009257A2"/>
    <w:rsid w:val="00927570"/>
    <w:rsid w:val="0093070C"/>
    <w:rsid w:val="00930F50"/>
    <w:rsid w:val="00937062"/>
    <w:rsid w:val="00945DD3"/>
    <w:rsid w:val="00947357"/>
    <w:rsid w:val="009474C6"/>
    <w:rsid w:val="0096377B"/>
    <w:rsid w:val="0096649F"/>
    <w:rsid w:val="00985B9A"/>
    <w:rsid w:val="009949F3"/>
    <w:rsid w:val="00996612"/>
    <w:rsid w:val="00997B92"/>
    <w:rsid w:val="009A0A14"/>
    <w:rsid w:val="009A12C7"/>
    <w:rsid w:val="009A33AA"/>
    <w:rsid w:val="009A3798"/>
    <w:rsid w:val="009A421C"/>
    <w:rsid w:val="009A6C48"/>
    <w:rsid w:val="009B4F96"/>
    <w:rsid w:val="009B6E1D"/>
    <w:rsid w:val="009B7AA7"/>
    <w:rsid w:val="009C17BC"/>
    <w:rsid w:val="009D29E3"/>
    <w:rsid w:val="009D36CD"/>
    <w:rsid w:val="009D401B"/>
    <w:rsid w:val="009D514C"/>
    <w:rsid w:val="009D519D"/>
    <w:rsid w:val="009D535D"/>
    <w:rsid w:val="009D73EE"/>
    <w:rsid w:val="009E350F"/>
    <w:rsid w:val="009E3902"/>
    <w:rsid w:val="009E7970"/>
    <w:rsid w:val="009F066C"/>
    <w:rsid w:val="009F27D7"/>
    <w:rsid w:val="009F55F4"/>
    <w:rsid w:val="00A00B6F"/>
    <w:rsid w:val="00A01465"/>
    <w:rsid w:val="00A018ED"/>
    <w:rsid w:val="00A01DEE"/>
    <w:rsid w:val="00A0405E"/>
    <w:rsid w:val="00A1061F"/>
    <w:rsid w:val="00A10B04"/>
    <w:rsid w:val="00A17391"/>
    <w:rsid w:val="00A17EDD"/>
    <w:rsid w:val="00A24EA5"/>
    <w:rsid w:val="00A24ECE"/>
    <w:rsid w:val="00A33682"/>
    <w:rsid w:val="00A340EF"/>
    <w:rsid w:val="00A34C93"/>
    <w:rsid w:val="00A355A1"/>
    <w:rsid w:val="00A40170"/>
    <w:rsid w:val="00A4115D"/>
    <w:rsid w:val="00A43778"/>
    <w:rsid w:val="00A554BD"/>
    <w:rsid w:val="00A61E67"/>
    <w:rsid w:val="00A6419E"/>
    <w:rsid w:val="00A653D8"/>
    <w:rsid w:val="00A7022C"/>
    <w:rsid w:val="00A72098"/>
    <w:rsid w:val="00A721D4"/>
    <w:rsid w:val="00A72B60"/>
    <w:rsid w:val="00A72F1D"/>
    <w:rsid w:val="00A7685E"/>
    <w:rsid w:val="00A76A03"/>
    <w:rsid w:val="00A77AE9"/>
    <w:rsid w:val="00A81581"/>
    <w:rsid w:val="00AA12C9"/>
    <w:rsid w:val="00AA6452"/>
    <w:rsid w:val="00AB1351"/>
    <w:rsid w:val="00AB2783"/>
    <w:rsid w:val="00AC37CD"/>
    <w:rsid w:val="00AC5C59"/>
    <w:rsid w:val="00AD031A"/>
    <w:rsid w:val="00AE5338"/>
    <w:rsid w:val="00AF0263"/>
    <w:rsid w:val="00AF251A"/>
    <w:rsid w:val="00B00BFD"/>
    <w:rsid w:val="00B02928"/>
    <w:rsid w:val="00B03934"/>
    <w:rsid w:val="00B07EFB"/>
    <w:rsid w:val="00B13B65"/>
    <w:rsid w:val="00B23AF1"/>
    <w:rsid w:val="00B23CC2"/>
    <w:rsid w:val="00B2418C"/>
    <w:rsid w:val="00B34442"/>
    <w:rsid w:val="00B344EE"/>
    <w:rsid w:val="00B360AE"/>
    <w:rsid w:val="00B37B08"/>
    <w:rsid w:val="00B40B70"/>
    <w:rsid w:val="00B53589"/>
    <w:rsid w:val="00B54636"/>
    <w:rsid w:val="00B619EF"/>
    <w:rsid w:val="00B64922"/>
    <w:rsid w:val="00B67FAB"/>
    <w:rsid w:val="00B70971"/>
    <w:rsid w:val="00B71317"/>
    <w:rsid w:val="00B716D8"/>
    <w:rsid w:val="00B72C40"/>
    <w:rsid w:val="00B75145"/>
    <w:rsid w:val="00B75335"/>
    <w:rsid w:val="00B86E4A"/>
    <w:rsid w:val="00B92D9A"/>
    <w:rsid w:val="00B94F3F"/>
    <w:rsid w:val="00BA10B1"/>
    <w:rsid w:val="00BA690A"/>
    <w:rsid w:val="00BB1219"/>
    <w:rsid w:val="00BB1406"/>
    <w:rsid w:val="00BB1CBD"/>
    <w:rsid w:val="00BB5289"/>
    <w:rsid w:val="00BB5438"/>
    <w:rsid w:val="00BB7B1D"/>
    <w:rsid w:val="00BC1F2E"/>
    <w:rsid w:val="00BD438D"/>
    <w:rsid w:val="00BD5342"/>
    <w:rsid w:val="00BE05C7"/>
    <w:rsid w:val="00BE0CBD"/>
    <w:rsid w:val="00BE3DEA"/>
    <w:rsid w:val="00BF0001"/>
    <w:rsid w:val="00BF4168"/>
    <w:rsid w:val="00C03156"/>
    <w:rsid w:val="00C037DA"/>
    <w:rsid w:val="00C06B4B"/>
    <w:rsid w:val="00C111FF"/>
    <w:rsid w:val="00C13032"/>
    <w:rsid w:val="00C177B9"/>
    <w:rsid w:val="00C231A2"/>
    <w:rsid w:val="00C25992"/>
    <w:rsid w:val="00C2670F"/>
    <w:rsid w:val="00C30F0C"/>
    <w:rsid w:val="00C319C9"/>
    <w:rsid w:val="00C3395E"/>
    <w:rsid w:val="00C342FF"/>
    <w:rsid w:val="00C40C7C"/>
    <w:rsid w:val="00C4308F"/>
    <w:rsid w:val="00C43865"/>
    <w:rsid w:val="00C45AB2"/>
    <w:rsid w:val="00C45C99"/>
    <w:rsid w:val="00C45EA5"/>
    <w:rsid w:val="00C52065"/>
    <w:rsid w:val="00C52C0A"/>
    <w:rsid w:val="00C566F1"/>
    <w:rsid w:val="00C56876"/>
    <w:rsid w:val="00C601EB"/>
    <w:rsid w:val="00C63422"/>
    <w:rsid w:val="00C63A9B"/>
    <w:rsid w:val="00C641DE"/>
    <w:rsid w:val="00C65E0C"/>
    <w:rsid w:val="00C671F8"/>
    <w:rsid w:val="00C67401"/>
    <w:rsid w:val="00C705D1"/>
    <w:rsid w:val="00C769BD"/>
    <w:rsid w:val="00C76A08"/>
    <w:rsid w:val="00C76CCF"/>
    <w:rsid w:val="00C77AF2"/>
    <w:rsid w:val="00C84310"/>
    <w:rsid w:val="00C84E55"/>
    <w:rsid w:val="00C854CC"/>
    <w:rsid w:val="00C92481"/>
    <w:rsid w:val="00C964F5"/>
    <w:rsid w:val="00C97674"/>
    <w:rsid w:val="00CA0AD2"/>
    <w:rsid w:val="00CA3750"/>
    <w:rsid w:val="00CB02A3"/>
    <w:rsid w:val="00CB313C"/>
    <w:rsid w:val="00CB79A0"/>
    <w:rsid w:val="00CC035A"/>
    <w:rsid w:val="00CC3C3A"/>
    <w:rsid w:val="00CC659A"/>
    <w:rsid w:val="00CD1407"/>
    <w:rsid w:val="00CD17D5"/>
    <w:rsid w:val="00CD28B4"/>
    <w:rsid w:val="00CD2E21"/>
    <w:rsid w:val="00CD4091"/>
    <w:rsid w:val="00CD4FB9"/>
    <w:rsid w:val="00CE129D"/>
    <w:rsid w:val="00CF1767"/>
    <w:rsid w:val="00CF3202"/>
    <w:rsid w:val="00CF379C"/>
    <w:rsid w:val="00CF7EAE"/>
    <w:rsid w:val="00D00777"/>
    <w:rsid w:val="00D0467A"/>
    <w:rsid w:val="00D0626C"/>
    <w:rsid w:val="00D06965"/>
    <w:rsid w:val="00D133E2"/>
    <w:rsid w:val="00D149CB"/>
    <w:rsid w:val="00D16177"/>
    <w:rsid w:val="00D2106C"/>
    <w:rsid w:val="00D21078"/>
    <w:rsid w:val="00D21A8A"/>
    <w:rsid w:val="00D24C11"/>
    <w:rsid w:val="00D24DE4"/>
    <w:rsid w:val="00D33818"/>
    <w:rsid w:val="00D339B3"/>
    <w:rsid w:val="00D40E46"/>
    <w:rsid w:val="00D411B7"/>
    <w:rsid w:val="00D418C0"/>
    <w:rsid w:val="00D4383A"/>
    <w:rsid w:val="00D4757E"/>
    <w:rsid w:val="00D614B1"/>
    <w:rsid w:val="00D6201C"/>
    <w:rsid w:val="00D641BF"/>
    <w:rsid w:val="00D64290"/>
    <w:rsid w:val="00D657C9"/>
    <w:rsid w:val="00D73978"/>
    <w:rsid w:val="00D739D3"/>
    <w:rsid w:val="00D82504"/>
    <w:rsid w:val="00D82684"/>
    <w:rsid w:val="00D85BAA"/>
    <w:rsid w:val="00D87AC9"/>
    <w:rsid w:val="00D87C3E"/>
    <w:rsid w:val="00D9147F"/>
    <w:rsid w:val="00D91AE9"/>
    <w:rsid w:val="00D94345"/>
    <w:rsid w:val="00D952B7"/>
    <w:rsid w:val="00D9631F"/>
    <w:rsid w:val="00D96D4A"/>
    <w:rsid w:val="00D97202"/>
    <w:rsid w:val="00DA511E"/>
    <w:rsid w:val="00DA7707"/>
    <w:rsid w:val="00DB1AD8"/>
    <w:rsid w:val="00DB1ED5"/>
    <w:rsid w:val="00DC0279"/>
    <w:rsid w:val="00DC20BD"/>
    <w:rsid w:val="00DC2D78"/>
    <w:rsid w:val="00DD209B"/>
    <w:rsid w:val="00DD4251"/>
    <w:rsid w:val="00DE1C1C"/>
    <w:rsid w:val="00DE4389"/>
    <w:rsid w:val="00DE5276"/>
    <w:rsid w:val="00DF64C8"/>
    <w:rsid w:val="00DF6AEB"/>
    <w:rsid w:val="00E03A96"/>
    <w:rsid w:val="00E074B2"/>
    <w:rsid w:val="00E14EAE"/>
    <w:rsid w:val="00E168D2"/>
    <w:rsid w:val="00E3470C"/>
    <w:rsid w:val="00E460F1"/>
    <w:rsid w:val="00E46EA2"/>
    <w:rsid w:val="00E47B1F"/>
    <w:rsid w:val="00E50183"/>
    <w:rsid w:val="00E57173"/>
    <w:rsid w:val="00E602F8"/>
    <w:rsid w:val="00E604F3"/>
    <w:rsid w:val="00E641D0"/>
    <w:rsid w:val="00E725AA"/>
    <w:rsid w:val="00E803C6"/>
    <w:rsid w:val="00E80F6D"/>
    <w:rsid w:val="00E8318D"/>
    <w:rsid w:val="00E85E8D"/>
    <w:rsid w:val="00E968ED"/>
    <w:rsid w:val="00EA04DE"/>
    <w:rsid w:val="00EA52B8"/>
    <w:rsid w:val="00EA6256"/>
    <w:rsid w:val="00EA6688"/>
    <w:rsid w:val="00EA712C"/>
    <w:rsid w:val="00EA7840"/>
    <w:rsid w:val="00EB199F"/>
    <w:rsid w:val="00EB2063"/>
    <w:rsid w:val="00EB3203"/>
    <w:rsid w:val="00EB34CB"/>
    <w:rsid w:val="00EB7C75"/>
    <w:rsid w:val="00EC19AD"/>
    <w:rsid w:val="00EC2AEA"/>
    <w:rsid w:val="00EC3377"/>
    <w:rsid w:val="00EC4279"/>
    <w:rsid w:val="00EC49B7"/>
    <w:rsid w:val="00EC516F"/>
    <w:rsid w:val="00EC6FF4"/>
    <w:rsid w:val="00EC7B18"/>
    <w:rsid w:val="00ED1834"/>
    <w:rsid w:val="00ED6154"/>
    <w:rsid w:val="00EE0A07"/>
    <w:rsid w:val="00EE31F5"/>
    <w:rsid w:val="00EE3CE0"/>
    <w:rsid w:val="00EE4F9F"/>
    <w:rsid w:val="00EE6562"/>
    <w:rsid w:val="00EE6CC0"/>
    <w:rsid w:val="00EE6DE3"/>
    <w:rsid w:val="00EF0103"/>
    <w:rsid w:val="00F0479A"/>
    <w:rsid w:val="00F0796E"/>
    <w:rsid w:val="00F10DDA"/>
    <w:rsid w:val="00F2125E"/>
    <w:rsid w:val="00F220D4"/>
    <w:rsid w:val="00F2235F"/>
    <w:rsid w:val="00F228A2"/>
    <w:rsid w:val="00F245B7"/>
    <w:rsid w:val="00F308FD"/>
    <w:rsid w:val="00F3154C"/>
    <w:rsid w:val="00F357B2"/>
    <w:rsid w:val="00F35A72"/>
    <w:rsid w:val="00F36CAC"/>
    <w:rsid w:val="00F40754"/>
    <w:rsid w:val="00F40B8A"/>
    <w:rsid w:val="00F42E71"/>
    <w:rsid w:val="00F44AC0"/>
    <w:rsid w:val="00F45032"/>
    <w:rsid w:val="00F46683"/>
    <w:rsid w:val="00F50F2C"/>
    <w:rsid w:val="00F527A8"/>
    <w:rsid w:val="00F537F3"/>
    <w:rsid w:val="00F53800"/>
    <w:rsid w:val="00F566A4"/>
    <w:rsid w:val="00F605C8"/>
    <w:rsid w:val="00F67AB6"/>
    <w:rsid w:val="00F70079"/>
    <w:rsid w:val="00F70DC1"/>
    <w:rsid w:val="00F723C7"/>
    <w:rsid w:val="00F72536"/>
    <w:rsid w:val="00F72B34"/>
    <w:rsid w:val="00F77F7C"/>
    <w:rsid w:val="00F83BD5"/>
    <w:rsid w:val="00F84A56"/>
    <w:rsid w:val="00F90BBA"/>
    <w:rsid w:val="00F93228"/>
    <w:rsid w:val="00F9756F"/>
    <w:rsid w:val="00FA1F9E"/>
    <w:rsid w:val="00FA2FDF"/>
    <w:rsid w:val="00FA7C08"/>
    <w:rsid w:val="00FB1F28"/>
    <w:rsid w:val="00FB5DD4"/>
    <w:rsid w:val="00FB5E40"/>
    <w:rsid w:val="00FB73BF"/>
    <w:rsid w:val="00FC438B"/>
    <w:rsid w:val="00FC4EAF"/>
    <w:rsid w:val="00FC6192"/>
    <w:rsid w:val="00FC676F"/>
    <w:rsid w:val="00FD21BE"/>
    <w:rsid w:val="00FE0BCC"/>
    <w:rsid w:val="00FE252B"/>
    <w:rsid w:val="00FE460B"/>
    <w:rsid w:val="00FE7EB7"/>
    <w:rsid w:val="00FF1EF3"/>
    <w:rsid w:val="00FF2028"/>
    <w:rsid w:val="00FF2060"/>
    <w:rsid w:val="00FF2169"/>
    <w:rsid w:val="00FF2D23"/>
    <w:rsid w:val="00FF78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C1AFE"/>
  <w15:docId w15:val="{E4BCB012-1811-4D08-8DDA-10DADD3A1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AB9"/>
    <w:pPr>
      <w:widowControl w:val="0"/>
    </w:pPr>
    <w:rPr>
      <w:rFonts w:ascii="Times New Roman" w:eastAsia="PMingLiU"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E0BCC"/>
    <w:pPr>
      <w:widowControl/>
      <w:spacing w:before="100" w:beforeAutospacing="1" w:after="100" w:afterAutospacing="1"/>
    </w:pPr>
    <w:rPr>
      <w:rFonts w:ascii="PMingLiU" w:hAnsi="PMingLiU" w:cs="PMingLiU"/>
      <w:kern w:val="0"/>
    </w:rPr>
  </w:style>
  <w:style w:type="paragraph" w:styleId="Header">
    <w:name w:val="header"/>
    <w:basedOn w:val="Normal"/>
    <w:link w:val="HeaderChar"/>
    <w:uiPriority w:val="99"/>
    <w:unhideWhenUsed/>
    <w:rsid w:val="00F53800"/>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F53800"/>
    <w:rPr>
      <w:rFonts w:ascii="Times New Roman" w:eastAsia="PMingLiU" w:hAnsi="Times New Roman" w:cs="Times New Roman"/>
      <w:sz w:val="20"/>
      <w:szCs w:val="20"/>
    </w:rPr>
  </w:style>
  <w:style w:type="paragraph" w:styleId="Footer">
    <w:name w:val="footer"/>
    <w:basedOn w:val="Normal"/>
    <w:link w:val="FooterChar"/>
    <w:uiPriority w:val="99"/>
    <w:unhideWhenUsed/>
    <w:rsid w:val="00F53800"/>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F53800"/>
    <w:rPr>
      <w:rFonts w:ascii="Times New Roman" w:eastAsia="PMingLiU" w:hAnsi="Times New Roman" w:cs="Times New Roman"/>
      <w:sz w:val="20"/>
      <w:szCs w:val="20"/>
    </w:rPr>
  </w:style>
  <w:style w:type="table" w:styleId="TableGrid">
    <w:name w:val="Table Grid"/>
    <w:basedOn w:val="TableNormal"/>
    <w:uiPriority w:val="59"/>
    <w:rsid w:val="007A3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0079"/>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F70079"/>
    <w:rPr>
      <w:rFonts w:asciiTheme="majorHAnsi" w:eastAsiaTheme="majorEastAsia" w:hAnsiTheme="majorHAnsi" w:cstheme="majorBidi"/>
      <w:sz w:val="18"/>
      <w:szCs w:val="18"/>
    </w:rPr>
  </w:style>
  <w:style w:type="paragraph" w:styleId="Revision">
    <w:name w:val="Revision"/>
    <w:hidden/>
    <w:uiPriority w:val="99"/>
    <w:semiHidden/>
    <w:rsid w:val="001C01EC"/>
    <w:rPr>
      <w:rFonts w:ascii="Times New Roman" w:eastAsia="PMingLiU" w:hAnsi="Times New Roman" w:cs="Times New Roman"/>
      <w:szCs w:val="24"/>
    </w:rPr>
  </w:style>
  <w:style w:type="paragraph" w:styleId="NoteHeading">
    <w:name w:val="Note Heading"/>
    <w:basedOn w:val="Normal"/>
    <w:next w:val="Normal"/>
    <w:link w:val="NoteHeadingChar"/>
    <w:uiPriority w:val="99"/>
    <w:unhideWhenUsed/>
    <w:rsid w:val="00281604"/>
    <w:pPr>
      <w:jc w:val="center"/>
    </w:pPr>
    <w:rPr>
      <w:rFonts w:eastAsia="DFKai-SB"/>
    </w:rPr>
  </w:style>
  <w:style w:type="character" w:customStyle="1" w:styleId="NoteHeadingChar">
    <w:name w:val="Note Heading Char"/>
    <w:basedOn w:val="DefaultParagraphFont"/>
    <w:link w:val="NoteHeading"/>
    <w:uiPriority w:val="99"/>
    <w:rsid w:val="00281604"/>
    <w:rPr>
      <w:rFonts w:ascii="Times New Roman" w:eastAsia="DFKai-SB" w:hAnsi="Times New Roman" w:cs="Times New Roman"/>
      <w:szCs w:val="24"/>
    </w:rPr>
  </w:style>
  <w:style w:type="paragraph" w:styleId="Closing">
    <w:name w:val="Closing"/>
    <w:basedOn w:val="Normal"/>
    <w:link w:val="ClosingChar"/>
    <w:uiPriority w:val="99"/>
    <w:unhideWhenUsed/>
    <w:rsid w:val="00281604"/>
    <w:pPr>
      <w:ind w:leftChars="1800" w:left="100"/>
    </w:pPr>
    <w:rPr>
      <w:rFonts w:eastAsia="DFKai-SB"/>
    </w:rPr>
  </w:style>
  <w:style w:type="character" w:customStyle="1" w:styleId="ClosingChar">
    <w:name w:val="Closing Char"/>
    <w:basedOn w:val="DefaultParagraphFont"/>
    <w:link w:val="Closing"/>
    <w:uiPriority w:val="99"/>
    <w:rsid w:val="00281604"/>
    <w:rPr>
      <w:rFonts w:ascii="Times New Roman" w:eastAsia="DFKai-SB" w:hAnsi="Times New Roman" w:cs="Times New Roman"/>
      <w:szCs w:val="24"/>
    </w:rPr>
  </w:style>
  <w:style w:type="paragraph" w:styleId="ListParagraph">
    <w:name w:val="List Paragraph"/>
    <w:basedOn w:val="Normal"/>
    <w:uiPriority w:val="34"/>
    <w:qFormat/>
    <w:rsid w:val="00A17391"/>
    <w:pPr>
      <w:ind w:leftChars="200" w:left="480"/>
    </w:pPr>
  </w:style>
  <w:style w:type="paragraph" w:customStyle="1" w:styleId="1">
    <w:name w:val="內文1"/>
    <w:link w:val="10"/>
    <w:qFormat/>
    <w:rsid w:val="00C601EB"/>
    <w:pPr>
      <w:snapToGrid w:val="0"/>
      <w:spacing w:afterLines="50"/>
      <w:ind w:leftChars="450" w:left="450"/>
      <w:jc w:val="both"/>
    </w:pPr>
    <w:rPr>
      <w:rFonts w:cs="Times New Roman"/>
      <w:sz w:val="28"/>
      <w:szCs w:val="28"/>
    </w:rPr>
  </w:style>
  <w:style w:type="character" w:customStyle="1" w:styleId="10">
    <w:name w:val="內文1 字元"/>
    <w:basedOn w:val="DefaultParagraphFont"/>
    <w:link w:val="1"/>
    <w:rsid w:val="00C601EB"/>
    <w:rPr>
      <w:rFonts w:cs="Times New Roman"/>
      <w:sz w:val="28"/>
      <w:szCs w:val="28"/>
    </w:rPr>
  </w:style>
  <w:style w:type="character" w:styleId="Hyperlink">
    <w:name w:val="Hyperlink"/>
    <w:basedOn w:val="DefaultParagraphFont"/>
    <w:uiPriority w:val="99"/>
    <w:rsid w:val="00D33818"/>
    <w:rPr>
      <w:color w:val="0000FF"/>
      <w:u w:val="single"/>
    </w:rPr>
  </w:style>
  <w:style w:type="character" w:styleId="UnresolvedMention">
    <w:name w:val="Unresolved Mention"/>
    <w:basedOn w:val="DefaultParagraphFont"/>
    <w:uiPriority w:val="99"/>
    <w:semiHidden/>
    <w:unhideWhenUsed/>
    <w:rsid w:val="00D06965"/>
    <w:rPr>
      <w:color w:val="605E5C"/>
      <w:shd w:val="clear" w:color="auto" w:fill="E1DFDD"/>
    </w:rPr>
  </w:style>
  <w:style w:type="paragraph" w:customStyle="1" w:styleId="Level1">
    <w:name w:val="Level 1"/>
    <w:basedOn w:val="Normal"/>
    <w:rsid w:val="00683E93"/>
    <w:pPr>
      <w:numPr>
        <w:numId w:val="30"/>
      </w:numPr>
      <w:autoSpaceDE w:val="0"/>
      <w:autoSpaceDN w:val="0"/>
      <w:adjustRightInd w:val="0"/>
      <w:ind w:left="720" w:hanging="720"/>
      <w:outlineLvl w:val="0"/>
    </w:pPr>
    <w:rPr>
      <w:kern w:val="0"/>
      <w:sz w:val="20"/>
      <w:lang w:eastAsia="en-US"/>
    </w:rPr>
  </w:style>
  <w:style w:type="character" w:styleId="Emphasis">
    <w:name w:val="Emphasis"/>
    <w:basedOn w:val="DefaultParagraphFont"/>
    <w:uiPriority w:val="20"/>
    <w:qFormat/>
    <w:rsid w:val="00683E93"/>
    <w:rPr>
      <w:i/>
      <w:iCs/>
    </w:rPr>
  </w:style>
  <w:style w:type="character" w:styleId="FollowedHyperlink">
    <w:name w:val="FollowedHyperlink"/>
    <w:basedOn w:val="DefaultParagraphFont"/>
    <w:uiPriority w:val="99"/>
    <w:semiHidden/>
    <w:unhideWhenUsed/>
    <w:rsid w:val="00C63422"/>
    <w:rPr>
      <w:color w:val="800080" w:themeColor="followedHyperlink"/>
      <w:u w:val="single"/>
    </w:rPr>
  </w:style>
  <w:style w:type="character" w:customStyle="1" w:styleId="apple-converted-space">
    <w:name w:val="apple-converted-space"/>
    <w:basedOn w:val="DefaultParagraphFont"/>
    <w:rsid w:val="00C63422"/>
  </w:style>
  <w:style w:type="character" w:styleId="Strong">
    <w:name w:val="Strong"/>
    <w:basedOn w:val="DefaultParagraphFont"/>
    <w:uiPriority w:val="22"/>
    <w:qFormat/>
    <w:rsid w:val="00BB14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184260">
      <w:bodyDiv w:val="1"/>
      <w:marLeft w:val="0"/>
      <w:marRight w:val="0"/>
      <w:marTop w:val="0"/>
      <w:marBottom w:val="0"/>
      <w:divBdr>
        <w:top w:val="none" w:sz="0" w:space="0" w:color="auto"/>
        <w:left w:val="none" w:sz="0" w:space="0" w:color="auto"/>
        <w:bottom w:val="none" w:sz="0" w:space="0" w:color="auto"/>
        <w:right w:val="none" w:sz="0" w:space="0" w:color="auto"/>
      </w:divBdr>
    </w:div>
    <w:div w:id="1195774176">
      <w:bodyDiv w:val="1"/>
      <w:marLeft w:val="0"/>
      <w:marRight w:val="0"/>
      <w:marTop w:val="0"/>
      <w:marBottom w:val="0"/>
      <w:divBdr>
        <w:top w:val="none" w:sz="0" w:space="0" w:color="auto"/>
        <w:left w:val="none" w:sz="0" w:space="0" w:color="auto"/>
        <w:bottom w:val="none" w:sz="0" w:space="0" w:color="auto"/>
        <w:right w:val="none" w:sz="0" w:space="0" w:color="auto"/>
      </w:divBdr>
    </w:div>
    <w:div w:id="172663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lbia@ccu.edu.tw" TargetMode="External"/><Relationship Id="rId13" Type="http://schemas.openxmlformats.org/officeDocument/2006/relationships/hyperlink" Target="https://doi.org/10.1007/978-3-319-78608-7" TargetMode="External"/><Relationship Id="rId18" Type="http://schemas.openxmlformats.org/officeDocument/2006/relationships/hyperlink" Target="https://doi.org/10.1080/147"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1111/j.1759-5436.2006.tb00320.x" TargetMode="External"/><Relationship Id="rId7" Type="http://schemas.openxmlformats.org/officeDocument/2006/relationships/endnotes" Target="endnotes.xml"/><Relationship Id="rId12" Type="http://schemas.openxmlformats.org/officeDocument/2006/relationships/hyperlink" Target="https://doi.org/10.1108/09578230110386241" TargetMode="External"/><Relationship Id="rId17" Type="http://schemas.openxmlformats.org/officeDocument/2006/relationships/hyperlink" Target="https://doi.org/10.1093/jop" TargetMode="External"/><Relationship Id="rId25" Type="http://schemas.openxmlformats.org/officeDocument/2006/relationships/hyperlink" Target="https://doi.org/10.1016/j.wdp.2023.100542" TargetMode="External"/><Relationship Id="rId2" Type="http://schemas.openxmlformats.org/officeDocument/2006/relationships/numbering" Target="numbering.xml"/><Relationship Id="rId16" Type="http://schemas.openxmlformats.org/officeDocument/2006/relationships/hyperlink" Target="https://api.pageplace.de/preview/DT0400.9780791481431_A40634836/preview-9780791481431_A40634836.pdf" TargetMode="External"/><Relationship Id="rId20" Type="http://schemas.openxmlformats.org/officeDocument/2006/relationships/hyperlink" Target="https://doi.org/10.1080/1471903041000167572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evalprogplan.2012.10.001" TargetMode="External"/><Relationship Id="rId24" Type="http://schemas.openxmlformats.org/officeDocument/2006/relationships/hyperlink" Target="https://www.povertyactionlab.org/case-study/teaching-right-level-improve-learning" TargetMode="External"/><Relationship Id="rId5" Type="http://schemas.openxmlformats.org/officeDocument/2006/relationships/webSettings" Target="webSettings.xml"/><Relationship Id="rId15" Type="http://schemas.openxmlformats.org/officeDocument/2006/relationships/hyperlink" Target="https://organizingengagement.org/models/ladder-of-citizen-participation/?print=print" TargetMode="External"/><Relationship Id="rId23" Type="http://schemas.openxmlformats.org/officeDocument/2006/relationships/hyperlink" Target="https://doi.org/10.1287/orsc.3.3.398" TargetMode="External"/><Relationship Id="rId28" Type="http://schemas.openxmlformats.org/officeDocument/2006/relationships/fontTable" Target="fontTable.xml"/><Relationship Id="rId10" Type="http://schemas.openxmlformats.org/officeDocument/2006/relationships/hyperlink" Target="https://doi.org/10.1007/978-3-319-78608-7" TargetMode="External"/><Relationship Id="rId19" Type="http://schemas.openxmlformats.org/officeDocument/2006/relationships/hyperlink" Target="https://rickhess99.medium.com/why-schools-struggle-with-implementation-and-how-they-can-do-better-2c67caf4d17f" TargetMode="External"/><Relationship Id="rId4" Type="http://schemas.openxmlformats.org/officeDocument/2006/relationships/settings" Target="settings.xml"/><Relationship Id="rId9" Type="http://schemas.openxmlformats.org/officeDocument/2006/relationships/hyperlink" Target="https://doi.org/10.4135/9781446220320" TargetMode="External"/><Relationship Id="rId14" Type="http://schemas.openxmlformats.org/officeDocument/2006/relationships/hyperlink" Target="https://inee.org/resources/creating-enabling-non-formal-education-environment-adolescents-and-youth" TargetMode="External"/><Relationship Id="rId22" Type="http://schemas.openxmlformats.org/officeDocument/2006/relationships/hyperlink" Target="https://www.jstor.org/stable/40929570" TargetMode="External"/><Relationship Id="rId27"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5E2A8-10A2-430C-91A8-5033B603D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936</TotalTime>
  <Pages>7</Pages>
  <Words>2615</Words>
  <Characters>16423</Characters>
  <Application>Microsoft Office Word</Application>
  <DocSecurity>0</DocSecurity>
  <Lines>469</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Joclarisse Albia</cp:lastModifiedBy>
  <cp:revision>436</cp:revision>
  <cp:lastPrinted>2015-03-16T06:17:00Z</cp:lastPrinted>
  <dcterms:created xsi:type="dcterms:W3CDTF">2024-12-23T07:04:00Z</dcterms:created>
  <dcterms:modified xsi:type="dcterms:W3CDTF">2026-02-06T09:05:00Z</dcterms:modified>
</cp:coreProperties>
</file>