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A898" w14:textId="77777777" w:rsidR="0018773E" w:rsidRPr="0018773E" w:rsidRDefault="0013680E" w:rsidP="0018773E">
      <w:pPr>
        <w:adjustRightInd w:val="0"/>
        <w:snapToGrid w:val="0"/>
        <w:jc w:val="center"/>
        <w:rPr>
          <w:b/>
        </w:rPr>
      </w:pPr>
      <w:r>
        <w:rPr>
          <w:rFonts w:hint="eastAsia"/>
          <w:b/>
        </w:rPr>
        <w:t>Political</w:t>
      </w:r>
      <w:r>
        <w:rPr>
          <w:b/>
        </w:rPr>
        <w:t xml:space="preserve"> Analysis</w:t>
      </w:r>
      <w:r>
        <w:rPr>
          <w:rFonts w:hint="eastAsia"/>
          <w:b/>
        </w:rPr>
        <w:t xml:space="preserve"> (</w:t>
      </w:r>
      <w:r>
        <w:rPr>
          <w:rFonts w:hint="eastAsia"/>
          <w:b/>
        </w:rPr>
        <w:t>政治分析</w:t>
      </w:r>
      <w:r>
        <w:rPr>
          <w:rFonts w:hint="eastAsia"/>
          <w:b/>
        </w:rPr>
        <w:t>)</w:t>
      </w:r>
    </w:p>
    <w:p w14:paraId="2F04C3BC" w14:textId="77777777" w:rsidR="0018773E" w:rsidRDefault="0013680E" w:rsidP="0018773E">
      <w:pPr>
        <w:adjustRightInd w:val="0"/>
        <w:snapToGrid w:val="0"/>
        <w:jc w:val="center"/>
        <w:rPr>
          <w:b/>
        </w:rPr>
      </w:pPr>
      <w:r>
        <w:rPr>
          <w:rFonts w:hint="eastAsia"/>
          <w:b/>
        </w:rPr>
        <w:t>Syllabus</w:t>
      </w:r>
    </w:p>
    <w:p w14:paraId="64D5C814" w14:textId="77777777" w:rsidR="0013680E" w:rsidRPr="0018773E" w:rsidRDefault="0013680E" w:rsidP="0018773E">
      <w:pPr>
        <w:adjustRightInd w:val="0"/>
        <w:snapToGrid w:val="0"/>
        <w:jc w:val="center"/>
        <w:rPr>
          <w:b/>
        </w:rPr>
      </w:pPr>
    </w:p>
    <w:p w14:paraId="78699DB9" w14:textId="77777777" w:rsidR="00C522C9" w:rsidRDefault="00C522C9" w:rsidP="0018773E">
      <w:pPr>
        <w:adjustRightInd w:val="0"/>
        <w:snapToGrid w:val="0"/>
        <w:jc w:val="right"/>
      </w:pPr>
      <w:r>
        <w:rPr>
          <w:rFonts w:hint="eastAsia"/>
        </w:rPr>
        <w:t>蔡榮祥教授</w:t>
      </w:r>
    </w:p>
    <w:p w14:paraId="06D4C915" w14:textId="77777777" w:rsidR="0018773E" w:rsidRDefault="0018773E" w:rsidP="0018773E">
      <w:pPr>
        <w:adjustRightInd w:val="0"/>
        <w:snapToGrid w:val="0"/>
        <w:jc w:val="right"/>
      </w:pPr>
      <w:proofErr w:type="gramStart"/>
      <w:r w:rsidRPr="0018773E">
        <w:t>e-mail:poljht@ccu.edu.tw</w:t>
      </w:r>
      <w:proofErr w:type="gramEnd"/>
    </w:p>
    <w:p w14:paraId="2C32DC4F" w14:textId="77777777" w:rsidR="0018773E" w:rsidRDefault="005D5C74" w:rsidP="0018773E">
      <w:pPr>
        <w:wordWrap w:val="0"/>
        <w:adjustRightInd w:val="0"/>
        <w:snapToGrid w:val="0"/>
        <w:jc w:val="right"/>
      </w:pPr>
      <w:r>
        <w:rPr>
          <w:rFonts w:hint="eastAsia"/>
        </w:rPr>
        <w:t>Friday, 18:00-21</w:t>
      </w:r>
      <w:r w:rsidR="0018773E">
        <w:rPr>
          <w:rFonts w:hint="eastAsia"/>
        </w:rPr>
        <w:t>:00</w:t>
      </w:r>
    </w:p>
    <w:p w14:paraId="363A8696" w14:textId="77777777" w:rsidR="0018773E" w:rsidRPr="0018773E" w:rsidRDefault="0018773E" w:rsidP="0018773E">
      <w:pPr>
        <w:wordWrap w:val="0"/>
        <w:adjustRightInd w:val="0"/>
        <w:snapToGrid w:val="0"/>
        <w:jc w:val="right"/>
      </w:pPr>
      <w:r>
        <w:rPr>
          <w:rFonts w:hint="eastAsia"/>
        </w:rPr>
        <w:t>Classroom: 701</w:t>
      </w:r>
    </w:p>
    <w:p w14:paraId="7E49F1B2" w14:textId="77777777" w:rsidR="0018773E" w:rsidRDefault="0018773E" w:rsidP="0018773E"/>
    <w:p w14:paraId="75CA2542" w14:textId="77777777" w:rsidR="0018773E" w:rsidRDefault="0018773E" w:rsidP="0013680E">
      <w:pPr>
        <w:ind w:firstLine="480"/>
        <w:jc w:val="both"/>
      </w:pPr>
      <w:r w:rsidRPr="006F47B9">
        <w:t>本課程</w:t>
      </w:r>
      <w:r w:rsidR="0013680E">
        <w:rPr>
          <w:rFonts w:hint="eastAsia"/>
        </w:rPr>
        <w:t>為政治學方法的核心課程，也是論文寫作的重要</w:t>
      </w:r>
      <w:r w:rsidR="00554160" w:rsidRPr="006F47B9">
        <w:rPr>
          <w:rFonts w:hint="eastAsia"/>
        </w:rPr>
        <w:t>依據。每週課程的</w:t>
      </w:r>
      <w:r w:rsidR="005D5C74" w:rsidRPr="00E44347">
        <w:t>分成兩</w:t>
      </w:r>
      <w:r w:rsidR="003153A2" w:rsidRPr="00E44347">
        <w:t>組閱讀</w:t>
      </w:r>
      <w:r w:rsidR="00C522C9">
        <w:rPr>
          <w:rFonts w:hint="eastAsia"/>
        </w:rPr>
        <w:t>三</w:t>
      </w:r>
      <w:r w:rsidR="006F47B9" w:rsidRPr="00E44347">
        <w:t>個星號的</w:t>
      </w:r>
      <w:r w:rsidR="003153A2" w:rsidRPr="00E44347">
        <w:t>選</w:t>
      </w:r>
      <w:r w:rsidR="006F47B9" w:rsidRPr="00E44347">
        <w:t>定</w:t>
      </w:r>
      <w:r w:rsidR="003153A2" w:rsidRPr="00E44347">
        <w:t>教材</w:t>
      </w:r>
      <w:r w:rsidRPr="00E44347">
        <w:t>。</w:t>
      </w:r>
      <w:r w:rsidR="00BA01D9" w:rsidRPr="00E44347">
        <w:t>上課要準時參與，如不能出席必須事先請假。期中和期末考</w:t>
      </w:r>
      <w:r w:rsidR="003153A2" w:rsidRPr="00E44347">
        <w:t>是研究計畫報告</w:t>
      </w:r>
      <w:r w:rsidR="00BA01D9" w:rsidRPr="00E44347">
        <w:t>繳交</w:t>
      </w:r>
      <w:r w:rsidR="003153A2" w:rsidRPr="00E44347">
        <w:t>。</w:t>
      </w:r>
      <w:r w:rsidRPr="00E44347">
        <w:t>評分方式為課堂參與</w:t>
      </w:r>
      <w:r w:rsidR="003153A2" w:rsidRPr="00E44347">
        <w:t>2</w:t>
      </w:r>
      <w:r w:rsidRPr="00E44347">
        <w:t>0%</w:t>
      </w:r>
      <w:r w:rsidR="006F47B9" w:rsidRPr="00E44347">
        <w:t>、</w:t>
      </w:r>
      <w:r w:rsidRPr="00E44347">
        <w:t>期中報告</w:t>
      </w:r>
      <w:r w:rsidR="003153A2" w:rsidRPr="00E44347">
        <w:t>4</w:t>
      </w:r>
      <w:r w:rsidRPr="00E44347">
        <w:t>0%</w:t>
      </w:r>
      <w:r w:rsidR="006F47B9" w:rsidRPr="00E44347">
        <w:t>以</w:t>
      </w:r>
      <w:r w:rsidR="003153A2" w:rsidRPr="00E44347">
        <w:t>及期末報告</w:t>
      </w:r>
      <w:r w:rsidR="003153A2" w:rsidRPr="00E44347">
        <w:t>40%</w:t>
      </w:r>
      <w:r w:rsidRPr="00E44347">
        <w:t>。</w:t>
      </w:r>
      <w:r w:rsidR="00E44347" w:rsidRPr="00E44347">
        <w:t>每次一半的上課時間，主講有關碩士論文寫作的</w:t>
      </w:r>
      <w:r w:rsidR="00E44347">
        <w:rPr>
          <w:rFonts w:hint="eastAsia"/>
        </w:rPr>
        <w:t>SOP</w:t>
      </w:r>
      <w:r w:rsidR="00E44347" w:rsidRPr="00E44347">
        <w:t>，</w:t>
      </w:r>
      <w:r w:rsidR="00360B02" w:rsidRPr="00E44347">
        <w:t>請同學自備或借用筆記型電腦，以利上課進行。</w:t>
      </w:r>
      <w:r w:rsidR="00E12570">
        <w:rPr>
          <w:rFonts w:hint="eastAsia"/>
        </w:rPr>
        <w:t>期中和期末報告需要口頭報告十到十五</w:t>
      </w:r>
      <w:r w:rsidR="00E44347">
        <w:rPr>
          <w:rFonts w:hint="eastAsia"/>
        </w:rPr>
        <w:t>分鐘</w:t>
      </w:r>
      <w:r w:rsidR="00E44347">
        <w:rPr>
          <w:rFonts w:ascii="新細明體" w:hAnsi="新細明體" w:hint="eastAsia"/>
        </w:rPr>
        <w:t>。</w:t>
      </w:r>
    </w:p>
    <w:p w14:paraId="67044EE2" w14:textId="77777777" w:rsidR="00E44347" w:rsidRPr="00E44347" w:rsidRDefault="00E44347" w:rsidP="0013680E">
      <w:pPr>
        <w:ind w:firstLine="480"/>
        <w:jc w:val="both"/>
      </w:pPr>
    </w:p>
    <w:p w14:paraId="2B532253" w14:textId="77777777" w:rsidR="00E44347" w:rsidRPr="00360B02" w:rsidRDefault="00E44347" w:rsidP="00E44347">
      <w:pPr>
        <w:jc w:val="both"/>
        <w:rPr>
          <w:b/>
        </w:rPr>
      </w:pPr>
      <w:r w:rsidRPr="00360B02">
        <w:rPr>
          <w:b/>
        </w:rPr>
        <w:t>碩士論文</w:t>
      </w:r>
      <w:r w:rsidRPr="00360B02">
        <w:rPr>
          <w:b/>
        </w:rPr>
        <w:t>SOP</w:t>
      </w:r>
      <w:r>
        <w:rPr>
          <w:rFonts w:hint="eastAsia"/>
          <w:b/>
        </w:rPr>
        <w:t>:</w:t>
      </w:r>
    </w:p>
    <w:p w14:paraId="2F58850C" w14:textId="77777777" w:rsidR="00E44347" w:rsidRPr="00E44347" w:rsidRDefault="00E44347" w:rsidP="00E44347">
      <w:pPr>
        <w:pStyle w:val="a8"/>
        <w:numPr>
          <w:ilvl w:val="0"/>
          <w:numId w:val="20"/>
        </w:numPr>
        <w:ind w:leftChars="0"/>
        <w:jc w:val="both"/>
        <w:rPr>
          <w:b/>
        </w:rPr>
      </w:pPr>
      <w:r w:rsidRPr="00E44347">
        <w:rPr>
          <w:rFonts w:hint="eastAsia"/>
          <w:b/>
        </w:rPr>
        <w:t>研究主題的選定</w:t>
      </w:r>
    </w:p>
    <w:p w14:paraId="71F4EE5B" w14:textId="77777777" w:rsidR="00E44347" w:rsidRPr="00E44347" w:rsidRDefault="00E44347" w:rsidP="00E44347">
      <w:pPr>
        <w:pStyle w:val="a8"/>
        <w:numPr>
          <w:ilvl w:val="0"/>
          <w:numId w:val="20"/>
        </w:numPr>
        <w:ind w:leftChars="0"/>
        <w:jc w:val="both"/>
        <w:rPr>
          <w:b/>
        </w:rPr>
      </w:pPr>
      <w:r w:rsidRPr="00E44347">
        <w:rPr>
          <w:rFonts w:hint="eastAsia"/>
          <w:b/>
        </w:rPr>
        <w:t>資料搜尋</w:t>
      </w:r>
    </w:p>
    <w:p w14:paraId="5C690075" w14:textId="77777777" w:rsidR="00E44347" w:rsidRPr="00E44347" w:rsidRDefault="00E44347" w:rsidP="00E44347">
      <w:pPr>
        <w:pStyle w:val="a8"/>
        <w:numPr>
          <w:ilvl w:val="0"/>
          <w:numId w:val="20"/>
        </w:numPr>
        <w:ind w:leftChars="0"/>
        <w:jc w:val="both"/>
        <w:rPr>
          <w:b/>
        </w:rPr>
      </w:pPr>
      <w:r w:rsidRPr="00E44347">
        <w:rPr>
          <w:rFonts w:hint="eastAsia"/>
          <w:b/>
        </w:rPr>
        <w:t>文獻取得</w:t>
      </w:r>
    </w:p>
    <w:p w14:paraId="43437BD2" w14:textId="77777777" w:rsidR="00E44347" w:rsidRPr="00E44347" w:rsidRDefault="00E44347" w:rsidP="00E44347">
      <w:pPr>
        <w:pStyle w:val="a8"/>
        <w:numPr>
          <w:ilvl w:val="0"/>
          <w:numId w:val="20"/>
        </w:numPr>
        <w:ind w:leftChars="0"/>
        <w:jc w:val="both"/>
        <w:rPr>
          <w:b/>
        </w:rPr>
      </w:pPr>
      <w:r w:rsidRPr="00E44347">
        <w:rPr>
          <w:rFonts w:hint="eastAsia"/>
          <w:b/>
        </w:rPr>
        <w:t>研究背景和動機</w:t>
      </w:r>
    </w:p>
    <w:p w14:paraId="0EF1EFAC" w14:textId="77777777" w:rsidR="00E44347" w:rsidRPr="00E44347" w:rsidRDefault="00E44347" w:rsidP="00E44347">
      <w:pPr>
        <w:pStyle w:val="a8"/>
        <w:numPr>
          <w:ilvl w:val="0"/>
          <w:numId w:val="20"/>
        </w:numPr>
        <w:ind w:leftChars="0"/>
        <w:jc w:val="both"/>
        <w:rPr>
          <w:b/>
        </w:rPr>
      </w:pPr>
      <w:r w:rsidRPr="00E44347">
        <w:rPr>
          <w:rFonts w:hint="eastAsia"/>
          <w:b/>
        </w:rPr>
        <w:t>研究問題</w:t>
      </w:r>
    </w:p>
    <w:p w14:paraId="72845ECA" w14:textId="77777777" w:rsidR="00E44347" w:rsidRPr="00E44347" w:rsidRDefault="00E44347" w:rsidP="00E44347">
      <w:pPr>
        <w:pStyle w:val="a8"/>
        <w:numPr>
          <w:ilvl w:val="0"/>
          <w:numId w:val="20"/>
        </w:numPr>
        <w:ind w:leftChars="0"/>
        <w:jc w:val="both"/>
        <w:rPr>
          <w:b/>
        </w:rPr>
      </w:pPr>
      <w:r w:rsidRPr="00E44347">
        <w:rPr>
          <w:rFonts w:hint="eastAsia"/>
          <w:b/>
        </w:rPr>
        <w:t>文獻檢閱</w:t>
      </w:r>
    </w:p>
    <w:p w14:paraId="5B356C42" w14:textId="77777777" w:rsidR="00E44347" w:rsidRPr="00E44347" w:rsidRDefault="00E44347" w:rsidP="00E44347">
      <w:pPr>
        <w:pStyle w:val="a8"/>
        <w:numPr>
          <w:ilvl w:val="0"/>
          <w:numId w:val="20"/>
        </w:numPr>
        <w:adjustRightInd w:val="0"/>
        <w:snapToGrid w:val="0"/>
        <w:ind w:leftChars="0"/>
        <w:jc w:val="both"/>
        <w:rPr>
          <w:b/>
        </w:rPr>
      </w:pPr>
      <w:r w:rsidRPr="00E44347">
        <w:rPr>
          <w:rFonts w:hint="eastAsia"/>
          <w:b/>
        </w:rPr>
        <w:t>研究方法</w:t>
      </w:r>
    </w:p>
    <w:p w14:paraId="2B870A00" w14:textId="77777777" w:rsidR="00E44347" w:rsidRPr="00E44347" w:rsidRDefault="00E44347" w:rsidP="00E44347">
      <w:pPr>
        <w:pStyle w:val="a8"/>
        <w:numPr>
          <w:ilvl w:val="0"/>
          <w:numId w:val="20"/>
        </w:numPr>
        <w:adjustRightInd w:val="0"/>
        <w:snapToGrid w:val="0"/>
        <w:ind w:leftChars="0"/>
        <w:jc w:val="both"/>
        <w:rPr>
          <w:b/>
        </w:rPr>
      </w:pPr>
      <w:r w:rsidRPr="00E44347">
        <w:rPr>
          <w:rFonts w:hint="eastAsia"/>
          <w:b/>
        </w:rPr>
        <w:t>研究架構</w:t>
      </w:r>
    </w:p>
    <w:p w14:paraId="76977CA9" w14:textId="77777777" w:rsidR="00E44347" w:rsidRPr="00E44347" w:rsidRDefault="00E44347" w:rsidP="00E44347">
      <w:pPr>
        <w:pStyle w:val="a8"/>
        <w:numPr>
          <w:ilvl w:val="0"/>
          <w:numId w:val="20"/>
        </w:numPr>
        <w:adjustRightInd w:val="0"/>
        <w:snapToGrid w:val="0"/>
        <w:ind w:leftChars="0"/>
        <w:jc w:val="both"/>
        <w:rPr>
          <w:b/>
        </w:rPr>
      </w:pPr>
      <w:r w:rsidRPr="00E44347">
        <w:rPr>
          <w:rFonts w:hint="eastAsia"/>
          <w:b/>
        </w:rPr>
        <w:t>章節安排</w:t>
      </w:r>
    </w:p>
    <w:p w14:paraId="2C96575B" w14:textId="77777777" w:rsidR="00E44347" w:rsidRPr="00E44347" w:rsidRDefault="00E44347" w:rsidP="00E44347">
      <w:pPr>
        <w:pStyle w:val="a8"/>
        <w:numPr>
          <w:ilvl w:val="0"/>
          <w:numId w:val="20"/>
        </w:numPr>
        <w:adjustRightInd w:val="0"/>
        <w:snapToGrid w:val="0"/>
        <w:ind w:leftChars="0"/>
        <w:jc w:val="both"/>
        <w:rPr>
          <w:b/>
        </w:rPr>
      </w:pPr>
      <w:r w:rsidRPr="00E44347">
        <w:rPr>
          <w:rFonts w:hint="eastAsia"/>
          <w:b/>
        </w:rPr>
        <w:t>文章閱讀</w:t>
      </w:r>
    </w:p>
    <w:p w14:paraId="1EA2108F" w14:textId="77777777" w:rsidR="00E44347" w:rsidRPr="00E44347" w:rsidRDefault="00E44347" w:rsidP="00E44347">
      <w:pPr>
        <w:pStyle w:val="a8"/>
        <w:numPr>
          <w:ilvl w:val="0"/>
          <w:numId w:val="20"/>
        </w:numPr>
        <w:adjustRightInd w:val="0"/>
        <w:snapToGrid w:val="0"/>
        <w:ind w:leftChars="0"/>
        <w:jc w:val="both"/>
        <w:rPr>
          <w:b/>
        </w:rPr>
      </w:pPr>
      <w:r w:rsidRPr="00E44347">
        <w:rPr>
          <w:rFonts w:hint="eastAsia"/>
          <w:b/>
        </w:rPr>
        <w:t>引用格式</w:t>
      </w:r>
    </w:p>
    <w:p w14:paraId="4A61F0E6" w14:textId="77777777" w:rsidR="00E44347" w:rsidRPr="00E44347" w:rsidRDefault="00E44347" w:rsidP="00E44347">
      <w:pPr>
        <w:pStyle w:val="a8"/>
        <w:numPr>
          <w:ilvl w:val="0"/>
          <w:numId w:val="20"/>
        </w:numPr>
        <w:adjustRightInd w:val="0"/>
        <w:snapToGrid w:val="0"/>
        <w:ind w:leftChars="0"/>
        <w:jc w:val="both"/>
        <w:rPr>
          <w:b/>
        </w:rPr>
      </w:pPr>
      <w:r w:rsidRPr="00E44347">
        <w:rPr>
          <w:rFonts w:hint="eastAsia"/>
          <w:b/>
        </w:rPr>
        <w:t>寫作格式</w:t>
      </w:r>
    </w:p>
    <w:p w14:paraId="2A63952D" w14:textId="77777777" w:rsidR="00E44347" w:rsidRPr="00E44347" w:rsidRDefault="00E44347" w:rsidP="00E44347">
      <w:pPr>
        <w:pStyle w:val="a8"/>
        <w:numPr>
          <w:ilvl w:val="0"/>
          <w:numId w:val="20"/>
        </w:numPr>
        <w:adjustRightInd w:val="0"/>
        <w:snapToGrid w:val="0"/>
        <w:ind w:leftChars="0"/>
        <w:jc w:val="both"/>
        <w:rPr>
          <w:b/>
        </w:rPr>
      </w:pPr>
      <w:r w:rsidRPr="00E44347">
        <w:rPr>
          <w:rFonts w:hint="eastAsia"/>
          <w:b/>
        </w:rPr>
        <w:t>論證基礎</w:t>
      </w:r>
    </w:p>
    <w:p w14:paraId="495EAF39" w14:textId="77777777" w:rsidR="00E44347" w:rsidRPr="00E44347" w:rsidRDefault="00E44347" w:rsidP="00E44347">
      <w:pPr>
        <w:adjustRightInd w:val="0"/>
        <w:snapToGrid w:val="0"/>
        <w:jc w:val="both"/>
        <w:rPr>
          <w:b/>
        </w:rPr>
      </w:pPr>
    </w:p>
    <w:p w14:paraId="5074E94F" w14:textId="77777777" w:rsidR="00E44347" w:rsidRPr="00E44347" w:rsidRDefault="00E44347" w:rsidP="00E44347">
      <w:pPr>
        <w:jc w:val="both"/>
        <w:rPr>
          <w:b/>
        </w:rPr>
      </w:pPr>
    </w:p>
    <w:p w14:paraId="3027601B" w14:textId="77777777" w:rsidR="00E44347" w:rsidRDefault="00E44347" w:rsidP="00E44347">
      <w:pPr>
        <w:jc w:val="both"/>
        <w:rPr>
          <w:b/>
        </w:rPr>
      </w:pPr>
    </w:p>
    <w:p w14:paraId="719EAE91" w14:textId="77777777" w:rsidR="0018773E" w:rsidRPr="0018773E" w:rsidRDefault="00E44347" w:rsidP="0018773E">
      <w:pPr>
        <w:jc w:val="both"/>
        <w:rPr>
          <w:b/>
        </w:rPr>
      </w:pPr>
      <w:r>
        <w:rPr>
          <w:rFonts w:hint="eastAsia"/>
          <w:b/>
        </w:rPr>
        <w:t>授課內容</w:t>
      </w:r>
    </w:p>
    <w:p w14:paraId="6F9BEACE" w14:textId="77777777" w:rsidR="0018773E" w:rsidRPr="0018773E" w:rsidRDefault="00376EDC" w:rsidP="0018773E">
      <w:pPr>
        <w:jc w:val="both"/>
        <w:rPr>
          <w:b/>
        </w:rPr>
      </w:pPr>
      <w:r>
        <w:rPr>
          <w:b/>
        </w:rPr>
        <w:t>Research Design (</w:t>
      </w:r>
      <w:r>
        <w:rPr>
          <w:rFonts w:hint="eastAsia"/>
          <w:b/>
        </w:rPr>
        <w:t>I</w:t>
      </w:r>
      <w:r w:rsidR="0018773E" w:rsidRPr="0018773E">
        <w:rPr>
          <w:b/>
        </w:rPr>
        <w:t>)</w:t>
      </w:r>
    </w:p>
    <w:p w14:paraId="4B8BE409" w14:textId="77777777" w:rsidR="0018773E" w:rsidRPr="0018773E" w:rsidRDefault="0018773E" w:rsidP="00E44347">
      <w:pPr>
        <w:pStyle w:val="a8"/>
        <w:numPr>
          <w:ilvl w:val="0"/>
          <w:numId w:val="23"/>
        </w:numPr>
        <w:tabs>
          <w:tab w:val="num" w:pos="840"/>
        </w:tabs>
        <w:snapToGrid w:val="0"/>
        <w:ind w:leftChars="0"/>
        <w:jc w:val="both"/>
      </w:pPr>
      <w:r w:rsidRPr="0018773E">
        <w:t xml:space="preserve">Stephen Van </w:t>
      </w:r>
      <w:proofErr w:type="spellStart"/>
      <w:r w:rsidRPr="0018773E">
        <w:t>Evera</w:t>
      </w:r>
      <w:proofErr w:type="spellEnd"/>
      <w:r w:rsidRPr="0018773E">
        <w:t xml:space="preserve">, 1997. “How to Write a Paper,” in </w:t>
      </w:r>
      <w:r w:rsidRPr="00E44347">
        <w:rPr>
          <w:i/>
        </w:rPr>
        <w:t>Guide to Methods for Students of Political Science</w:t>
      </w:r>
      <w:r w:rsidRPr="0018773E">
        <w:t>, Appendix (Ithaca: Cor</w:t>
      </w:r>
      <w:r w:rsidR="006F47B9">
        <w:t>nell University Press): 123-</w:t>
      </w:r>
      <w:proofErr w:type="gramStart"/>
      <w:r w:rsidR="006F47B9">
        <w:t>128.*</w:t>
      </w:r>
      <w:proofErr w:type="gramEnd"/>
      <w:r w:rsidR="006F47B9">
        <w:rPr>
          <w:rFonts w:hint="eastAsia"/>
        </w:rPr>
        <w:t>**</w:t>
      </w:r>
    </w:p>
    <w:p w14:paraId="50B80935" w14:textId="77777777" w:rsidR="0018773E" w:rsidRPr="0018773E" w:rsidRDefault="0018773E" w:rsidP="00E44347">
      <w:pPr>
        <w:pStyle w:val="a8"/>
        <w:numPr>
          <w:ilvl w:val="0"/>
          <w:numId w:val="23"/>
        </w:numPr>
        <w:tabs>
          <w:tab w:val="num" w:pos="840"/>
        </w:tabs>
        <w:snapToGrid w:val="0"/>
        <w:ind w:leftChars="0"/>
        <w:jc w:val="both"/>
      </w:pPr>
      <w:r w:rsidRPr="0018773E">
        <w:t xml:space="preserve">Stephen Van </w:t>
      </w:r>
      <w:proofErr w:type="spellStart"/>
      <w:r w:rsidRPr="0018773E">
        <w:t>Evera</w:t>
      </w:r>
      <w:proofErr w:type="spellEnd"/>
      <w:r w:rsidRPr="0018773E">
        <w:t xml:space="preserve">, 1997. “The Dissertation Proposal,” in </w:t>
      </w:r>
      <w:r w:rsidRPr="00E44347">
        <w:rPr>
          <w:i/>
        </w:rPr>
        <w:t>Guide to Methods for Students of Political Science</w:t>
      </w:r>
      <w:r w:rsidRPr="0018773E">
        <w:t xml:space="preserve"> (Ithaca: Cornell University Press): 115-</w:t>
      </w:r>
      <w:proofErr w:type="gramStart"/>
      <w:r w:rsidRPr="0018773E">
        <w:t>116.</w:t>
      </w:r>
      <w:r w:rsidR="006F47B9">
        <w:rPr>
          <w:rFonts w:hint="eastAsia"/>
        </w:rPr>
        <w:t>*</w:t>
      </w:r>
      <w:proofErr w:type="gramEnd"/>
      <w:r w:rsidR="006F47B9">
        <w:rPr>
          <w:rFonts w:hint="eastAsia"/>
        </w:rPr>
        <w:t>**</w:t>
      </w:r>
    </w:p>
    <w:p w14:paraId="3F460B39" w14:textId="77777777" w:rsidR="0018773E" w:rsidRPr="0018773E" w:rsidRDefault="00E44347" w:rsidP="00E44347">
      <w:pPr>
        <w:pStyle w:val="a8"/>
        <w:numPr>
          <w:ilvl w:val="0"/>
          <w:numId w:val="23"/>
        </w:numPr>
        <w:tabs>
          <w:tab w:val="left" w:pos="284"/>
        </w:tabs>
        <w:snapToGrid w:val="0"/>
        <w:ind w:leftChars="0"/>
        <w:jc w:val="both"/>
      </w:pPr>
      <w:r>
        <w:rPr>
          <w:rFonts w:hint="eastAsia"/>
        </w:rPr>
        <w:t xml:space="preserve">  </w:t>
      </w:r>
      <w:r w:rsidR="0018773E" w:rsidRPr="0018773E">
        <w:t xml:space="preserve">Stephen Van </w:t>
      </w:r>
      <w:proofErr w:type="spellStart"/>
      <w:r w:rsidR="0018773E" w:rsidRPr="0018773E">
        <w:t>Evera</w:t>
      </w:r>
      <w:proofErr w:type="spellEnd"/>
      <w:r w:rsidR="0018773E" w:rsidRPr="0018773E">
        <w:t xml:space="preserve">, 1997. “What is a Political Science Dissertation,” in </w:t>
      </w:r>
      <w:r w:rsidR="0018773E" w:rsidRPr="00E44347">
        <w:rPr>
          <w:i/>
        </w:rPr>
        <w:t>Guide to Methods for Students of Political Science</w:t>
      </w:r>
      <w:r w:rsidR="0018773E" w:rsidRPr="0018773E">
        <w:t>, (Ithaca: Cornell University Press):89-</w:t>
      </w:r>
      <w:proofErr w:type="gramStart"/>
      <w:r w:rsidR="0018773E" w:rsidRPr="0018773E">
        <w:t>95.</w:t>
      </w:r>
      <w:r w:rsidR="006F47B9">
        <w:rPr>
          <w:rFonts w:hint="eastAsia"/>
        </w:rPr>
        <w:t>*</w:t>
      </w:r>
      <w:proofErr w:type="gramEnd"/>
      <w:r w:rsidR="006F47B9">
        <w:rPr>
          <w:rFonts w:hint="eastAsia"/>
        </w:rPr>
        <w:t>**</w:t>
      </w:r>
    </w:p>
    <w:p w14:paraId="7D2962CB" w14:textId="77777777" w:rsidR="00376EDC" w:rsidRDefault="00376EDC" w:rsidP="00376EDC">
      <w:pPr>
        <w:jc w:val="both"/>
        <w:rPr>
          <w:b/>
        </w:rPr>
      </w:pPr>
    </w:p>
    <w:p w14:paraId="37C004D3" w14:textId="77777777" w:rsidR="0018773E" w:rsidRPr="0018773E" w:rsidRDefault="0018773E" w:rsidP="0018773E">
      <w:pPr>
        <w:jc w:val="both"/>
        <w:rPr>
          <w:b/>
        </w:rPr>
      </w:pPr>
      <w:r w:rsidRPr="0018773E">
        <w:rPr>
          <w:b/>
        </w:rPr>
        <w:lastRenderedPageBreak/>
        <w:t>Comparative Method (1)</w:t>
      </w:r>
    </w:p>
    <w:p w14:paraId="5C85EEE3" w14:textId="77777777" w:rsidR="0018773E" w:rsidRPr="0018773E" w:rsidRDefault="0018773E" w:rsidP="0018773E">
      <w:pPr>
        <w:numPr>
          <w:ilvl w:val="0"/>
          <w:numId w:val="5"/>
        </w:numPr>
        <w:adjustRightInd w:val="0"/>
        <w:snapToGrid w:val="0"/>
        <w:jc w:val="both"/>
      </w:pPr>
      <w:r w:rsidRPr="0018773E">
        <w:t xml:space="preserve">John Stuart Mill, 2000. </w:t>
      </w:r>
      <w:r w:rsidRPr="0018773E">
        <w:rPr>
          <w:i/>
        </w:rPr>
        <w:t xml:space="preserve">A System of Logic: </w:t>
      </w:r>
      <w:proofErr w:type="spellStart"/>
      <w:r w:rsidRPr="0018773E">
        <w:rPr>
          <w:i/>
        </w:rPr>
        <w:t>Rationcinative</w:t>
      </w:r>
      <w:proofErr w:type="spellEnd"/>
      <w:r w:rsidRPr="0018773E">
        <w:rPr>
          <w:i/>
        </w:rPr>
        <w:t xml:space="preserve"> and Inductive: Being a Connected View of the Principles of Evidence and the Methods of Scientific Investigation</w:t>
      </w:r>
      <w:r w:rsidRPr="0018773E">
        <w:t>.  J M. Robson (ed). Routledge Press. Chapter VIII, pp. 388-</w:t>
      </w:r>
      <w:proofErr w:type="gramStart"/>
      <w:r w:rsidRPr="0018773E">
        <w:t>406.</w:t>
      </w:r>
      <w:r w:rsidR="006F47B9">
        <w:rPr>
          <w:rFonts w:hint="eastAsia"/>
        </w:rPr>
        <w:t>*</w:t>
      </w:r>
      <w:proofErr w:type="gramEnd"/>
      <w:r w:rsidR="006F47B9">
        <w:rPr>
          <w:rFonts w:hint="eastAsia"/>
        </w:rPr>
        <w:t>**</w:t>
      </w:r>
    </w:p>
    <w:p w14:paraId="192A6B4F" w14:textId="77777777" w:rsidR="00360B02" w:rsidRDefault="00360B02" w:rsidP="00360B02">
      <w:pPr>
        <w:jc w:val="both"/>
        <w:rPr>
          <w:b/>
        </w:rPr>
      </w:pPr>
    </w:p>
    <w:p w14:paraId="0B637E4F" w14:textId="77777777" w:rsidR="0018773E" w:rsidRPr="0018773E" w:rsidRDefault="0018773E" w:rsidP="0018773E">
      <w:pPr>
        <w:jc w:val="both"/>
      </w:pPr>
      <w:r w:rsidRPr="0018773E">
        <w:rPr>
          <w:b/>
        </w:rPr>
        <w:t>Comparative Method (2)</w:t>
      </w:r>
      <w:r w:rsidRPr="0018773E">
        <w:t xml:space="preserve"> </w:t>
      </w:r>
    </w:p>
    <w:p w14:paraId="02F1508E" w14:textId="77777777" w:rsidR="0018773E" w:rsidRPr="0018773E" w:rsidRDefault="0018773E" w:rsidP="0018773E">
      <w:pPr>
        <w:numPr>
          <w:ilvl w:val="0"/>
          <w:numId w:val="6"/>
        </w:numPr>
        <w:adjustRightInd w:val="0"/>
        <w:snapToGrid w:val="0"/>
        <w:ind w:left="357" w:hanging="357"/>
        <w:jc w:val="both"/>
      </w:pPr>
      <w:r w:rsidRPr="0018773E">
        <w:t xml:space="preserve">Charles C. Ragin. 1987. “Case Oriented Comparative Methods” in Charles C Ragin. </w:t>
      </w:r>
      <w:r w:rsidRPr="0018773E">
        <w:rPr>
          <w:i/>
        </w:rPr>
        <w:t xml:space="preserve">The Comparative Method: Moving Beyond Qualitative and Quantitative Method. </w:t>
      </w:r>
      <w:r w:rsidRPr="0018773E">
        <w:t>University of California Press, pp34-</w:t>
      </w:r>
      <w:proofErr w:type="gramStart"/>
      <w:r w:rsidRPr="0018773E">
        <w:t>52.</w:t>
      </w:r>
      <w:r w:rsidR="006F47B9">
        <w:rPr>
          <w:rFonts w:hint="eastAsia"/>
        </w:rPr>
        <w:t>*</w:t>
      </w:r>
      <w:proofErr w:type="gramEnd"/>
      <w:r w:rsidR="006F47B9">
        <w:rPr>
          <w:rFonts w:hint="eastAsia"/>
        </w:rPr>
        <w:t>**</w:t>
      </w:r>
    </w:p>
    <w:p w14:paraId="7EABFF5F" w14:textId="77777777" w:rsidR="00360B02" w:rsidRDefault="00360B02" w:rsidP="00360B02">
      <w:pPr>
        <w:jc w:val="both"/>
        <w:rPr>
          <w:b/>
        </w:rPr>
      </w:pPr>
    </w:p>
    <w:p w14:paraId="2770CAAA" w14:textId="77777777" w:rsidR="0018773E" w:rsidRPr="0018773E" w:rsidRDefault="0018773E" w:rsidP="0018773E">
      <w:pPr>
        <w:adjustRightInd w:val="0"/>
        <w:snapToGrid w:val="0"/>
        <w:jc w:val="both"/>
        <w:rPr>
          <w:b/>
        </w:rPr>
      </w:pPr>
      <w:r w:rsidRPr="0018773E">
        <w:rPr>
          <w:b/>
        </w:rPr>
        <w:t>Comparative method (4): Contextualized Comparison</w:t>
      </w:r>
    </w:p>
    <w:p w14:paraId="2D1B9C93" w14:textId="77777777" w:rsidR="0018773E" w:rsidRPr="0018773E" w:rsidRDefault="0018773E" w:rsidP="0018773E">
      <w:pPr>
        <w:numPr>
          <w:ilvl w:val="0"/>
          <w:numId w:val="7"/>
        </w:numPr>
        <w:adjustRightInd w:val="0"/>
        <w:snapToGrid w:val="0"/>
        <w:jc w:val="both"/>
      </w:pPr>
      <w:r w:rsidRPr="0018773E">
        <w:t xml:space="preserve">Richard M. Locke and Kathleen </w:t>
      </w:r>
      <w:proofErr w:type="spellStart"/>
      <w:r w:rsidRPr="0018773E">
        <w:t>Thelen</w:t>
      </w:r>
      <w:proofErr w:type="spellEnd"/>
      <w:r w:rsidRPr="0018773E">
        <w:t>, 1995. “Apples and Oranges Revisited: Contextualized Comparisons and the Study of Comparative Labor Politics,</w:t>
      </w:r>
      <w:proofErr w:type="gramStart"/>
      <w:r w:rsidRPr="0018773E">
        <w:t>”</w:t>
      </w:r>
      <w:proofErr w:type="gramEnd"/>
      <w:r w:rsidRPr="0018773E">
        <w:t xml:space="preserve"> </w:t>
      </w:r>
      <w:r w:rsidRPr="0018773E">
        <w:rPr>
          <w:i/>
        </w:rPr>
        <w:t>Politics and Society</w:t>
      </w:r>
      <w:r w:rsidRPr="0018773E">
        <w:t xml:space="preserve"> 23(3):337-367. </w:t>
      </w:r>
      <w:proofErr w:type="gramStart"/>
      <w:r w:rsidRPr="0018773E">
        <w:t>（</w:t>
      </w:r>
      <w:proofErr w:type="gramEnd"/>
      <w:r w:rsidRPr="0018773E">
        <w:t>www.google.com</w:t>
      </w:r>
      <w:proofErr w:type="gramStart"/>
      <w:r w:rsidRPr="0018773E">
        <w:t>）</w:t>
      </w:r>
      <w:proofErr w:type="gramEnd"/>
      <w:r w:rsidR="006F47B9">
        <w:rPr>
          <w:rFonts w:hint="eastAsia"/>
        </w:rPr>
        <w:t>***</w:t>
      </w:r>
    </w:p>
    <w:p w14:paraId="17526B74" w14:textId="77777777" w:rsidR="0018773E" w:rsidRPr="00C15FE8" w:rsidRDefault="0018773E" w:rsidP="0018773E">
      <w:pPr>
        <w:numPr>
          <w:ilvl w:val="0"/>
          <w:numId w:val="7"/>
        </w:numPr>
        <w:adjustRightInd w:val="0"/>
        <w:snapToGrid w:val="0"/>
        <w:jc w:val="both"/>
        <w:rPr>
          <w:color w:val="000000" w:themeColor="text1"/>
        </w:rPr>
      </w:pPr>
      <w:r w:rsidRPr="0018773E">
        <w:t xml:space="preserve">Richard M. Locke and Kathleen </w:t>
      </w:r>
      <w:proofErr w:type="spellStart"/>
      <w:r w:rsidRPr="0018773E">
        <w:t>Thelen</w:t>
      </w:r>
      <w:proofErr w:type="spellEnd"/>
      <w:r w:rsidRPr="0018773E">
        <w:t xml:space="preserve">. 1998. “Problems of Equivalence in Comparative Politics: Apples and Oranges, Again,” </w:t>
      </w:r>
      <w:r w:rsidRPr="0018773E">
        <w:rPr>
          <w:i/>
        </w:rPr>
        <w:t>American Political Science Association: Comparative Politics Newsletter</w:t>
      </w:r>
      <w:r w:rsidRPr="0018773E">
        <w:t>, No. 8 (Winter), 9-</w:t>
      </w:r>
      <w:proofErr w:type="gramStart"/>
      <w:r w:rsidRPr="0018773E">
        <w:t>12.</w:t>
      </w:r>
      <w:r w:rsidRPr="00C15FE8">
        <w:rPr>
          <w:color w:val="000000" w:themeColor="text1"/>
        </w:rPr>
        <w:t>（</w:t>
      </w:r>
      <w:proofErr w:type="gramEnd"/>
      <w:r w:rsidR="00417F69">
        <w:fldChar w:fldCharType="begin"/>
      </w:r>
      <w:r w:rsidR="00417F69">
        <w:instrText xml:space="preserve"> HYPERLINK "http://www.google.com</w:instrText>
      </w:r>
      <w:r w:rsidR="00417F69">
        <w:instrText>）</w:instrText>
      </w:r>
      <w:r w:rsidR="00417F69">
        <w:instrText xml:space="preserve">**" </w:instrText>
      </w:r>
      <w:r w:rsidR="00417F69">
        <w:fldChar w:fldCharType="separate"/>
      </w:r>
      <w:r w:rsidR="00E44347" w:rsidRPr="00C15FE8">
        <w:rPr>
          <w:rStyle w:val="a3"/>
          <w:color w:val="000000" w:themeColor="text1"/>
          <w:u w:val="none"/>
        </w:rPr>
        <w:t>www.google.com</w:t>
      </w:r>
      <w:r w:rsidR="00E44347" w:rsidRPr="00C15FE8">
        <w:rPr>
          <w:rStyle w:val="a3"/>
          <w:color w:val="000000" w:themeColor="text1"/>
          <w:u w:val="none"/>
        </w:rPr>
        <w:t>）</w:t>
      </w:r>
      <w:r w:rsidR="00E44347" w:rsidRPr="00C15FE8">
        <w:rPr>
          <w:rStyle w:val="a3"/>
          <w:rFonts w:hint="eastAsia"/>
          <w:color w:val="000000" w:themeColor="text1"/>
          <w:u w:val="none"/>
        </w:rPr>
        <w:t>**</w:t>
      </w:r>
      <w:r w:rsidR="00417F69">
        <w:rPr>
          <w:rStyle w:val="a3"/>
          <w:color w:val="000000" w:themeColor="text1"/>
          <w:u w:val="none"/>
        </w:rPr>
        <w:fldChar w:fldCharType="end"/>
      </w:r>
      <w:r w:rsidR="00C522C9" w:rsidRPr="00C15FE8">
        <w:rPr>
          <w:rFonts w:hint="eastAsia"/>
          <w:color w:val="000000" w:themeColor="text1"/>
        </w:rPr>
        <w:t>*</w:t>
      </w:r>
    </w:p>
    <w:p w14:paraId="4FF0EF85" w14:textId="77777777" w:rsidR="00E44347" w:rsidRPr="00C522C9" w:rsidRDefault="00E44347" w:rsidP="00E44347">
      <w:pPr>
        <w:adjustRightInd w:val="0"/>
        <w:snapToGrid w:val="0"/>
        <w:jc w:val="both"/>
        <w:rPr>
          <w:color w:val="000000" w:themeColor="text1"/>
        </w:rPr>
      </w:pPr>
    </w:p>
    <w:p w14:paraId="6921ABDD" w14:textId="77777777" w:rsidR="0018773E" w:rsidRPr="0018773E" w:rsidRDefault="0018773E" w:rsidP="0018773E">
      <w:pPr>
        <w:adjustRightInd w:val="0"/>
        <w:snapToGrid w:val="0"/>
        <w:jc w:val="both"/>
        <w:rPr>
          <w:b/>
        </w:rPr>
      </w:pPr>
      <w:r w:rsidRPr="0018773E">
        <w:rPr>
          <w:b/>
        </w:rPr>
        <w:t>Case Study I</w:t>
      </w:r>
    </w:p>
    <w:p w14:paraId="4BCB225D" w14:textId="77777777" w:rsidR="0018773E" w:rsidRDefault="0018773E" w:rsidP="0018773E">
      <w:pPr>
        <w:numPr>
          <w:ilvl w:val="0"/>
          <w:numId w:val="8"/>
        </w:numPr>
        <w:adjustRightInd w:val="0"/>
        <w:snapToGrid w:val="0"/>
        <w:jc w:val="both"/>
      </w:pPr>
      <w:r w:rsidRPr="0018773E">
        <w:t xml:space="preserve">Stephen Van </w:t>
      </w:r>
      <w:proofErr w:type="spellStart"/>
      <w:r w:rsidRPr="0018773E">
        <w:t>Evera</w:t>
      </w:r>
      <w:proofErr w:type="spellEnd"/>
      <w:r w:rsidRPr="0018773E">
        <w:t xml:space="preserve">. 1997. “What are Case Studies? How should they be performed” in Stephen Van </w:t>
      </w:r>
      <w:proofErr w:type="spellStart"/>
      <w:r w:rsidRPr="0018773E">
        <w:t>Evera</w:t>
      </w:r>
      <w:proofErr w:type="spellEnd"/>
      <w:r w:rsidRPr="0018773E">
        <w:t>. (ed</w:t>
      </w:r>
      <w:r w:rsidR="005F287E">
        <w:t>s</w:t>
      </w:r>
      <w:r w:rsidRPr="0018773E">
        <w:t>) Guide to Methods for Students of Political Science, Cornell University Press, pp 49-</w:t>
      </w:r>
      <w:proofErr w:type="gramStart"/>
      <w:r w:rsidRPr="0018773E">
        <w:t>88.</w:t>
      </w:r>
      <w:r w:rsidR="006F47B9">
        <w:rPr>
          <w:rFonts w:hint="eastAsia"/>
        </w:rPr>
        <w:t>*</w:t>
      </w:r>
      <w:proofErr w:type="gramEnd"/>
      <w:r w:rsidR="006F47B9">
        <w:rPr>
          <w:rFonts w:hint="eastAsia"/>
        </w:rPr>
        <w:t>*</w:t>
      </w:r>
      <w:r w:rsidR="00C522C9">
        <w:rPr>
          <w:rFonts w:hint="eastAsia"/>
        </w:rPr>
        <w:t>*</w:t>
      </w:r>
    </w:p>
    <w:p w14:paraId="4AF224E6" w14:textId="77777777" w:rsidR="00E44347" w:rsidRPr="0018773E" w:rsidRDefault="00E44347" w:rsidP="00E44347">
      <w:pPr>
        <w:adjustRightInd w:val="0"/>
        <w:snapToGrid w:val="0"/>
        <w:jc w:val="both"/>
      </w:pPr>
    </w:p>
    <w:p w14:paraId="467E6099" w14:textId="77777777" w:rsidR="0018773E" w:rsidRPr="0018773E" w:rsidRDefault="0018773E" w:rsidP="0018773E">
      <w:pPr>
        <w:adjustRightInd w:val="0"/>
        <w:snapToGrid w:val="0"/>
        <w:jc w:val="both"/>
        <w:rPr>
          <w:b/>
        </w:rPr>
      </w:pPr>
      <w:r w:rsidRPr="0018773E">
        <w:rPr>
          <w:b/>
        </w:rPr>
        <w:t>Case Study II</w:t>
      </w:r>
    </w:p>
    <w:p w14:paraId="794CADA3" w14:textId="77777777" w:rsidR="0018773E" w:rsidRPr="0018773E" w:rsidRDefault="0018773E" w:rsidP="0018773E">
      <w:pPr>
        <w:numPr>
          <w:ilvl w:val="0"/>
          <w:numId w:val="9"/>
        </w:numPr>
        <w:adjustRightInd w:val="0"/>
        <w:snapToGrid w:val="0"/>
        <w:jc w:val="both"/>
      </w:pPr>
      <w:r w:rsidRPr="0018773E">
        <w:t xml:space="preserve">Alexander L. George and Andrew </w:t>
      </w:r>
      <w:proofErr w:type="spellStart"/>
      <w:r w:rsidRPr="0018773E">
        <w:t>Benett</w:t>
      </w:r>
      <w:proofErr w:type="spellEnd"/>
      <w:r w:rsidRPr="0018773E">
        <w:t>. 2005. “Part II: How to Do Case Studies” in Alexand</w:t>
      </w:r>
      <w:r w:rsidR="00E64A64">
        <w:t xml:space="preserve">er L. George and Andrew </w:t>
      </w:r>
      <w:proofErr w:type="spellStart"/>
      <w:r w:rsidR="00E64A64">
        <w:t>Benett</w:t>
      </w:r>
      <w:proofErr w:type="spellEnd"/>
      <w:r w:rsidR="00E64A64">
        <w:t xml:space="preserve"> eds</w:t>
      </w:r>
      <w:r w:rsidRPr="0018773E">
        <w:t>.</w:t>
      </w:r>
      <w:r w:rsidR="00E64A64">
        <w:rPr>
          <w:rFonts w:hint="eastAsia"/>
        </w:rPr>
        <w:t>,</w:t>
      </w:r>
      <w:r w:rsidRPr="0018773E">
        <w:t xml:space="preserve"> </w:t>
      </w:r>
      <w:r w:rsidRPr="0018773E">
        <w:rPr>
          <w:i/>
        </w:rPr>
        <w:t>Case Studies and Theory Development in the Social Sciences</w:t>
      </w:r>
      <w:r w:rsidRPr="0018773E">
        <w:t xml:space="preserve">. MIT Press, Chapter 1&amp; Chapter </w:t>
      </w:r>
      <w:proofErr w:type="gramStart"/>
      <w:r w:rsidRPr="0018773E">
        <w:t>2.*</w:t>
      </w:r>
      <w:proofErr w:type="gramEnd"/>
      <w:r w:rsidRPr="0018773E">
        <w:t>*</w:t>
      </w:r>
      <w:r w:rsidR="006F47B9">
        <w:rPr>
          <w:rFonts w:hint="eastAsia"/>
        </w:rPr>
        <w:t>*</w:t>
      </w:r>
    </w:p>
    <w:p w14:paraId="0DAE412D" w14:textId="77777777" w:rsidR="0018773E" w:rsidRDefault="0018773E" w:rsidP="0018773E">
      <w:pPr>
        <w:numPr>
          <w:ilvl w:val="0"/>
          <w:numId w:val="9"/>
        </w:numPr>
        <w:adjustRightInd w:val="0"/>
        <w:snapToGrid w:val="0"/>
        <w:ind w:left="357" w:hanging="357"/>
        <w:jc w:val="both"/>
      </w:pPr>
      <w:r w:rsidRPr="0018773E">
        <w:t xml:space="preserve">Alexander L. George and Andrew </w:t>
      </w:r>
      <w:proofErr w:type="spellStart"/>
      <w:r w:rsidRPr="0018773E">
        <w:t>Benett</w:t>
      </w:r>
      <w:proofErr w:type="spellEnd"/>
      <w:r w:rsidRPr="0018773E">
        <w:t xml:space="preserve">. 2005. “Part II: How to Do Case Studies” in Alexander L. George and Andrew </w:t>
      </w:r>
      <w:proofErr w:type="spellStart"/>
      <w:r w:rsidRPr="0018773E">
        <w:t>Benett</w:t>
      </w:r>
      <w:proofErr w:type="spellEnd"/>
      <w:r w:rsidRPr="0018773E">
        <w:t xml:space="preserve"> (eds). </w:t>
      </w:r>
      <w:r w:rsidRPr="0018773E">
        <w:rPr>
          <w:i/>
        </w:rPr>
        <w:t>Case Studies and Theory Development in the Social Sciences</w:t>
      </w:r>
      <w:r w:rsidRPr="0018773E">
        <w:t xml:space="preserve">, Chapter 3-4, 5, </w:t>
      </w:r>
      <w:proofErr w:type="gramStart"/>
      <w:r w:rsidRPr="0018773E">
        <w:t>6.</w:t>
      </w:r>
      <w:r w:rsidR="006F47B9">
        <w:rPr>
          <w:rFonts w:hint="eastAsia"/>
        </w:rPr>
        <w:t>*</w:t>
      </w:r>
      <w:proofErr w:type="gramEnd"/>
      <w:r w:rsidR="006F47B9">
        <w:rPr>
          <w:rFonts w:hint="eastAsia"/>
        </w:rPr>
        <w:t>*</w:t>
      </w:r>
    </w:p>
    <w:p w14:paraId="710711AB" w14:textId="77777777" w:rsidR="00E44347" w:rsidRDefault="00E44347" w:rsidP="00E44347">
      <w:pPr>
        <w:adjustRightInd w:val="0"/>
        <w:snapToGrid w:val="0"/>
        <w:ind w:left="357"/>
        <w:jc w:val="both"/>
      </w:pPr>
    </w:p>
    <w:p w14:paraId="373DC169" w14:textId="77777777" w:rsidR="004D6010" w:rsidRDefault="004D6010" w:rsidP="00E44347">
      <w:pPr>
        <w:adjustRightInd w:val="0"/>
        <w:snapToGrid w:val="0"/>
        <w:jc w:val="both"/>
      </w:pPr>
    </w:p>
    <w:p w14:paraId="5731AF63" w14:textId="77777777" w:rsidR="0018773E" w:rsidRDefault="00065A00" w:rsidP="0018773E">
      <w:pPr>
        <w:adjustRightInd w:val="0"/>
        <w:snapToGrid w:val="0"/>
        <w:jc w:val="both"/>
        <w:rPr>
          <w:b/>
        </w:rPr>
      </w:pPr>
      <w:r>
        <w:rPr>
          <w:rFonts w:hint="eastAsia"/>
          <w:b/>
        </w:rPr>
        <w:t>F</w:t>
      </w:r>
      <w:r>
        <w:rPr>
          <w:b/>
        </w:rPr>
        <w:t>ield Research in Political Science</w:t>
      </w:r>
    </w:p>
    <w:p w14:paraId="2822456E" w14:textId="77777777" w:rsidR="00065A00" w:rsidRDefault="00065A00" w:rsidP="00065A00">
      <w:pPr>
        <w:pStyle w:val="a8"/>
        <w:numPr>
          <w:ilvl w:val="0"/>
          <w:numId w:val="24"/>
        </w:numPr>
        <w:adjustRightInd w:val="0"/>
        <w:snapToGrid w:val="0"/>
        <w:ind w:leftChars="0"/>
        <w:jc w:val="both"/>
      </w:pPr>
      <w:r w:rsidRPr="00065A00">
        <w:t xml:space="preserve">Diana </w:t>
      </w:r>
      <w:proofErr w:type="spellStart"/>
      <w:r w:rsidRPr="00065A00">
        <w:t>Kap</w:t>
      </w:r>
      <w:r>
        <w:t>iszewski</w:t>
      </w:r>
      <w:proofErr w:type="spellEnd"/>
      <w:r>
        <w:t xml:space="preserve">, Lauren M. Maclean and Benjamin L. Read, 2015. </w:t>
      </w:r>
      <w:r w:rsidRPr="00065A00">
        <w:rPr>
          <w:i/>
        </w:rPr>
        <w:t>Field Research in Political Science</w:t>
      </w:r>
      <w:r>
        <w:t xml:space="preserve">, Cambridge: Cambridge University Press. </w:t>
      </w:r>
    </w:p>
    <w:p w14:paraId="45CE45FB" w14:textId="77777777" w:rsidR="00065A00" w:rsidRPr="00065A00" w:rsidRDefault="00065A00" w:rsidP="00065A00">
      <w:pPr>
        <w:pStyle w:val="a8"/>
        <w:adjustRightInd w:val="0"/>
        <w:snapToGrid w:val="0"/>
        <w:ind w:leftChars="0"/>
        <w:jc w:val="both"/>
      </w:pPr>
    </w:p>
    <w:sectPr w:rsidR="00065A00" w:rsidRPr="00065A00" w:rsidSect="009239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A61B" w14:textId="77777777" w:rsidR="00417F69" w:rsidRDefault="00417F69" w:rsidP="0018773E">
      <w:r>
        <w:separator/>
      </w:r>
    </w:p>
  </w:endnote>
  <w:endnote w:type="continuationSeparator" w:id="0">
    <w:p w14:paraId="5450BB90" w14:textId="77777777" w:rsidR="00417F69" w:rsidRDefault="00417F69" w:rsidP="0018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264467"/>
      <w:docPartObj>
        <w:docPartGallery w:val="Page Numbers (Bottom of Page)"/>
        <w:docPartUnique/>
      </w:docPartObj>
    </w:sdtPr>
    <w:sdtEndPr/>
    <w:sdtContent>
      <w:p w14:paraId="206F668C" w14:textId="77777777" w:rsidR="008B3F27" w:rsidRDefault="008B3F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E69" w:rsidRPr="008F2E69">
          <w:rPr>
            <w:noProof/>
            <w:lang w:val="zh-TW"/>
          </w:rPr>
          <w:t>1</w:t>
        </w:r>
        <w:r>
          <w:fldChar w:fldCharType="end"/>
        </w:r>
      </w:p>
    </w:sdtContent>
  </w:sdt>
  <w:p w14:paraId="6CBDC33A" w14:textId="77777777" w:rsidR="006F47B9" w:rsidRDefault="006F47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3492" w14:textId="77777777" w:rsidR="00417F69" w:rsidRDefault="00417F69" w:rsidP="0018773E">
      <w:r>
        <w:separator/>
      </w:r>
    </w:p>
  </w:footnote>
  <w:footnote w:type="continuationSeparator" w:id="0">
    <w:p w14:paraId="095AEA3E" w14:textId="77777777" w:rsidR="00417F69" w:rsidRDefault="00417F69" w:rsidP="00187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AC9"/>
    <w:multiLevelType w:val="hybridMultilevel"/>
    <w:tmpl w:val="421452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F68E4"/>
    <w:multiLevelType w:val="hybridMultilevel"/>
    <w:tmpl w:val="5B68F6B0"/>
    <w:lvl w:ilvl="0" w:tplc="9AE83F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950E7"/>
    <w:multiLevelType w:val="hybridMultilevel"/>
    <w:tmpl w:val="0AF6CA12"/>
    <w:lvl w:ilvl="0" w:tplc="C72C8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B6F80"/>
    <w:multiLevelType w:val="hybridMultilevel"/>
    <w:tmpl w:val="9E8269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BDE"/>
    <w:multiLevelType w:val="hybridMultilevel"/>
    <w:tmpl w:val="DD20CDD6"/>
    <w:lvl w:ilvl="0" w:tplc="9AE83F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647F0"/>
    <w:multiLevelType w:val="hybridMultilevel"/>
    <w:tmpl w:val="B0F662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D2558"/>
    <w:multiLevelType w:val="hybridMultilevel"/>
    <w:tmpl w:val="9D0A380C"/>
    <w:lvl w:ilvl="0" w:tplc="751AC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615B9A"/>
    <w:multiLevelType w:val="hybridMultilevel"/>
    <w:tmpl w:val="C5E6A824"/>
    <w:lvl w:ilvl="0" w:tplc="D8024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63752"/>
    <w:multiLevelType w:val="hybridMultilevel"/>
    <w:tmpl w:val="099C03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8719BB"/>
    <w:multiLevelType w:val="hybridMultilevel"/>
    <w:tmpl w:val="BAA011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76D05"/>
    <w:multiLevelType w:val="hybridMultilevel"/>
    <w:tmpl w:val="49F83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A21A2A"/>
    <w:multiLevelType w:val="hybridMultilevel"/>
    <w:tmpl w:val="8F7AB914"/>
    <w:lvl w:ilvl="0" w:tplc="6A082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B4D8C"/>
    <w:multiLevelType w:val="hybridMultilevel"/>
    <w:tmpl w:val="50EE4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5F7CF9"/>
    <w:multiLevelType w:val="hybridMultilevel"/>
    <w:tmpl w:val="5BCAD834"/>
    <w:lvl w:ilvl="0" w:tplc="836A1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E83F60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E1DA1"/>
    <w:multiLevelType w:val="hybridMultilevel"/>
    <w:tmpl w:val="45E4B374"/>
    <w:lvl w:ilvl="0" w:tplc="76B0D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405DE0"/>
    <w:multiLevelType w:val="hybridMultilevel"/>
    <w:tmpl w:val="2ADA338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EA1B74"/>
    <w:multiLevelType w:val="hybridMultilevel"/>
    <w:tmpl w:val="D6E46C7E"/>
    <w:lvl w:ilvl="0" w:tplc="751AC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3205E7"/>
    <w:multiLevelType w:val="hybridMultilevel"/>
    <w:tmpl w:val="218A3726"/>
    <w:lvl w:ilvl="0" w:tplc="3D6EF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6A00DE"/>
    <w:multiLevelType w:val="hybridMultilevel"/>
    <w:tmpl w:val="DE0AC2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811D9"/>
    <w:multiLevelType w:val="hybridMultilevel"/>
    <w:tmpl w:val="EE9A099A"/>
    <w:lvl w:ilvl="0" w:tplc="9AE83F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5F4ED2"/>
    <w:multiLevelType w:val="hybridMultilevel"/>
    <w:tmpl w:val="6C00C88C"/>
    <w:lvl w:ilvl="0" w:tplc="9AE83F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CE84F0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D802410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"/>
  </w:num>
  <w:num w:numId="15">
    <w:abstractNumId w:val="4"/>
  </w:num>
  <w:num w:numId="16">
    <w:abstractNumId w:val="19"/>
  </w:num>
  <w:num w:numId="17">
    <w:abstractNumId w:val="20"/>
  </w:num>
  <w:num w:numId="18">
    <w:abstractNumId w:val="10"/>
  </w:num>
  <w:num w:numId="19">
    <w:abstractNumId w:val="12"/>
  </w:num>
  <w:num w:numId="20">
    <w:abstractNumId w:val="16"/>
  </w:num>
  <w:num w:numId="21">
    <w:abstractNumId w:val="6"/>
  </w:num>
  <w:num w:numId="22">
    <w:abstractNumId w:val="15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3E"/>
    <w:rsid w:val="00065A00"/>
    <w:rsid w:val="000973F4"/>
    <w:rsid w:val="00100EE3"/>
    <w:rsid w:val="001021AF"/>
    <w:rsid w:val="0013680E"/>
    <w:rsid w:val="00165A24"/>
    <w:rsid w:val="0018773E"/>
    <w:rsid w:val="002023AA"/>
    <w:rsid w:val="00240B51"/>
    <w:rsid w:val="0026595A"/>
    <w:rsid w:val="002C3A51"/>
    <w:rsid w:val="00306E7B"/>
    <w:rsid w:val="003153A2"/>
    <w:rsid w:val="00315831"/>
    <w:rsid w:val="003423F5"/>
    <w:rsid w:val="00360B02"/>
    <w:rsid w:val="00376EDC"/>
    <w:rsid w:val="00383341"/>
    <w:rsid w:val="003B5B39"/>
    <w:rsid w:val="003B6921"/>
    <w:rsid w:val="003E1D81"/>
    <w:rsid w:val="00417F69"/>
    <w:rsid w:val="004242A7"/>
    <w:rsid w:val="00445D96"/>
    <w:rsid w:val="00461A48"/>
    <w:rsid w:val="00471DD9"/>
    <w:rsid w:val="004D6010"/>
    <w:rsid w:val="00554160"/>
    <w:rsid w:val="005C75C2"/>
    <w:rsid w:val="005D5C74"/>
    <w:rsid w:val="005F287E"/>
    <w:rsid w:val="006B16EB"/>
    <w:rsid w:val="006C2666"/>
    <w:rsid w:val="006F47B9"/>
    <w:rsid w:val="00723E8E"/>
    <w:rsid w:val="0075032C"/>
    <w:rsid w:val="007B0EC6"/>
    <w:rsid w:val="007D6522"/>
    <w:rsid w:val="008B3F27"/>
    <w:rsid w:val="008F2E69"/>
    <w:rsid w:val="0090443B"/>
    <w:rsid w:val="00923979"/>
    <w:rsid w:val="00957C87"/>
    <w:rsid w:val="00973D12"/>
    <w:rsid w:val="009F12B5"/>
    <w:rsid w:val="00B20FB0"/>
    <w:rsid w:val="00B37573"/>
    <w:rsid w:val="00B86A57"/>
    <w:rsid w:val="00BA01D9"/>
    <w:rsid w:val="00C15FE8"/>
    <w:rsid w:val="00C51BB8"/>
    <w:rsid w:val="00C522C9"/>
    <w:rsid w:val="00CE33C1"/>
    <w:rsid w:val="00D504E2"/>
    <w:rsid w:val="00D8632C"/>
    <w:rsid w:val="00DC3714"/>
    <w:rsid w:val="00E06317"/>
    <w:rsid w:val="00E12570"/>
    <w:rsid w:val="00E418E3"/>
    <w:rsid w:val="00E428C3"/>
    <w:rsid w:val="00E44347"/>
    <w:rsid w:val="00E553E1"/>
    <w:rsid w:val="00E64A64"/>
    <w:rsid w:val="00F705A0"/>
    <w:rsid w:val="00FB1566"/>
    <w:rsid w:val="00FC3103"/>
    <w:rsid w:val="00FC492D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BE4A3"/>
  <w15:docId w15:val="{074737D1-5F0E-4092-8BAD-48B8DF39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7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8773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7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773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7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541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84FA-AAEE-436D-8089-75300551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>CCU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Tsai Joseph</cp:lastModifiedBy>
  <cp:revision>2</cp:revision>
  <dcterms:created xsi:type="dcterms:W3CDTF">2026-02-22T01:35:00Z</dcterms:created>
  <dcterms:modified xsi:type="dcterms:W3CDTF">2026-02-22T01:35:00Z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5a0e5d2c880c42a28ae5b96b882c867771cbf2cdc6d811cae220c5f5fb5e6b3c</vt:lpwstr>
  </property>
</Properties>
</file>