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E99" w:rsidRDefault="00C71CC5">
      <w:pPr>
        <w:spacing w:line="400" w:lineRule="auto"/>
        <w:jc w:val="center"/>
        <w:rPr>
          <w:b/>
          <w:sz w:val="28"/>
          <w:szCs w:val="28"/>
        </w:rPr>
      </w:pPr>
      <w:sdt>
        <w:sdtPr>
          <w:tag w:val="goog_rdk_0"/>
          <w:id w:val="1292480814"/>
        </w:sdtPr>
        <w:sdtEndPr/>
        <w:sdtContent>
          <w:r w:rsidR="00644353">
            <w:rPr>
              <w:rFonts w:ascii="Gungsuh" w:eastAsia="Gungsuh" w:hAnsi="Gungsuh" w:cs="Gungsuh"/>
              <w:b/>
              <w:sz w:val="28"/>
              <w:szCs w:val="28"/>
            </w:rPr>
            <w:t>Global Environmental Governance：</w:t>
          </w:r>
        </w:sdtContent>
      </w:sdt>
    </w:p>
    <w:p w:rsidR="00594E99" w:rsidRDefault="00644353">
      <w:pPr>
        <w:spacing w:line="400" w:lineRule="auto"/>
        <w:jc w:val="center"/>
        <w:rPr>
          <w:b/>
          <w:sz w:val="28"/>
          <w:szCs w:val="28"/>
        </w:rPr>
      </w:pPr>
      <w:r>
        <w:rPr>
          <w:b/>
          <w:sz w:val="28"/>
          <w:szCs w:val="28"/>
        </w:rPr>
        <w:t>The Major Environmental Issues over the Past Decade</w:t>
      </w:r>
    </w:p>
    <w:p w:rsidR="00594E99" w:rsidRDefault="00C71CC5">
      <w:pPr>
        <w:spacing w:line="400" w:lineRule="auto"/>
        <w:jc w:val="center"/>
        <w:rPr>
          <w:sz w:val="28"/>
          <w:szCs w:val="28"/>
        </w:rPr>
      </w:pPr>
      <w:sdt>
        <w:sdtPr>
          <w:tag w:val="goog_rdk_1"/>
          <w:id w:val="-1466044714"/>
        </w:sdtPr>
        <w:sdtEndPr/>
        <w:sdtContent>
          <w:r w:rsidR="00644353">
            <w:rPr>
              <w:rFonts w:ascii="Gungsuh" w:eastAsia="Gungsuh" w:hAnsi="Gungsuh" w:cs="Gungsuh"/>
              <w:sz w:val="28"/>
              <w:szCs w:val="28"/>
            </w:rPr>
            <w:t>全球環境治理：重大環境問題分析</w:t>
          </w:r>
        </w:sdtContent>
      </w:sdt>
    </w:p>
    <w:p w:rsidR="00594E99" w:rsidRDefault="00C71CC5">
      <w:pPr>
        <w:spacing w:line="400" w:lineRule="auto"/>
        <w:jc w:val="center"/>
        <w:rPr>
          <w:sz w:val="28"/>
          <w:szCs w:val="28"/>
        </w:rPr>
      </w:pPr>
      <w:sdt>
        <w:sdtPr>
          <w:tag w:val="goog_rdk_2"/>
          <w:id w:val="-264772186"/>
        </w:sdtPr>
        <w:sdtEndPr/>
        <w:sdtContent>
          <w:r w:rsidR="00644353">
            <w:rPr>
              <w:rFonts w:ascii="Gungsuh" w:eastAsia="Gungsuh" w:hAnsi="Gungsuh" w:cs="Gungsuh"/>
              <w:sz w:val="28"/>
              <w:szCs w:val="28"/>
            </w:rPr>
            <w:t>（英語授課）</w:t>
          </w:r>
        </w:sdtContent>
      </w:sdt>
    </w:p>
    <w:p w:rsidR="00594E99" w:rsidRDefault="00594E99">
      <w:pPr>
        <w:jc w:val="center"/>
      </w:pPr>
    </w:p>
    <w:tbl>
      <w:tblPr>
        <w:tblStyle w:val="ae"/>
        <w:tblW w:w="8368" w:type="dxa"/>
        <w:tblInd w:w="0" w:type="dxa"/>
        <w:tblLayout w:type="fixed"/>
        <w:tblLook w:val="0000" w:firstRow="0" w:lastRow="0" w:firstColumn="0" w:lastColumn="0" w:noHBand="0" w:noVBand="0"/>
      </w:tblPr>
      <w:tblGrid>
        <w:gridCol w:w="4184"/>
        <w:gridCol w:w="4184"/>
      </w:tblGrid>
      <w:tr w:rsidR="00594E99" w:rsidRPr="004F699F">
        <w:tc>
          <w:tcPr>
            <w:tcW w:w="4184" w:type="dxa"/>
            <w:shd w:val="clear" w:color="auto" w:fill="auto"/>
          </w:tcPr>
          <w:p w:rsidR="00594E99" w:rsidRPr="004F699F" w:rsidRDefault="00C71CC5">
            <w:sdt>
              <w:sdtPr>
                <w:tag w:val="goog_rdk_3"/>
                <w:id w:val="-2088682375"/>
              </w:sdtPr>
              <w:sdtEndPr/>
              <w:sdtContent>
                <w:r w:rsidR="00644353" w:rsidRPr="004F699F">
                  <w:rPr>
                    <w:rFonts w:eastAsia="Gungsuh"/>
                  </w:rPr>
                  <w:t>Lecturer</w:t>
                </w:r>
                <w:r w:rsidR="00644353" w:rsidRPr="004F699F">
                  <w:rPr>
                    <w:rFonts w:eastAsia="Gungsuh"/>
                  </w:rPr>
                  <w:t>：</w:t>
                </w:r>
                <w:r w:rsidR="00644353" w:rsidRPr="004F699F">
                  <w:rPr>
                    <w:rFonts w:eastAsia="Gungsuh"/>
                  </w:rPr>
                  <w:t>Tsuey-Ping Lee</w:t>
                </w:r>
              </w:sdtContent>
            </w:sdt>
          </w:p>
        </w:tc>
        <w:tc>
          <w:tcPr>
            <w:tcW w:w="4184" w:type="dxa"/>
            <w:shd w:val="clear" w:color="auto" w:fill="auto"/>
          </w:tcPr>
          <w:p w:rsidR="00594E99" w:rsidRPr="004F699F" w:rsidRDefault="00644353">
            <w:pPr>
              <w:jc w:val="right"/>
            </w:pPr>
            <w:r w:rsidRPr="004F699F">
              <w:t>E-mail: tsueyping.lee@gmail.com</w:t>
            </w:r>
          </w:p>
        </w:tc>
      </w:tr>
      <w:tr w:rsidR="00594E99" w:rsidRPr="004F699F">
        <w:tc>
          <w:tcPr>
            <w:tcW w:w="4184" w:type="dxa"/>
            <w:shd w:val="clear" w:color="auto" w:fill="auto"/>
          </w:tcPr>
          <w:p w:rsidR="00594E99" w:rsidRPr="004F699F" w:rsidRDefault="00C71CC5">
            <w:sdt>
              <w:sdtPr>
                <w:tag w:val="goog_rdk_4"/>
                <w:id w:val="988367234"/>
              </w:sdtPr>
              <w:sdtEndPr/>
              <w:sdtContent>
                <w:r w:rsidR="00644353" w:rsidRPr="004F699F">
                  <w:rPr>
                    <w:rFonts w:eastAsia="Gungsuh"/>
                  </w:rPr>
                  <w:t>Office</w:t>
                </w:r>
                <w:r w:rsidR="00644353" w:rsidRPr="004F699F">
                  <w:rPr>
                    <w:rFonts w:eastAsia="Gungsuh"/>
                  </w:rPr>
                  <w:t>：社科院二館</w:t>
                </w:r>
                <w:r w:rsidR="00644353" w:rsidRPr="004F699F">
                  <w:rPr>
                    <w:rFonts w:eastAsia="Gungsuh"/>
                  </w:rPr>
                  <w:t xml:space="preserve"> 725</w:t>
                </w:r>
              </w:sdtContent>
            </w:sdt>
          </w:p>
        </w:tc>
        <w:tc>
          <w:tcPr>
            <w:tcW w:w="4184" w:type="dxa"/>
            <w:shd w:val="clear" w:color="auto" w:fill="auto"/>
          </w:tcPr>
          <w:p w:rsidR="00594E99" w:rsidRPr="004F699F" w:rsidRDefault="00644353">
            <w:pPr>
              <w:jc w:val="right"/>
            </w:pPr>
            <w:r w:rsidRPr="004F699F">
              <w:t>Credit Hour: 2</w:t>
            </w:r>
          </w:p>
        </w:tc>
      </w:tr>
      <w:tr w:rsidR="00594E99" w:rsidRPr="004F699F">
        <w:tc>
          <w:tcPr>
            <w:tcW w:w="4184" w:type="dxa"/>
            <w:shd w:val="clear" w:color="auto" w:fill="auto"/>
          </w:tcPr>
          <w:p w:rsidR="00594E99" w:rsidRPr="004F699F" w:rsidRDefault="00644353">
            <w:r w:rsidRPr="004F699F">
              <w:t>Office Hour: 10:30~13:00 (Fri)</w:t>
            </w:r>
          </w:p>
        </w:tc>
        <w:tc>
          <w:tcPr>
            <w:tcW w:w="4184" w:type="dxa"/>
            <w:shd w:val="clear" w:color="auto" w:fill="auto"/>
          </w:tcPr>
          <w:p w:rsidR="00594E99" w:rsidRPr="004F699F" w:rsidRDefault="00594E99">
            <w:pPr>
              <w:jc w:val="center"/>
            </w:pPr>
          </w:p>
        </w:tc>
      </w:tr>
    </w:tbl>
    <w:p w:rsidR="00594E99" w:rsidRDefault="00594E99"/>
    <w:p w:rsidR="00594E99" w:rsidRDefault="00644353">
      <w:pPr>
        <w:rPr>
          <w:b/>
          <w:sz w:val="28"/>
          <w:szCs w:val="28"/>
        </w:rPr>
      </w:pPr>
      <w:r>
        <w:rPr>
          <w:b/>
          <w:sz w:val="28"/>
          <w:szCs w:val="28"/>
        </w:rPr>
        <w:t>Course Objectives</w:t>
      </w:r>
    </w:p>
    <w:p w:rsidR="00594E99" w:rsidRDefault="00644353">
      <w:pPr>
        <w:ind w:firstLine="480"/>
      </w:pPr>
      <w:r>
        <w:t>This course aims to provide students an advanced understanding of the emerging environmental issues in the world. S</w:t>
      </w:r>
      <w:r w:rsidR="004F699F">
        <w:t>even</w:t>
      </w:r>
      <w:r>
        <w:t xml:space="preserve"> most discussed environmental issues were selected from the Year Book of United Nation Environment </w:t>
      </w:r>
      <w:proofErr w:type="spellStart"/>
      <w:r>
        <w:t>Programme</w:t>
      </w:r>
      <w:proofErr w:type="spellEnd"/>
      <w:r>
        <w:t xml:space="preserve"> (UNEP) published over the past decade. These environmental problems do not always respect national boundaries and they often have impact beyond borders. This course focuses on the emerging environment issues that the world has to face, and how they may be addressed by international society through international convention and regional initiatives. </w:t>
      </w:r>
    </w:p>
    <w:p w:rsidR="00594E99" w:rsidRDefault="00594E99">
      <w:pPr>
        <w:ind w:firstLine="480"/>
        <w:rPr>
          <w:b/>
        </w:rPr>
      </w:pPr>
    </w:p>
    <w:p w:rsidR="00594E99" w:rsidRDefault="00644353">
      <w:pPr>
        <w:rPr>
          <w:b/>
          <w:sz w:val="28"/>
          <w:szCs w:val="28"/>
        </w:rPr>
      </w:pPr>
      <w:r>
        <w:rPr>
          <w:b/>
          <w:sz w:val="28"/>
          <w:szCs w:val="28"/>
        </w:rPr>
        <w:t>Course Design</w:t>
      </w:r>
    </w:p>
    <w:p w:rsidR="00594E99" w:rsidRDefault="00644353">
      <w:r>
        <w:rPr>
          <w:b/>
          <w:sz w:val="28"/>
          <w:szCs w:val="28"/>
        </w:rPr>
        <w:tab/>
      </w:r>
      <w:r>
        <w:t xml:space="preserve">The lecture is given in English. Class participants are divided into several teams, depending on the size of the class, and required to speak English in classroom discussion. Six topics are covered in the course, each one of which takes two weeks (four class-hours) to complete. The four class-hours for each topic is divided into two parts, a lecture given by the lecturer and an informal debate run by class participants, each of which takes two hours. The lecture focuses on problem identification and global efforts to address the problem. The informal debate focuses on opposite perspectives on selected issues. No written paper is required for this class. </w:t>
      </w:r>
    </w:p>
    <w:p w:rsidR="00594E99" w:rsidRDefault="00644353">
      <w:r>
        <w:t xml:space="preserve"> </w:t>
      </w:r>
    </w:p>
    <w:p w:rsidR="00594E99" w:rsidRDefault="00644353">
      <w:pPr>
        <w:rPr>
          <w:b/>
          <w:sz w:val="28"/>
          <w:szCs w:val="28"/>
        </w:rPr>
      </w:pPr>
      <w:r>
        <w:rPr>
          <w:b/>
          <w:sz w:val="28"/>
          <w:szCs w:val="28"/>
        </w:rPr>
        <w:t>Grading Policy</w:t>
      </w:r>
    </w:p>
    <w:p w:rsidR="00594E99" w:rsidRDefault="00644353">
      <w:r>
        <w:rPr>
          <w:sz w:val="26"/>
          <w:szCs w:val="26"/>
        </w:rPr>
        <w:tab/>
      </w:r>
      <w:r>
        <w:t>The semester grade will be determined by the following portions:</w:t>
      </w:r>
    </w:p>
    <w:p w:rsidR="00594E99" w:rsidRDefault="00644353">
      <w:pPr>
        <w:numPr>
          <w:ilvl w:val="0"/>
          <w:numId w:val="9"/>
        </w:numPr>
        <w:rPr>
          <w:color w:val="FF0000"/>
        </w:rPr>
      </w:pPr>
      <w:r>
        <w:rPr>
          <w:color w:val="FF0000"/>
        </w:rPr>
        <w:t xml:space="preserve">Class Attendance (40%): </w:t>
      </w:r>
    </w:p>
    <w:p w:rsidR="00594E99" w:rsidRDefault="00644353">
      <w:pPr>
        <w:numPr>
          <w:ilvl w:val="1"/>
          <w:numId w:val="9"/>
        </w:numPr>
        <w:pBdr>
          <w:top w:val="nil"/>
          <w:left w:val="nil"/>
          <w:bottom w:val="nil"/>
          <w:right w:val="nil"/>
          <w:between w:val="nil"/>
        </w:pBdr>
        <w:rPr>
          <w:color w:val="000000"/>
        </w:rPr>
      </w:pPr>
      <w:r>
        <w:rPr>
          <w:rFonts w:eastAsia="Times New Roman"/>
          <w:color w:val="000000"/>
        </w:rPr>
        <w:t xml:space="preserve">Attendance will be taken each week starting from the second week of the semester. </w:t>
      </w:r>
    </w:p>
    <w:p w:rsidR="00594E99" w:rsidRDefault="00644353">
      <w:pPr>
        <w:numPr>
          <w:ilvl w:val="1"/>
          <w:numId w:val="9"/>
        </w:numPr>
      </w:pPr>
      <w:r>
        <w:t xml:space="preserve">Each attendance will be granted 2.5 points. </w:t>
      </w:r>
    </w:p>
    <w:p w:rsidR="00594E99" w:rsidRDefault="00644353">
      <w:pPr>
        <w:numPr>
          <w:ilvl w:val="1"/>
          <w:numId w:val="9"/>
        </w:numPr>
      </w:pPr>
      <w:r>
        <w:t>Informed absence can be granted 1 point. However, starting from the 3</w:t>
      </w:r>
      <w:r>
        <w:rPr>
          <w:vertAlign w:val="superscript"/>
        </w:rPr>
        <w:t>rd</w:t>
      </w:r>
      <w:r>
        <w:t xml:space="preserve"> informed absence, no point will be given. </w:t>
      </w:r>
    </w:p>
    <w:p w:rsidR="00594E99" w:rsidRDefault="00644353">
      <w:pPr>
        <w:numPr>
          <w:ilvl w:val="0"/>
          <w:numId w:val="9"/>
        </w:numPr>
        <w:rPr>
          <w:color w:val="FF0000"/>
        </w:rPr>
      </w:pPr>
      <w:r>
        <w:rPr>
          <w:color w:val="FF0000"/>
        </w:rPr>
        <w:t xml:space="preserve">Oral Presentation (60%): </w:t>
      </w:r>
    </w:p>
    <w:p w:rsidR="00594E99" w:rsidRDefault="00644353">
      <w:pPr>
        <w:numPr>
          <w:ilvl w:val="1"/>
          <w:numId w:val="9"/>
        </w:numPr>
      </w:pPr>
      <w:r>
        <w:t>Two class participants will be assigned for debate practice on the dates marked in red. Presenters just need to present ideas from the perspective of the side you take and raise questions for class discussions.</w:t>
      </w:r>
    </w:p>
    <w:p w:rsidR="00594E99" w:rsidRDefault="00644353">
      <w:pPr>
        <w:numPr>
          <w:ilvl w:val="1"/>
          <w:numId w:val="9"/>
        </w:numPr>
      </w:pPr>
      <w:r>
        <w:rPr>
          <w:color w:val="FF0000"/>
        </w:rPr>
        <w:t>Each class participant is responsible for two debates, each of which worth 30% of the final grade</w:t>
      </w:r>
      <w:r>
        <w:t xml:space="preserve">. Debate performance is assessed by the richness of the content of the presentation and how the dynamics of the class discussion is stirred up. </w:t>
      </w:r>
    </w:p>
    <w:p w:rsidR="00594E99" w:rsidRDefault="00594E99">
      <w:pPr>
        <w:rPr>
          <w:b/>
          <w:sz w:val="28"/>
          <w:szCs w:val="28"/>
        </w:rPr>
      </w:pPr>
    </w:p>
    <w:p w:rsidR="00C6161F" w:rsidRDefault="00C6161F">
      <w:pPr>
        <w:rPr>
          <w:b/>
          <w:sz w:val="28"/>
          <w:szCs w:val="28"/>
        </w:rPr>
      </w:pPr>
    </w:p>
    <w:p w:rsidR="00C6161F" w:rsidRDefault="00C6161F">
      <w:pPr>
        <w:rPr>
          <w:b/>
          <w:sz w:val="28"/>
          <w:szCs w:val="28"/>
        </w:rPr>
      </w:pPr>
    </w:p>
    <w:p w:rsidR="00594E99" w:rsidRDefault="00644353">
      <w:pPr>
        <w:rPr>
          <w:b/>
          <w:sz w:val="28"/>
          <w:szCs w:val="28"/>
        </w:rPr>
      </w:pPr>
      <w:r>
        <w:rPr>
          <w:b/>
          <w:sz w:val="28"/>
          <w:szCs w:val="28"/>
        </w:rPr>
        <w:t>Major Topics and Reading Materials</w:t>
      </w:r>
    </w:p>
    <w:p w:rsidR="00594E99" w:rsidRDefault="00CB76E8">
      <w:pPr>
        <w:numPr>
          <w:ilvl w:val="0"/>
          <w:numId w:val="3"/>
        </w:numPr>
        <w:pBdr>
          <w:top w:val="nil"/>
          <w:left w:val="nil"/>
          <w:bottom w:val="nil"/>
          <w:right w:val="nil"/>
          <w:between w:val="nil"/>
        </w:pBdr>
      </w:pPr>
      <w:r>
        <w:rPr>
          <w:rFonts w:eastAsia="Times New Roman"/>
          <w:color w:val="000000"/>
        </w:rPr>
        <w:t>Introduction</w:t>
      </w:r>
      <w:r w:rsidR="00C6161F">
        <w:rPr>
          <w:rFonts w:asciiTheme="minorEastAsia" w:hAnsiTheme="minorEastAsia" w:hint="eastAsia"/>
          <w:color w:val="000000"/>
        </w:rPr>
        <w:t xml:space="preserve"> (2/2</w:t>
      </w:r>
      <w:r w:rsidR="000301B5">
        <w:rPr>
          <w:rFonts w:asciiTheme="minorEastAsia" w:hAnsiTheme="minorEastAsia" w:hint="eastAsia"/>
          <w:color w:val="000000"/>
        </w:rPr>
        <w:t>6</w:t>
      </w:r>
      <w:r w:rsidR="00C6161F">
        <w:rPr>
          <w:rFonts w:asciiTheme="minorEastAsia" w:hAnsiTheme="minorEastAsia" w:hint="eastAsia"/>
          <w:color w:val="000000"/>
        </w:rPr>
        <w:t>)</w:t>
      </w:r>
    </w:p>
    <w:p w:rsidR="00594E99" w:rsidRDefault="00644353">
      <w:r>
        <w:tab/>
      </w:r>
      <w:r>
        <w:tab/>
      </w:r>
    </w:p>
    <w:p w:rsidR="00594E99" w:rsidRDefault="00644353">
      <w:pPr>
        <w:numPr>
          <w:ilvl w:val="0"/>
          <w:numId w:val="14"/>
        </w:numPr>
        <w:pBdr>
          <w:top w:val="nil"/>
          <w:left w:val="nil"/>
          <w:bottom w:val="nil"/>
          <w:right w:val="nil"/>
          <w:between w:val="nil"/>
        </w:pBdr>
      </w:pPr>
      <w:r>
        <w:rPr>
          <w:rFonts w:eastAsia="Times New Roman"/>
          <w:color w:val="000000"/>
        </w:rPr>
        <w:t xml:space="preserve">Mitigating the Effects of Harmful Substances and Hazardous Waste </w:t>
      </w:r>
      <w:r w:rsidR="00C6161F">
        <w:rPr>
          <w:rFonts w:asciiTheme="minorEastAsia" w:hAnsiTheme="minorEastAsia" w:hint="eastAsia"/>
          <w:color w:val="000000"/>
        </w:rPr>
        <w:t>(</w:t>
      </w:r>
      <w:r w:rsidR="009851E9">
        <w:rPr>
          <w:rFonts w:asciiTheme="minorEastAsia" w:hAnsiTheme="minorEastAsia" w:hint="eastAsia"/>
          <w:color w:val="000000"/>
        </w:rPr>
        <w:t>3</w:t>
      </w:r>
      <w:r w:rsidR="00C6161F">
        <w:rPr>
          <w:rFonts w:asciiTheme="minorEastAsia" w:hAnsiTheme="minorEastAsia" w:hint="eastAsia"/>
          <w:color w:val="000000"/>
        </w:rPr>
        <w:t>/</w:t>
      </w:r>
      <w:r w:rsidR="009851E9">
        <w:rPr>
          <w:rFonts w:asciiTheme="minorEastAsia" w:hAnsiTheme="minorEastAsia" w:hint="eastAsia"/>
          <w:color w:val="000000"/>
        </w:rPr>
        <w:t>5</w:t>
      </w:r>
      <w:r w:rsidR="00C6161F">
        <w:rPr>
          <w:rFonts w:asciiTheme="minorEastAsia" w:hAnsiTheme="minorEastAsia" w:hint="eastAsia"/>
          <w:color w:val="000000"/>
        </w:rPr>
        <w:t xml:space="preserve">, </w:t>
      </w:r>
      <w:r w:rsidR="00C6161F" w:rsidRPr="00C6161F">
        <w:rPr>
          <w:rFonts w:asciiTheme="minorEastAsia" w:hAnsiTheme="minorEastAsia" w:hint="eastAsia"/>
          <w:b/>
          <w:color w:val="FF0000"/>
        </w:rPr>
        <w:t>3/</w:t>
      </w:r>
      <w:r w:rsidR="009851E9">
        <w:rPr>
          <w:rFonts w:asciiTheme="minorEastAsia" w:hAnsiTheme="minorEastAsia" w:hint="eastAsia"/>
          <w:b/>
          <w:color w:val="FF0000"/>
        </w:rPr>
        <w:t>12</w:t>
      </w:r>
      <w:r w:rsidR="00C6161F">
        <w:rPr>
          <w:rFonts w:asciiTheme="minorEastAsia" w:hAnsiTheme="minorEastAsia" w:hint="eastAsia"/>
          <w:color w:val="000000"/>
        </w:rPr>
        <w:t>)</w:t>
      </w:r>
    </w:p>
    <w:p w:rsidR="00594E99" w:rsidRDefault="00644353">
      <w:pPr>
        <w:numPr>
          <w:ilvl w:val="0"/>
          <w:numId w:val="6"/>
        </w:numPr>
        <w:pBdr>
          <w:top w:val="nil"/>
          <w:left w:val="nil"/>
          <w:bottom w:val="nil"/>
          <w:right w:val="nil"/>
          <w:between w:val="nil"/>
        </w:pBdr>
      </w:pPr>
      <w:r>
        <w:rPr>
          <w:rFonts w:eastAsia="Times New Roman"/>
          <w:color w:val="000000"/>
        </w:rPr>
        <w:t>Reading Materials:</w:t>
      </w:r>
    </w:p>
    <w:p w:rsidR="00594E99" w:rsidRDefault="00644353">
      <w:pPr>
        <w:numPr>
          <w:ilvl w:val="1"/>
          <w:numId w:val="6"/>
        </w:numPr>
        <w:pBdr>
          <w:top w:val="nil"/>
          <w:left w:val="nil"/>
          <w:bottom w:val="nil"/>
          <w:right w:val="nil"/>
          <w:between w:val="nil"/>
        </w:pBdr>
      </w:pPr>
      <w:r>
        <w:rPr>
          <w:rFonts w:eastAsia="Times New Roman"/>
          <w:b/>
          <w:i/>
          <w:color w:val="000000"/>
        </w:rPr>
        <w:t xml:space="preserve">Harmful Substances and Hazardous Waste, </w:t>
      </w:r>
      <w:r>
        <w:rPr>
          <w:rFonts w:eastAsia="Times New Roman"/>
          <w:color w:val="000000"/>
        </w:rPr>
        <w:t>UNEP Year Book 2009. https://www.uncclearn.org/wp-content/uploads/library/unep06.pdf</w:t>
      </w:r>
    </w:p>
    <w:p w:rsidR="00594E99" w:rsidRDefault="00644353">
      <w:pPr>
        <w:numPr>
          <w:ilvl w:val="1"/>
          <w:numId w:val="6"/>
        </w:numPr>
      </w:pPr>
      <w:r>
        <w:rPr>
          <w:b/>
          <w:i/>
        </w:rPr>
        <w:t xml:space="preserve">Harmful Substances and Hazardous Waste, </w:t>
      </w:r>
      <w:r>
        <w:t>UNEP Year Book 2010. https://wedocs.unep.org/handle/20.500.11822/7822</w:t>
      </w:r>
    </w:p>
    <w:p w:rsidR="00594E99" w:rsidRDefault="00644353">
      <w:pPr>
        <w:numPr>
          <w:ilvl w:val="0"/>
          <w:numId w:val="6"/>
        </w:numPr>
        <w:pBdr>
          <w:top w:val="nil"/>
          <w:left w:val="nil"/>
          <w:bottom w:val="nil"/>
          <w:right w:val="nil"/>
          <w:between w:val="nil"/>
        </w:pBdr>
        <w:rPr>
          <w:b/>
          <w:color w:val="000000"/>
        </w:rPr>
      </w:pPr>
      <w:r>
        <w:rPr>
          <w:rFonts w:eastAsia="Times New Roman"/>
          <w:b/>
          <w:color w:val="000000"/>
          <w:shd w:val="clear" w:color="auto" w:fill="D9D9D9"/>
        </w:rPr>
        <w:t xml:space="preserve">Debate Topic: Monsanto Company (sold to Bayer in 2018) helps create a sustainable environment. </w:t>
      </w:r>
    </w:p>
    <w:p w:rsidR="00594E99" w:rsidRDefault="00594E99">
      <w:pPr>
        <w:pBdr>
          <w:top w:val="nil"/>
          <w:left w:val="nil"/>
          <w:bottom w:val="nil"/>
          <w:right w:val="nil"/>
          <w:between w:val="nil"/>
        </w:pBdr>
        <w:ind w:left="1325"/>
        <w:rPr>
          <w:color w:val="000000"/>
        </w:rPr>
      </w:pPr>
    </w:p>
    <w:p w:rsidR="00594E99" w:rsidRDefault="00644353">
      <w:pPr>
        <w:numPr>
          <w:ilvl w:val="0"/>
          <w:numId w:val="14"/>
        </w:numPr>
        <w:pBdr>
          <w:top w:val="nil"/>
          <w:left w:val="nil"/>
          <w:bottom w:val="nil"/>
          <w:right w:val="nil"/>
          <w:between w:val="nil"/>
        </w:pBdr>
        <w:rPr>
          <w:color w:val="000000"/>
        </w:rPr>
      </w:pPr>
      <w:r>
        <w:rPr>
          <w:rFonts w:eastAsia="Times New Roman"/>
          <w:color w:val="000000"/>
        </w:rPr>
        <w:t>Climate Change—Response to the Rapid Change in the Arctic</w:t>
      </w:r>
      <w:r w:rsidR="00C6161F">
        <w:rPr>
          <w:rFonts w:asciiTheme="minorEastAsia" w:hAnsiTheme="minorEastAsia" w:hint="eastAsia"/>
          <w:color w:val="000000"/>
        </w:rPr>
        <w:t xml:space="preserve"> (3/1</w:t>
      </w:r>
      <w:r w:rsidR="009851E9">
        <w:rPr>
          <w:rFonts w:asciiTheme="minorEastAsia" w:hAnsiTheme="minorEastAsia" w:hint="eastAsia"/>
          <w:color w:val="000000"/>
        </w:rPr>
        <w:t>9</w:t>
      </w:r>
      <w:r w:rsidR="00C6161F">
        <w:rPr>
          <w:rFonts w:asciiTheme="minorEastAsia" w:hAnsiTheme="minorEastAsia" w:hint="eastAsia"/>
          <w:color w:val="000000"/>
        </w:rPr>
        <w:t xml:space="preserve">, </w:t>
      </w:r>
      <w:r w:rsidR="00C6161F" w:rsidRPr="00C6161F">
        <w:rPr>
          <w:rFonts w:asciiTheme="minorEastAsia" w:hAnsiTheme="minorEastAsia" w:hint="eastAsia"/>
          <w:b/>
          <w:color w:val="FF0000"/>
        </w:rPr>
        <w:t>3/2</w:t>
      </w:r>
      <w:r w:rsidR="009851E9">
        <w:rPr>
          <w:rFonts w:asciiTheme="minorEastAsia" w:hAnsiTheme="minorEastAsia" w:hint="eastAsia"/>
          <w:b/>
          <w:color w:val="FF0000"/>
        </w:rPr>
        <w:t>6</w:t>
      </w:r>
      <w:r w:rsidR="00C6161F">
        <w:rPr>
          <w:rFonts w:asciiTheme="minorEastAsia" w:hAnsiTheme="minorEastAsia" w:hint="eastAsia"/>
          <w:color w:val="000000"/>
        </w:rPr>
        <w:t>)</w:t>
      </w:r>
    </w:p>
    <w:p w:rsidR="00594E99" w:rsidRDefault="00644353">
      <w:pPr>
        <w:numPr>
          <w:ilvl w:val="0"/>
          <w:numId w:val="1"/>
        </w:numPr>
        <w:pBdr>
          <w:top w:val="nil"/>
          <w:left w:val="nil"/>
          <w:bottom w:val="nil"/>
          <w:right w:val="nil"/>
          <w:between w:val="nil"/>
        </w:pBdr>
      </w:pPr>
      <w:r>
        <w:rPr>
          <w:rFonts w:eastAsia="Times New Roman"/>
          <w:color w:val="000000"/>
        </w:rPr>
        <w:t>Reading Materials:</w:t>
      </w:r>
    </w:p>
    <w:p w:rsidR="00594E99" w:rsidRDefault="00644353">
      <w:pPr>
        <w:numPr>
          <w:ilvl w:val="0"/>
          <w:numId w:val="2"/>
        </w:numPr>
      </w:pPr>
      <w:r>
        <w:rPr>
          <w:b/>
          <w:i/>
        </w:rPr>
        <w:t>Rapid Change in the Arctic</w:t>
      </w:r>
      <w:r>
        <w:t>, UNEP Year Book 2013. https://wedocs.unep.org/handle/20.500.11822/8222</w:t>
      </w:r>
    </w:p>
    <w:p w:rsidR="00594E99" w:rsidRDefault="00644353">
      <w:pPr>
        <w:numPr>
          <w:ilvl w:val="0"/>
          <w:numId w:val="2"/>
        </w:numPr>
      </w:pPr>
      <w:r>
        <w:rPr>
          <w:b/>
          <w:i/>
        </w:rPr>
        <w:t>Rapid Change in the Arctic</w:t>
      </w:r>
      <w:r>
        <w:t>, UNEP Year Book 2014. https://wedocs.unep.org/handle/20.500.11822/9240</w:t>
      </w:r>
    </w:p>
    <w:p w:rsidR="00594E99" w:rsidRDefault="00644353">
      <w:pPr>
        <w:numPr>
          <w:ilvl w:val="0"/>
          <w:numId w:val="1"/>
        </w:numPr>
        <w:pBdr>
          <w:top w:val="nil"/>
          <w:left w:val="nil"/>
          <w:bottom w:val="nil"/>
          <w:right w:val="nil"/>
          <w:between w:val="nil"/>
        </w:pBdr>
        <w:rPr>
          <w:b/>
          <w:color w:val="000000"/>
          <w:shd w:val="clear" w:color="auto" w:fill="D9D9D9"/>
        </w:rPr>
      </w:pPr>
      <w:r>
        <w:rPr>
          <w:rFonts w:eastAsia="Times New Roman"/>
          <w:b/>
          <w:color w:val="000000"/>
          <w:shd w:val="clear" w:color="auto" w:fill="D9D9D9"/>
        </w:rPr>
        <w:t xml:space="preserve">Debate Topic: Oil-Drilling in Artic Ocean should be </w:t>
      </w:r>
      <w:r>
        <w:rPr>
          <w:b/>
          <w:shd w:val="clear" w:color="auto" w:fill="D9D9D9"/>
        </w:rPr>
        <w:t>encouraged and allowed</w:t>
      </w:r>
      <w:r>
        <w:rPr>
          <w:rFonts w:eastAsia="Times New Roman"/>
          <w:b/>
          <w:color w:val="000000"/>
          <w:shd w:val="clear" w:color="auto" w:fill="D9D9D9"/>
        </w:rPr>
        <w:t xml:space="preserve">. </w:t>
      </w:r>
    </w:p>
    <w:p w:rsidR="00594E99" w:rsidRDefault="00594E99">
      <w:pPr>
        <w:pBdr>
          <w:top w:val="nil"/>
          <w:left w:val="nil"/>
          <w:bottom w:val="nil"/>
          <w:right w:val="nil"/>
          <w:between w:val="nil"/>
        </w:pBdr>
        <w:ind w:left="960"/>
        <w:rPr>
          <w:b/>
          <w:color w:val="000000"/>
        </w:rPr>
      </w:pPr>
    </w:p>
    <w:p w:rsidR="00C6161F" w:rsidRDefault="00C6161F" w:rsidP="00C6161F">
      <w:pPr>
        <w:numPr>
          <w:ilvl w:val="0"/>
          <w:numId w:val="14"/>
        </w:numPr>
        <w:pBdr>
          <w:top w:val="nil"/>
          <w:left w:val="nil"/>
          <w:bottom w:val="nil"/>
          <w:right w:val="nil"/>
          <w:between w:val="nil"/>
        </w:pBdr>
        <w:rPr>
          <w:color w:val="000000"/>
        </w:rPr>
      </w:pPr>
      <w:r>
        <w:rPr>
          <w:rFonts w:eastAsia="Times New Roman"/>
          <w:color w:val="000000"/>
        </w:rPr>
        <w:t xml:space="preserve">The geopolitics in Antarctica </w:t>
      </w:r>
      <w:r>
        <w:rPr>
          <w:rFonts w:asciiTheme="minorEastAsia" w:hAnsiTheme="minorEastAsia" w:hint="eastAsia"/>
          <w:color w:val="000000"/>
        </w:rPr>
        <w:t>(</w:t>
      </w:r>
      <w:r w:rsidR="009851E9">
        <w:rPr>
          <w:rFonts w:asciiTheme="minorEastAsia" w:hAnsiTheme="minorEastAsia" w:hint="eastAsia"/>
          <w:color w:val="000000"/>
        </w:rPr>
        <w:t>4</w:t>
      </w:r>
      <w:r>
        <w:rPr>
          <w:rFonts w:asciiTheme="minorEastAsia" w:hAnsiTheme="minorEastAsia" w:hint="eastAsia"/>
          <w:color w:val="000000"/>
        </w:rPr>
        <w:t>/2, 4/</w:t>
      </w:r>
      <w:r w:rsidR="009851E9">
        <w:rPr>
          <w:rFonts w:asciiTheme="minorEastAsia" w:hAnsiTheme="minorEastAsia" w:hint="eastAsia"/>
          <w:color w:val="000000"/>
        </w:rPr>
        <w:t>9</w:t>
      </w:r>
      <w:r>
        <w:rPr>
          <w:rFonts w:asciiTheme="minorEastAsia" w:hAnsiTheme="minorEastAsia" w:hint="eastAsia"/>
          <w:color w:val="000000"/>
        </w:rPr>
        <w:t xml:space="preserve">, </w:t>
      </w:r>
      <w:r w:rsidRPr="00C6161F">
        <w:rPr>
          <w:rFonts w:asciiTheme="minorEastAsia" w:hAnsiTheme="minorEastAsia" w:hint="eastAsia"/>
          <w:b/>
          <w:color w:val="FF0000"/>
        </w:rPr>
        <w:t>4/1</w:t>
      </w:r>
      <w:r w:rsidR="009851E9">
        <w:rPr>
          <w:rFonts w:asciiTheme="minorEastAsia" w:hAnsiTheme="minorEastAsia" w:hint="eastAsia"/>
          <w:b/>
          <w:color w:val="FF0000"/>
        </w:rPr>
        <w:t>6</w:t>
      </w:r>
      <w:r>
        <w:rPr>
          <w:rFonts w:asciiTheme="minorEastAsia" w:hAnsiTheme="minorEastAsia" w:hint="eastAsia"/>
          <w:color w:val="000000"/>
        </w:rPr>
        <w:t>)</w:t>
      </w:r>
    </w:p>
    <w:p w:rsidR="00C6161F" w:rsidRPr="00C6161F" w:rsidRDefault="00C6161F" w:rsidP="00C6161F">
      <w:pPr>
        <w:numPr>
          <w:ilvl w:val="1"/>
          <w:numId w:val="3"/>
        </w:numPr>
        <w:pBdr>
          <w:top w:val="nil"/>
          <w:left w:val="nil"/>
          <w:bottom w:val="nil"/>
          <w:right w:val="nil"/>
          <w:between w:val="nil"/>
        </w:pBdr>
      </w:pPr>
      <w:r>
        <w:rPr>
          <w:rFonts w:eastAsia="Times New Roman"/>
          <w:b/>
          <w:color w:val="000000"/>
        </w:rPr>
        <w:t>Documentary: The Last Ocean (The issue about conflicts of interest in Ross Sea)</w:t>
      </w:r>
    </w:p>
    <w:p w:rsidR="00C6161F" w:rsidRDefault="00C6161F" w:rsidP="00C6161F">
      <w:pPr>
        <w:numPr>
          <w:ilvl w:val="1"/>
          <w:numId w:val="3"/>
        </w:numPr>
        <w:pBdr>
          <w:top w:val="nil"/>
          <w:left w:val="nil"/>
          <w:bottom w:val="nil"/>
          <w:right w:val="nil"/>
          <w:between w:val="nil"/>
        </w:pBdr>
      </w:pPr>
      <w:r>
        <w:rPr>
          <w:rFonts w:eastAsia="Times New Roman"/>
          <w:color w:val="000000"/>
        </w:rPr>
        <w:t>Reading Materials:</w:t>
      </w:r>
    </w:p>
    <w:p w:rsidR="00C6161F" w:rsidRDefault="00C6161F" w:rsidP="00C6161F">
      <w:pPr>
        <w:numPr>
          <w:ilvl w:val="0"/>
          <w:numId w:val="4"/>
        </w:numPr>
      </w:pPr>
      <w:r>
        <w:rPr>
          <w:b/>
          <w:i/>
        </w:rPr>
        <w:t xml:space="preserve">Introducing Antarctica </w:t>
      </w:r>
    </w:p>
    <w:p w:rsidR="00C6161F" w:rsidRDefault="00C71CC5" w:rsidP="00C6161F">
      <w:pPr>
        <w:ind w:left="1320"/>
        <w:rPr>
          <w:b/>
          <w:i/>
        </w:rPr>
      </w:pPr>
      <w:hyperlink r:id="rId8">
        <w:r w:rsidR="00C6161F">
          <w:rPr>
            <w:color w:val="0000FF"/>
            <w:u w:val="single"/>
          </w:rPr>
          <w:t>https://discoveringantarctica.org.uk/introducing-antarctica/</w:t>
        </w:r>
      </w:hyperlink>
    </w:p>
    <w:p w:rsidR="00C6161F" w:rsidRDefault="00C6161F" w:rsidP="00C6161F">
      <w:pPr>
        <w:numPr>
          <w:ilvl w:val="0"/>
          <w:numId w:val="4"/>
        </w:numPr>
        <w:rPr>
          <w:b/>
          <w:i/>
        </w:rPr>
      </w:pPr>
      <w:r>
        <w:rPr>
          <w:b/>
          <w:i/>
        </w:rPr>
        <w:t xml:space="preserve">The geopolitics in Antarctica </w:t>
      </w:r>
    </w:p>
    <w:p w:rsidR="00C6161F" w:rsidRPr="00C6161F" w:rsidRDefault="00C71CC5" w:rsidP="00C6161F">
      <w:pPr>
        <w:ind w:left="1320"/>
      </w:pPr>
      <w:hyperlink r:id="rId9">
        <w:r w:rsidR="00C6161F">
          <w:rPr>
            <w:color w:val="0000FF"/>
            <w:u w:val="single"/>
          </w:rPr>
          <w:t>https://pursuit.unimelb.edu.au/articles/the-geopolitics-of-antarctica</w:t>
        </w:r>
      </w:hyperlink>
    </w:p>
    <w:p w:rsidR="00C6161F" w:rsidRDefault="00C6161F" w:rsidP="00C6161F">
      <w:pPr>
        <w:numPr>
          <w:ilvl w:val="1"/>
          <w:numId w:val="3"/>
        </w:numPr>
        <w:pBdr>
          <w:top w:val="nil"/>
          <w:left w:val="nil"/>
          <w:bottom w:val="nil"/>
          <w:right w:val="nil"/>
          <w:between w:val="nil"/>
        </w:pBdr>
        <w:rPr>
          <w:b/>
          <w:color w:val="000000"/>
        </w:rPr>
      </w:pPr>
      <w:r>
        <w:rPr>
          <w:rFonts w:eastAsia="Times New Roman"/>
          <w:b/>
          <w:color w:val="000000"/>
          <w:shd w:val="clear" w:color="auto" w:fill="D9D9D9"/>
        </w:rPr>
        <w:t>Debate Topic:  Antarctica should be developed.</w:t>
      </w:r>
    </w:p>
    <w:p w:rsidR="00C6161F" w:rsidRPr="00C6161F" w:rsidRDefault="00C6161F" w:rsidP="00C6161F">
      <w:pPr>
        <w:pBdr>
          <w:top w:val="nil"/>
          <w:left w:val="nil"/>
          <w:bottom w:val="nil"/>
          <w:right w:val="nil"/>
          <w:between w:val="nil"/>
        </w:pBdr>
        <w:rPr>
          <w:color w:val="000000"/>
        </w:rPr>
      </w:pPr>
    </w:p>
    <w:p w:rsidR="00594E99" w:rsidRDefault="00644353">
      <w:pPr>
        <w:numPr>
          <w:ilvl w:val="0"/>
          <w:numId w:val="14"/>
        </w:numPr>
        <w:pBdr>
          <w:top w:val="nil"/>
          <w:left w:val="nil"/>
          <w:bottom w:val="nil"/>
          <w:right w:val="nil"/>
          <w:between w:val="nil"/>
        </w:pBdr>
        <w:rPr>
          <w:color w:val="000000"/>
        </w:rPr>
      </w:pPr>
      <w:r>
        <w:rPr>
          <w:rFonts w:eastAsia="Times New Roman"/>
          <w:color w:val="000000"/>
        </w:rPr>
        <w:t>Stopping Illegal Wildlife Trade</w:t>
      </w:r>
      <w:r w:rsidR="00C6161F">
        <w:rPr>
          <w:rFonts w:asciiTheme="minorEastAsia" w:hAnsiTheme="minorEastAsia" w:hint="eastAsia"/>
          <w:color w:val="000000"/>
        </w:rPr>
        <w:t xml:space="preserve"> (4/2</w:t>
      </w:r>
      <w:r w:rsidR="009851E9">
        <w:rPr>
          <w:rFonts w:asciiTheme="minorEastAsia" w:hAnsiTheme="minorEastAsia" w:hint="eastAsia"/>
          <w:color w:val="000000"/>
        </w:rPr>
        <w:t>3</w:t>
      </w:r>
      <w:r w:rsidR="00C6161F">
        <w:rPr>
          <w:rFonts w:asciiTheme="minorEastAsia" w:hAnsiTheme="minorEastAsia" w:hint="eastAsia"/>
          <w:color w:val="000000"/>
        </w:rPr>
        <w:t xml:space="preserve">, </w:t>
      </w:r>
      <w:r w:rsidR="009851E9">
        <w:rPr>
          <w:rFonts w:asciiTheme="minorEastAsia" w:hAnsiTheme="minorEastAsia" w:hint="eastAsia"/>
          <w:b/>
          <w:color w:val="FF0000"/>
        </w:rPr>
        <w:t>4</w:t>
      </w:r>
      <w:r w:rsidR="00C6161F" w:rsidRPr="00C6161F">
        <w:rPr>
          <w:rFonts w:asciiTheme="minorEastAsia" w:hAnsiTheme="minorEastAsia" w:hint="eastAsia"/>
          <w:b/>
          <w:color w:val="FF0000"/>
        </w:rPr>
        <w:t>/</w:t>
      </w:r>
      <w:r w:rsidR="009851E9">
        <w:rPr>
          <w:rFonts w:asciiTheme="minorEastAsia" w:hAnsiTheme="minorEastAsia" w:hint="eastAsia"/>
          <w:b/>
          <w:color w:val="FF0000"/>
        </w:rPr>
        <w:t>30</w:t>
      </w:r>
      <w:r w:rsidR="00C6161F">
        <w:rPr>
          <w:rFonts w:asciiTheme="minorEastAsia" w:hAnsiTheme="minorEastAsia" w:hint="eastAsia"/>
          <w:color w:val="000000"/>
        </w:rPr>
        <w:t>)</w:t>
      </w:r>
    </w:p>
    <w:p w:rsidR="00594E99" w:rsidRDefault="00644353">
      <w:pPr>
        <w:numPr>
          <w:ilvl w:val="0"/>
          <w:numId w:val="5"/>
        </w:numPr>
        <w:pBdr>
          <w:top w:val="nil"/>
          <w:left w:val="nil"/>
          <w:bottom w:val="nil"/>
          <w:right w:val="nil"/>
          <w:between w:val="nil"/>
        </w:pBdr>
      </w:pPr>
      <w:r>
        <w:rPr>
          <w:rFonts w:eastAsia="Times New Roman"/>
          <w:color w:val="000000"/>
        </w:rPr>
        <w:t>Reading Materials:</w:t>
      </w:r>
    </w:p>
    <w:p w:rsidR="00594E99" w:rsidRDefault="00644353">
      <w:pPr>
        <w:numPr>
          <w:ilvl w:val="0"/>
          <w:numId w:val="7"/>
        </w:numPr>
      </w:pPr>
      <w:r>
        <w:rPr>
          <w:b/>
          <w:i/>
        </w:rPr>
        <w:t>Illegal Trade in Wildlife</w:t>
      </w:r>
      <w:r>
        <w:t xml:space="preserve">, UNEP Year Book 2014. https://wedocs.unep.org/handle/20.500.11822/9240  </w:t>
      </w:r>
    </w:p>
    <w:p w:rsidR="00594E99" w:rsidRDefault="00644353">
      <w:pPr>
        <w:numPr>
          <w:ilvl w:val="0"/>
          <w:numId w:val="7"/>
        </w:numPr>
      </w:pPr>
      <w:r>
        <w:rPr>
          <w:b/>
          <w:i/>
        </w:rPr>
        <w:t>Wild Life and Forest Crime</w:t>
      </w:r>
      <w:r>
        <w:t>, United Nation Office on Drugs and Crime. http://www.unodc.org/unodc/en/wildlife-and-forest-crime/index.html</w:t>
      </w:r>
    </w:p>
    <w:p w:rsidR="00594E99" w:rsidRDefault="00644353">
      <w:pPr>
        <w:numPr>
          <w:ilvl w:val="0"/>
          <w:numId w:val="5"/>
        </w:numPr>
        <w:pBdr>
          <w:top w:val="nil"/>
          <w:left w:val="nil"/>
          <w:bottom w:val="nil"/>
          <w:right w:val="nil"/>
          <w:between w:val="nil"/>
        </w:pBdr>
        <w:rPr>
          <w:b/>
          <w:color w:val="000000"/>
        </w:rPr>
      </w:pPr>
      <w:r>
        <w:rPr>
          <w:rFonts w:eastAsia="Times New Roman"/>
          <w:b/>
          <w:color w:val="000000"/>
          <w:shd w:val="clear" w:color="auto" w:fill="D9D9D9"/>
        </w:rPr>
        <w:t xml:space="preserve">Debate Topic: Wildlife trade should be </w:t>
      </w:r>
      <w:r>
        <w:rPr>
          <w:b/>
          <w:shd w:val="clear" w:color="auto" w:fill="D9D9D9"/>
        </w:rPr>
        <w:t>allowed</w:t>
      </w:r>
      <w:r>
        <w:rPr>
          <w:rFonts w:eastAsia="Times New Roman"/>
          <w:b/>
          <w:color w:val="000000"/>
          <w:shd w:val="clear" w:color="auto" w:fill="D9D9D9"/>
        </w:rPr>
        <w:t>.</w:t>
      </w:r>
    </w:p>
    <w:p w:rsidR="00594E99" w:rsidRDefault="00594E99">
      <w:pPr>
        <w:rPr>
          <w:color w:val="C00000"/>
        </w:rPr>
      </w:pPr>
    </w:p>
    <w:p w:rsidR="00594E99" w:rsidRDefault="00644353">
      <w:pPr>
        <w:numPr>
          <w:ilvl w:val="0"/>
          <w:numId w:val="14"/>
        </w:numPr>
        <w:pBdr>
          <w:top w:val="nil"/>
          <w:left w:val="nil"/>
          <w:bottom w:val="nil"/>
          <w:right w:val="nil"/>
          <w:between w:val="nil"/>
        </w:pBdr>
        <w:rPr>
          <w:color w:val="000000"/>
        </w:rPr>
      </w:pPr>
      <w:r>
        <w:rPr>
          <w:rFonts w:eastAsia="Times New Roman"/>
          <w:color w:val="000000"/>
        </w:rPr>
        <w:t xml:space="preserve">Closing and </w:t>
      </w:r>
      <w:proofErr w:type="spellStart"/>
      <w:r>
        <w:rPr>
          <w:rFonts w:eastAsia="Times New Roman"/>
          <w:color w:val="000000"/>
        </w:rPr>
        <w:t>Decommisioning</w:t>
      </w:r>
      <w:proofErr w:type="spellEnd"/>
      <w:r>
        <w:rPr>
          <w:rFonts w:eastAsia="Times New Roman"/>
          <w:color w:val="000000"/>
        </w:rPr>
        <w:t xml:space="preserve"> Nuclear Power Reactors </w:t>
      </w:r>
      <w:r w:rsidR="00C6161F">
        <w:rPr>
          <w:rFonts w:asciiTheme="minorEastAsia" w:hAnsiTheme="minorEastAsia" w:hint="eastAsia"/>
          <w:color w:val="000000"/>
        </w:rPr>
        <w:t>(5/</w:t>
      </w:r>
      <w:r w:rsidR="009851E9">
        <w:rPr>
          <w:rFonts w:asciiTheme="minorEastAsia" w:hAnsiTheme="minorEastAsia" w:hint="eastAsia"/>
          <w:color w:val="000000"/>
        </w:rPr>
        <w:t>7</w:t>
      </w:r>
      <w:r w:rsidR="00C6161F">
        <w:rPr>
          <w:rFonts w:asciiTheme="minorEastAsia" w:hAnsiTheme="minorEastAsia" w:hint="eastAsia"/>
          <w:color w:val="000000"/>
        </w:rPr>
        <w:t xml:space="preserve">, </w:t>
      </w:r>
      <w:r w:rsidR="00C6161F" w:rsidRPr="00C6161F">
        <w:rPr>
          <w:rFonts w:asciiTheme="minorEastAsia" w:hAnsiTheme="minorEastAsia" w:hint="eastAsia"/>
          <w:b/>
          <w:color w:val="FF0000"/>
        </w:rPr>
        <w:t>5/1</w:t>
      </w:r>
      <w:r w:rsidR="009851E9">
        <w:rPr>
          <w:rFonts w:asciiTheme="minorEastAsia" w:hAnsiTheme="minorEastAsia" w:hint="eastAsia"/>
          <w:b/>
          <w:color w:val="FF0000"/>
        </w:rPr>
        <w:t>4</w:t>
      </w:r>
      <w:r w:rsidR="00C6161F">
        <w:rPr>
          <w:rFonts w:asciiTheme="minorEastAsia" w:hAnsiTheme="minorEastAsia" w:hint="eastAsia"/>
          <w:color w:val="000000"/>
        </w:rPr>
        <w:t>)</w:t>
      </w:r>
    </w:p>
    <w:p w:rsidR="00594E99" w:rsidRDefault="00644353">
      <w:pPr>
        <w:numPr>
          <w:ilvl w:val="0"/>
          <w:numId w:val="10"/>
        </w:numPr>
        <w:pBdr>
          <w:top w:val="nil"/>
          <w:left w:val="nil"/>
          <w:bottom w:val="nil"/>
          <w:right w:val="nil"/>
          <w:between w:val="nil"/>
        </w:pBdr>
      </w:pPr>
      <w:r>
        <w:rPr>
          <w:rFonts w:eastAsia="Times New Roman"/>
          <w:color w:val="000000"/>
        </w:rPr>
        <w:t>Reading Materials:</w:t>
      </w:r>
    </w:p>
    <w:p w:rsidR="00594E99" w:rsidRDefault="00644353">
      <w:pPr>
        <w:numPr>
          <w:ilvl w:val="0"/>
          <w:numId w:val="11"/>
        </w:numPr>
      </w:pPr>
      <w:r>
        <w:rPr>
          <w:b/>
          <w:i/>
        </w:rPr>
        <w:t xml:space="preserve">Closing and </w:t>
      </w:r>
      <w:proofErr w:type="spellStart"/>
      <w:r>
        <w:rPr>
          <w:b/>
          <w:i/>
        </w:rPr>
        <w:t>Decommisioning</w:t>
      </w:r>
      <w:proofErr w:type="spellEnd"/>
      <w:r>
        <w:rPr>
          <w:b/>
          <w:i/>
        </w:rPr>
        <w:t xml:space="preserve"> Nuclear Power Reactors, </w:t>
      </w:r>
      <w:r>
        <w:t xml:space="preserve">UNEP Year Book 2012. </w:t>
      </w:r>
    </w:p>
    <w:p w:rsidR="00594E99" w:rsidRDefault="00644353">
      <w:pPr>
        <w:ind w:left="1320"/>
      </w:pPr>
      <w:r>
        <w:t xml:space="preserve">https://wedocs.unep.org/handle/20.500.11822/8019 </w:t>
      </w:r>
    </w:p>
    <w:p w:rsidR="00594E99" w:rsidRDefault="00644353">
      <w:pPr>
        <w:numPr>
          <w:ilvl w:val="0"/>
          <w:numId w:val="10"/>
        </w:numPr>
        <w:pBdr>
          <w:top w:val="nil"/>
          <w:left w:val="nil"/>
          <w:bottom w:val="nil"/>
          <w:right w:val="nil"/>
          <w:between w:val="nil"/>
        </w:pBdr>
        <w:rPr>
          <w:color w:val="000000"/>
        </w:rPr>
      </w:pPr>
      <w:r>
        <w:rPr>
          <w:rFonts w:eastAsia="Times New Roman"/>
          <w:b/>
          <w:color w:val="000000"/>
          <w:shd w:val="clear" w:color="auto" w:fill="D9D9D9"/>
        </w:rPr>
        <w:t xml:space="preserve">Debate Topic: Nuclear energy is clean. </w:t>
      </w:r>
    </w:p>
    <w:p w:rsidR="00594E99" w:rsidRDefault="00594E99" w:rsidP="00C6161F">
      <w:pPr>
        <w:pBdr>
          <w:top w:val="nil"/>
          <w:left w:val="nil"/>
          <w:bottom w:val="nil"/>
          <w:right w:val="nil"/>
          <w:between w:val="nil"/>
        </w:pBdr>
        <w:rPr>
          <w:b/>
          <w:color w:val="000000"/>
        </w:rPr>
      </w:pPr>
    </w:p>
    <w:p w:rsidR="00594E99" w:rsidRDefault="00644353">
      <w:pPr>
        <w:numPr>
          <w:ilvl w:val="0"/>
          <w:numId w:val="14"/>
        </w:numPr>
        <w:pBdr>
          <w:top w:val="nil"/>
          <w:left w:val="nil"/>
          <w:bottom w:val="nil"/>
          <w:right w:val="nil"/>
          <w:between w:val="nil"/>
        </w:pBdr>
        <w:rPr>
          <w:color w:val="000000"/>
        </w:rPr>
      </w:pPr>
      <w:r>
        <w:rPr>
          <w:rFonts w:eastAsia="Times New Roman"/>
          <w:color w:val="000000"/>
        </w:rPr>
        <w:t xml:space="preserve">The Cross-Border Environmental Issue between China and Myanmar </w:t>
      </w:r>
      <w:r w:rsidR="00C6161F">
        <w:rPr>
          <w:rFonts w:asciiTheme="minorEastAsia" w:hAnsiTheme="minorEastAsia" w:hint="eastAsia"/>
          <w:color w:val="000000"/>
        </w:rPr>
        <w:t>(5/2</w:t>
      </w:r>
      <w:r w:rsidR="009851E9">
        <w:rPr>
          <w:rFonts w:asciiTheme="minorEastAsia" w:hAnsiTheme="minorEastAsia" w:hint="eastAsia"/>
          <w:color w:val="000000"/>
        </w:rPr>
        <w:t>1</w:t>
      </w:r>
      <w:r w:rsidR="00C6161F">
        <w:rPr>
          <w:rFonts w:asciiTheme="minorEastAsia" w:hAnsiTheme="minorEastAsia" w:hint="eastAsia"/>
          <w:color w:val="000000"/>
        </w:rPr>
        <w:t xml:space="preserve">, </w:t>
      </w:r>
      <w:r w:rsidR="00C6161F" w:rsidRPr="00C6161F">
        <w:rPr>
          <w:rFonts w:asciiTheme="minorEastAsia" w:hAnsiTheme="minorEastAsia" w:hint="eastAsia"/>
          <w:b/>
          <w:color w:val="FF0000"/>
        </w:rPr>
        <w:t>5/</w:t>
      </w:r>
      <w:r w:rsidR="009851E9">
        <w:rPr>
          <w:rFonts w:asciiTheme="minorEastAsia" w:hAnsiTheme="minorEastAsia" w:hint="eastAsia"/>
          <w:b/>
          <w:color w:val="FF0000"/>
        </w:rPr>
        <w:t>28</w:t>
      </w:r>
      <w:r w:rsidR="00C6161F">
        <w:rPr>
          <w:rFonts w:asciiTheme="minorEastAsia" w:hAnsiTheme="minorEastAsia" w:hint="eastAsia"/>
          <w:color w:val="000000"/>
        </w:rPr>
        <w:t>)</w:t>
      </w:r>
    </w:p>
    <w:p w:rsidR="00594E99" w:rsidRDefault="00644353">
      <w:pPr>
        <w:numPr>
          <w:ilvl w:val="0"/>
          <w:numId w:val="12"/>
        </w:numPr>
        <w:pBdr>
          <w:top w:val="nil"/>
          <w:left w:val="nil"/>
          <w:bottom w:val="nil"/>
          <w:right w:val="nil"/>
          <w:between w:val="nil"/>
        </w:pBdr>
      </w:pPr>
      <w:r>
        <w:rPr>
          <w:rFonts w:eastAsia="Times New Roman"/>
          <w:color w:val="000000"/>
        </w:rPr>
        <w:t>Reading Materials:</w:t>
      </w:r>
    </w:p>
    <w:p w:rsidR="00594E99" w:rsidRDefault="00644353">
      <w:pPr>
        <w:numPr>
          <w:ilvl w:val="0"/>
          <w:numId w:val="13"/>
        </w:numPr>
      </w:pPr>
      <w:r>
        <w:rPr>
          <w:i/>
        </w:rPr>
        <w:t>China’s Relations with Burma</w:t>
      </w:r>
    </w:p>
    <w:p w:rsidR="00594E99" w:rsidRDefault="00644353">
      <w:pPr>
        <w:ind w:left="1320"/>
      </w:pPr>
      <w:r>
        <w:t>https://www.usip.org/publications/2015/05/chinas-relations-burma</w:t>
      </w:r>
    </w:p>
    <w:p w:rsidR="00594E99" w:rsidRDefault="00644353">
      <w:pPr>
        <w:numPr>
          <w:ilvl w:val="0"/>
          <w:numId w:val="13"/>
        </w:numPr>
      </w:pPr>
      <w:r>
        <w:rPr>
          <w:i/>
        </w:rPr>
        <w:lastRenderedPageBreak/>
        <w:t>China’s Myanmar Dam Hypocrisy</w:t>
      </w:r>
      <w:r>
        <w:t xml:space="preserve"> https://thediplomat.com/2017/01/chinas-myanmar-dam-hypocrisy/</w:t>
      </w:r>
    </w:p>
    <w:p w:rsidR="00594E99" w:rsidRDefault="00644353">
      <w:pPr>
        <w:numPr>
          <w:ilvl w:val="0"/>
          <w:numId w:val="13"/>
        </w:numPr>
      </w:pPr>
      <w:r>
        <w:rPr>
          <w:b/>
          <w:i/>
        </w:rPr>
        <w:t>China Faces Tougher Laws in Myanmar</w:t>
      </w:r>
      <w:r>
        <w:t xml:space="preserve"> https://thediplomat.com/2016/09/china-faces-tougher-laws-in-myanmar/</w:t>
      </w:r>
    </w:p>
    <w:p w:rsidR="00594E99" w:rsidRDefault="00644353">
      <w:pPr>
        <w:numPr>
          <w:ilvl w:val="0"/>
          <w:numId w:val="12"/>
        </w:numPr>
        <w:pBdr>
          <w:top w:val="nil"/>
          <w:left w:val="nil"/>
          <w:bottom w:val="nil"/>
          <w:right w:val="nil"/>
          <w:between w:val="nil"/>
        </w:pBdr>
        <w:rPr>
          <w:b/>
          <w:color w:val="000000"/>
          <w:shd w:val="clear" w:color="auto" w:fill="D9D9D9"/>
        </w:rPr>
      </w:pPr>
      <w:r>
        <w:rPr>
          <w:rFonts w:eastAsia="Times New Roman"/>
          <w:b/>
          <w:color w:val="000000"/>
          <w:shd w:val="clear" w:color="auto" w:fill="D9D9D9"/>
        </w:rPr>
        <w:t xml:space="preserve">Debate Topic: Developed countries (rich countries) have an obligation to help developing countries (poor countries). </w:t>
      </w:r>
    </w:p>
    <w:p w:rsidR="00594E99" w:rsidRDefault="00594E99">
      <w:pPr>
        <w:rPr>
          <w:b/>
          <w:shd w:val="clear" w:color="auto" w:fill="D9D9D9"/>
        </w:rPr>
      </w:pPr>
    </w:p>
    <w:p w:rsidR="00594E99" w:rsidRDefault="00644353">
      <w:r>
        <w:t xml:space="preserve">9.  Environment, Capitalism, and Free-market </w:t>
      </w:r>
      <w:r w:rsidR="00C6161F">
        <w:rPr>
          <w:rFonts w:hint="eastAsia"/>
        </w:rPr>
        <w:t>(6/</w:t>
      </w:r>
      <w:r w:rsidR="009851E9">
        <w:rPr>
          <w:rFonts w:hint="eastAsia"/>
        </w:rPr>
        <w:t>4</w:t>
      </w:r>
      <w:r w:rsidR="00C6161F">
        <w:rPr>
          <w:rFonts w:hint="eastAsia"/>
        </w:rPr>
        <w:t xml:space="preserve">, </w:t>
      </w:r>
      <w:r w:rsidR="00C6161F" w:rsidRPr="00C6161F">
        <w:rPr>
          <w:rFonts w:hint="eastAsia"/>
          <w:b/>
          <w:color w:val="FF0000"/>
        </w:rPr>
        <w:t>6/1</w:t>
      </w:r>
      <w:r w:rsidR="009851E9">
        <w:rPr>
          <w:rFonts w:hint="eastAsia"/>
          <w:b/>
          <w:color w:val="FF0000"/>
        </w:rPr>
        <w:t>1</w:t>
      </w:r>
      <w:r w:rsidR="00C6161F">
        <w:rPr>
          <w:rFonts w:hint="eastAsia"/>
        </w:rPr>
        <w:t>)</w:t>
      </w:r>
    </w:p>
    <w:p w:rsidR="00594E99" w:rsidRDefault="00644353">
      <w:pPr>
        <w:numPr>
          <w:ilvl w:val="0"/>
          <w:numId w:val="8"/>
        </w:numPr>
        <w:pBdr>
          <w:top w:val="nil"/>
          <w:left w:val="nil"/>
          <w:bottom w:val="nil"/>
          <w:right w:val="nil"/>
          <w:between w:val="nil"/>
        </w:pBdr>
        <w:rPr>
          <w:color w:val="000000"/>
        </w:rPr>
      </w:pPr>
      <w:r>
        <w:rPr>
          <w:rFonts w:eastAsia="Times New Roman"/>
          <w:color w:val="000000"/>
        </w:rPr>
        <w:t xml:space="preserve">The Revitalization of Polluted </w:t>
      </w:r>
      <w:proofErr w:type="gramStart"/>
      <w:r>
        <w:rPr>
          <w:rFonts w:eastAsia="Times New Roman"/>
          <w:color w:val="000000"/>
        </w:rPr>
        <w:t>Area :</w:t>
      </w:r>
      <w:proofErr w:type="gramEnd"/>
      <w:r>
        <w:rPr>
          <w:rFonts w:eastAsia="Times New Roman"/>
          <w:color w:val="000000"/>
        </w:rPr>
        <w:t xml:space="preserve"> The </w:t>
      </w:r>
      <w:proofErr w:type="spellStart"/>
      <w:r>
        <w:rPr>
          <w:rFonts w:eastAsia="Times New Roman"/>
          <w:color w:val="000000"/>
        </w:rPr>
        <w:t>Seto</w:t>
      </w:r>
      <w:proofErr w:type="spellEnd"/>
      <w:r>
        <w:rPr>
          <w:rFonts w:eastAsia="Times New Roman"/>
          <w:color w:val="000000"/>
        </w:rPr>
        <w:t xml:space="preserve"> Inland Sea Islands </w:t>
      </w:r>
    </w:p>
    <w:p w:rsidR="00594E99" w:rsidRDefault="00644353">
      <w:pPr>
        <w:numPr>
          <w:ilvl w:val="0"/>
          <w:numId w:val="8"/>
        </w:numPr>
        <w:pBdr>
          <w:top w:val="nil"/>
          <w:left w:val="nil"/>
          <w:bottom w:val="nil"/>
          <w:right w:val="nil"/>
          <w:between w:val="nil"/>
        </w:pBdr>
        <w:rPr>
          <w:color w:val="000000"/>
        </w:rPr>
      </w:pPr>
      <w:r>
        <w:rPr>
          <w:rFonts w:eastAsia="Times New Roman"/>
          <w:color w:val="222222"/>
          <w:highlight w:val="white"/>
        </w:rPr>
        <w:t>Good Governance, Neoliberal Hegemony, and Civil Society: An Observation on Rural Villages in Cambodia</w:t>
      </w:r>
      <w:r>
        <w:rPr>
          <w:rFonts w:eastAsia="Times New Roman"/>
          <w:color w:val="000000"/>
        </w:rPr>
        <w:t xml:space="preserve"> </w:t>
      </w:r>
    </w:p>
    <w:p w:rsidR="00594E99" w:rsidRDefault="00644353">
      <w:pPr>
        <w:numPr>
          <w:ilvl w:val="0"/>
          <w:numId w:val="8"/>
        </w:numPr>
        <w:pBdr>
          <w:top w:val="nil"/>
          <w:left w:val="nil"/>
          <w:bottom w:val="nil"/>
          <w:right w:val="nil"/>
          <w:between w:val="nil"/>
        </w:pBdr>
        <w:rPr>
          <w:b/>
          <w:color w:val="000000"/>
        </w:rPr>
      </w:pPr>
      <w:bookmarkStart w:id="0" w:name="_heading=h.gjdgxs" w:colFirst="0" w:colLast="0"/>
      <w:bookmarkEnd w:id="0"/>
      <w:r>
        <w:rPr>
          <w:rFonts w:eastAsia="Times New Roman"/>
          <w:b/>
          <w:color w:val="000000"/>
          <w:shd w:val="clear" w:color="auto" w:fill="D9D9D9"/>
        </w:rPr>
        <w:t>Debate Topic:</w:t>
      </w:r>
      <w:r w:rsidR="004F699F">
        <w:rPr>
          <w:rFonts w:eastAsia="Times New Roman"/>
          <w:b/>
          <w:color w:val="000000"/>
          <w:shd w:val="clear" w:color="auto" w:fill="D9D9D9"/>
        </w:rPr>
        <w:t xml:space="preserve"> </w:t>
      </w:r>
      <w:r w:rsidR="00624080" w:rsidRPr="00624080">
        <w:rPr>
          <w:rFonts w:eastAsia="Times New Roman"/>
          <w:b/>
          <w:color w:val="000000"/>
          <w:shd w:val="clear" w:color="auto" w:fill="D9D9D9"/>
        </w:rPr>
        <w:t>Capitalism is a good solution to revitalize deca</w:t>
      </w:r>
      <w:r w:rsidR="00B66869">
        <w:rPr>
          <w:rFonts w:eastAsia="Times New Roman"/>
          <w:b/>
          <w:color w:val="000000"/>
          <w:shd w:val="clear" w:color="auto" w:fill="D9D9D9"/>
        </w:rPr>
        <w:t>ying</w:t>
      </w:r>
      <w:r w:rsidR="00624080" w:rsidRPr="00624080">
        <w:rPr>
          <w:rFonts w:eastAsia="Times New Roman"/>
          <w:b/>
          <w:color w:val="000000"/>
          <w:shd w:val="clear" w:color="auto" w:fill="D9D9D9"/>
        </w:rPr>
        <w:t xml:space="preserve"> areas.</w:t>
      </w:r>
      <w:r w:rsidR="004F699F">
        <w:rPr>
          <w:rFonts w:eastAsia="Times New Roman"/>
          <w:b/>
          <w:color w:val="000000"/>
          <w:shd w:val="clear" w:color="auto" w:fill="D9D9D9"/>
        </w:rPr>
        <w:t xml:space="preserve"> </w:t>
      </w:r>
      <w:r>
        <w:rPr>
          <w:rFonts w:eastAsia="Times New Roman"/>
          <w:b/>
          <w:color w:val="000000"/>
          <w:shd w:val="clear" w:color="auto" w:fill="D9D9D9"/>
        </w:rPr>
        <w:t xml:space="preserve"> </w:t>
      </w:r>
    </w:p>
    <w:p w:rsidR="00594E99" w:rsidRDefault="00594E99"/>
    <w:p w:rsidR="00C6161F" w:rsidRDefault="00C6161F">
      <w:r>
        <w:rPr>
          <w:rFonts w:hint="eastAsia"/>
        </w:rPr>
        <w:t>10.</w:t>
      </w:r>
      <w:r>
        <w:t xml:space="preserve"> Summary and Conclusion </w:t>
      </w:r>
      <w:r w:rsidR="006B4BB7">
        <w:rPr>
          <w:rFonts w:hint="eastAsia"/>
        </w:rPr>
        <w:t xml:space="preserve">_1 </w:t>
      </w:r>
      <w:r>
        <w:t>(6/</w:t>
      </w:r>
      <w:r w:rsidR="009851E9">
        <w:rPr>
          <w:rFonts w:hint="eastAsia"/>
        </w:rPr>
        <w:t>18</w:t>
      </w:r>
      <w:r>
        <w:t>)</w:t>
      </w:r>
    </w:p>
    <w:p w:rsidR="006B4BB7" w:rsidRDefault="006B4BB7">
      <w:pPr>
        <w:rPr>
          <w:rFonts w:hint="eastAsia"/>
        </w:rPr>
      </w:pPr>
      <w:r>
        <w:rPr>
          <w:rFonts w:hint="eastAsia"/>
        </w:rPr>
        <w:t>11. S</w:t>
      </w:r>
      <w:r>
        <w:t>ummary and Conclusion _2 (6/25)</w:t>
      </w:r>
      <w:bookmarkStart w:id="1" w:name="_GoBack"/>
      <w:bookmarkEnd w:id="1"/>
    </w:p>
    <w:p w:rsidR="00594E99" w:rsidRDefault="00644353">
      <w:r>
        <w:t xml:space="preserve"> </w:t>
      </w:r>
    </w:p>
    <w:sectPr w:rsidR="00594E99">
      <w:footerReference w:type="default" r:id="rId10"/>
      <w:pgSz w:w="11906" w:h="16838"/>
      <w:pgMar w:top="851" w:right="1588" w:bottom="851" w:left="158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1CC5" w:rsidRDefault="00C71CC5">
      <w:r>
        <w:separator/>
      </w:r>
    </w:p>
  </w:endnote>
  <w:endnote w:type="continuationSeparator" w:id="0">
    <w:p w:rsidR="00C71CC5" w:rsidRDefault="00C7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E99" w:rsidRDefault="00644353">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CB76E8">
      <w:rPr>
        <w:rFonts w:eastAsia="Times New Roman"/>
        <w:noProof/>
        <w:color w:val="000000"/>
        <w:sz w:val="20"/>
        <w:szCs w:val="20"/>
      </w:rPr>
      <w:t>1</w:t>
    </w:r>
    <w:r>
      <w:rPr>
        <w:color w:val="000000"/>
        <w:sz w:val="20"/>
        <w:szCs w:val="20"/>
      </w:rPr>
      <w:fldChar w:fldCharType="end"/>
    </w:r>
  </w:p>
  <w:p w:rsidR="00594E99" w:rsidRDefault="00594E99">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1CC5" w:rsidRDefault="00C71CC5">
      <w:r>
        <w:separator/>
      </w:r>
    </w:p>
  </w:footnote>
  <w:footnote w:type="continuationSeparator" w:id="0">
    <w:p w:rsidR="00C71CC5" w:rsidRDefault="00C71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96A87"/>
    <w:multiLevelType w:val="multilevel"/>
    <w:tmpl w:val="0B949C80"/>
    <w:lvl w:ilvl="0">
      <w:start w:val="1"/>
      <w:numFmt w:val="decimal"/>
      <w:lvlText w:val="%1."/>
      <w:lvlJc w:val="left"/>
      <w:pPr>
        <w:ind w:left="360" w:hanging="36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920" w:hanging="9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E2676E2"/>
    <w:multiLevelType w:val="multilevel"/>
    <w:tmpl w:val="29C27CCC"/>
    <w:lvl w:ilvl="0">
      <w:start w:val="1"/>
      <w:numFmt w:val="upperLetter"/>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16557D74"/>
    <w:multiLevelType w:val="multilevel"/>
    <w:tmpl w:val="51EAECC0"/>
    <w:lvl w:ilvl="0">
      <w:start w:val="2"/>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17B1843"/>
    <w:multiLevelType w:val="multilevel"/>
    <w:tmpl w:val="DE4C97C4"/>
    <w:lvl w:ilvl="0">
      <w:start w:val="1"/>
      <w:numFmt w:val="decimal"/>
      <w:lvlText w:val="%1."/>
      <w:lvlJc w:val="left"/>
      <w:pPr>
        <w:ind w:left="360" w:hanging="360"/>
      </w:pPr>
    </w:lvl>
    <w:lvl w:ilvl="1">
      <w:start w:val="1"/>
      <w:numFmt w:val="decimal"/>
      <w:lvlText w:val="%2)"/>
      <w:lvlJc w:val="left"/>
      <w:pPr>
        <w:ind w:left="960" w:hanging="480"/>
      </w:pPr>
      <w:rPr>
        <w:rFonts w:ascii="Times New Roman" w:eastAsia="Times New Roman" w:hAnsi="Times New Roman" w:cs="Times New Roman"/>
      </w:rPr>
    </w:lvl>
    <w:lvl w:ilvl="2">
      <w:start w:val="1"/>
      <w:numFmt w:val="decimal"/>
      <w:lvlText w:val="%3"/>
      <w:lvlJc w:val="left"/>
      <w:pPr>
        <w:ind w:left="1920" w:hanging="9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82D462A"/>
    <w:multiLevelType w:val="multilevel"/>
    <w:tmpl w:val="08E47394"/>
    <w:lvl w:ilvl="0">
      <w:start w:val="1"/>
      <w:numFmt w:val="decimal"/>
      <w:lvlText w:val="%1)"/>
      <w:lvlJc w:val="left"/>
      <w:pPr>
        <w:ind w:left="96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2323A2F"/>
    <w:multiLevelType w:val="multilevel"/>
    <w:tmpl w:val="DF263848"/>
    <w:lvl w:ilvl="0">
      <w:start w:val="1"/>
      <w:numFmt w:val="upperLetter"/>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6" w15:restartNumberingAfterBreak="0">
    <w:nsid w:val="48A80606"/>
    <w:multiLevelType w:val="multilevel"/>
    <w:tmpl w:val="92C4F72C"/>
    <w:lvl w:ilvl="0">
      <w:start w:val="1"/>
      <w:numFmt w:val="decimal"/>
      <w:lvlText w:val="%1)"/>
      <w:lvlJc w:val="left"/>
      <w:pPr>
        <w:ind w:left="840" w:hanging="360"/>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8C20921"/>
    <w:multiLevelType w:val="multilevel"/>
    <w:tmpl w:val="BC24678C"/>
    <w:lvl w:ilvl="0">
      <w:start w:val="1"/>
      <w:numFmt w:val="upperLetter"/>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507E2B8E"/>
    <w:multiLevelType w:val="multilevel"/>
    <w:tmpl w:val="23A00274"/>
    <w:lvl w:ilvl="0">
      <w:start w:val="1"/>
      <w:numFmt w:val="decimal"/>
      <w:lvlText w:val="%1)"/>
      <w:lvlJc w:val="left"/>
      <w:pPr>
        <w:ind w:left="840" w:hanging="360"/>
      </w:pPr>
      <w:rPr>
        <w:rFonts w:ascii="Times New Roman" w:eastAsia="Times New Roman" w:hAnsi="Times New Roman" w:cs="Times New Roman"/>
      </w:rPr>
    </w:lvl>
    <w:lvl w:ilvl="1">
      <w:start w:val="1"/>
      <w:numFmt w:val="upperLetter"/>
      <w:lvlText w:val="%2."/>
      <w:lvlJc w:val="left"/>
      <w:pPr>
        <w:ind w:left="1440" w:hanging="480"/>
      </w:pPr>
      <w:rPr>
        <w:rFonts w:ascii="Times New Roman" w:eastAsia="Times New Roman" w:hAnsi="Times New Roman" w:cs="Times New Roman"/>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56D90A12"/>
    <w:multiLevelType w:val="multilevel"/>
    <w:tmpl w:val="1CFE7CFC"/>
    <w:lvl w:ilvl="0">
      <w:start w:val="1"/>
      <w:numFmt w:val="upperLetter"/>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68607AB0"/>
    <w:multiLevelType w:val="multilevel"/>
    <w:tmpl w:val="FFC2593C"/>
    <w:lvl w:ilvl="0">
      <w:start w:val="1"/>
      <w:numFmt w:val="upperLetter"/>
      <w:lvlText w:val="%1."/>
      <w:lvlJc w:val="left"/>
      <w:pPr>
        <w:ind w:left="1320" w:hanging="36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69D73965"/>
    <w:multiLevelType w:val="multilevel"/>
    <w:tmpl w:val="16BC8938"/>
    <w:lvl w:ilvl="0">
      <w:start w:val="1"/>
      <w:numFmt w:val="decimal"/>
      <w:lvlText w:val="%1)"/>
      <w:lvlJc w:val="left"/>
      <w:pPr>
        <w:ind w:left="96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FC400CE"/>
    <w:multiLevelType w:val="multilevel"/>
    <w:tmpl w:val="3F10BEE4"/>
    <w:lvl w:ilvl="0">
      <w:start w:val="1"/>
      <w:numFmt w:val="decimal"/>
      <w:lvlText w:val="%1)"/>
      <w:lvlJc w:val="left"/>
      <w:pPr>
        <w:ind w:left="96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F4007D2"/>
    <w:multiLevelType w:val="multilevel"/>
    <w:tmpl w:val="75244608"/>
    <w:lvl w:ilvl="0">
      <w:start w:val="1"/>
      <w:numFmt w:val="decimal"/>
      <w:lvlText w:val="%1)"/>
      <w:lvlJc w:val="left"/>
      <w:pPr>
        <w:ind w:left="960" w:hanging="480"/>
      </w:pPr>
      <w:rPr>
        <w:rFonts w:ascii="Times New Roman" w:eastAsia="Times New Roman" w:hAnsi="Times New Roman" w:cs="Times New Roman"/>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1"/>
  </w:num>
  <w:num w:numId="2">
    <w:abstractNumId w:val="9"/>
  </w:num>
  <w:num w:numId="3">
    <w:abstractNumId w:val="3"/>
  </w:num>
  <w:num w:numId="4">
    <w:abstractNumId w:val="10"/>
  </w:num>
  <w:num w:numId="5">
    <w:abstractNumId w:val="12"/>
  </w:num>
  <w:num w:numId="6">
    <w:abstractNumId w:val="8"/>
  </w:num>
  <w:num w:numId="7">
    <w:abstractNumId w:val="5"/>
  </w:num>
  <w:num w:numId="8">
    <w:abstractNumId w:val="6"/>
  </w:num>
  <w:num w:numId="9">
    <w:abstractNumId w:val="0"/>
  </w:num>
  <w:num w:numId="10">
    <w:abstractNumId w:val="4"/>
  </w:num>
  <w:num w:numId="11">
    <w:abstractNumId w:val="7"/>
  </w:num>
  <w:num w:numId="12">
    <w:abstractNumId w:val="1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99"/>
    <w:rsid w:val="000301B5"/>
    <w:rsid w:val="004F699F"/>
    <w:rsid w:val="00594E99"/>
    <w:rsid w:val="005F73A4"/>
    <w:rsid w:val="00624080"/>
    <w:rsid w:val="00644353"/>
    <w:rsid w:val="006B4BB7"/>
    <w:rsid w:val="009851E9"/>
    <w:rsid w:val="00B66869"/>
    <w:rsid w:val="00C6161F"/>
    <w:rsid w:val="00C71CC5"/>
    <w:rsid w:val="00CB76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6880"/>
  <w15:docId w15:val="{50DF0084-8F05-4CE2-BBDE-E6F955155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rsid w:val="00AC7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B42B43"/>
  </w:style>
  <w:style w:type="paragraph" w:styleId="a5">
    <w:name w:val="header"/>
    <w:basedOn w:val="a"/>
    <w:link w:val="a6"/>
    <w:rsid w:val="00ED5084"/>
    <w:pPr>
      <w:tabs>
        <w:tab w:val="center" w:pos="4153"/>
        <w:tab w:val="right" w:pos="8306"/>
      </w:tabs>
      <w:snapToGrid w:val="0"/>
    </w:pPr>
    <w:rPr>
      <w:sz w:val="20"/>
      <w:szCs w:val="20"/>
    </w:rPr>
  </w:style>
  <w:style w:type="character" w:customStyle="1" w:styleId="a6">
    <w:name w:val="頁首 字元"/>
    <w:link w:val="a5"/>
    <w:rsid w:val="00ED5084"/>
    <w:rPr>
      <w:kern w:val="2"/>
    </w:rPr>
  </w:style>
  <w:style w:type="paragraph" w:styleId="a7">
    <w:name w:val="footer"/>
    <w:basedOn w:val="a"/>
    <w:link w:val="a8"/>
    <w:uiPriority w:val="99"/>
    <w:rsid w:val="00ED5084"/>
    <w:pPr>
      <w:tabs>
        <w:tab w:val="center" w:pos="4153"/>
        <w:tab w:val="right" w:pos="8306"/>
      </w:tabs>
      <w:snapToGrid w:val="0"/>
    </w:pPr>
    <w:rPr>
      <w:sz w:val="20"/>
      <w:szCs w:val="20"/>
    </w:rPr>
  </w:style>
  <w:style w:type="character" w:customStyle="1" w:styleId="a8">
    <w:name w:val="頁尾 字元"/>
    <w:link w:val="a7"/>
    <w:uiPriority w:val="99"/>
    <w:rsid w:val="00ED5084"/>
    <w:rPr>
      <w:kern w:val="2"/>
    </w:rPr>
  </w:style>
  <w:style w:type="character" w:styleId="a9">
    <w:name w:val="Hyperlink"/>
    <w:rsid w:val="00ED5084"/>
    <w:rPr>
      <w:color w:val="0000FF"/>
      <w:u w:val="single"/>
    </w:rPr>
  </w:style>
  <w:style w:type="paragraph" w:styleId="aa">
    <w:name w:val="List Paragraph"/>
    <w:basedOn w:val="a"/>
    <w:uiPriority w:val="34"/>
    <w:qFormat/>
    <w:rsid w:val="00113F02"/>
    <w:pPr>
      <w:ind w:leftChars="200" w:left="480"/>
    </w:pPr>
  </w:style>
  <w:style w:type="character" w:styleId="ab">
    <w:name w:val="Emphasis"/>
    <w:basedOn w:val="a0"/>
    <w:uiPriority w:val="20"/>
    <w:qFormat/>
    <w:rsid w:val="00E81450"/>
    <w:rPr>
      <w:i/>
      <w:iCs/>
    </w:rPr>
  </w:style>
  <w:style w:type="character" w:styleId="ac">
    <w:name w:val="FollowedHyperlink"/>
    <w:basedOn w:val="a0"/>
    <w:semiHidden/>
    <w:unhideWhenUsed/>
    <w:rsid w:val="002239F1"/>
    <w:rPr>
      <w:color w:val="800080" w:themeColor="followedHyperlink"/>
      <w:u w:val="single"/>
    </w:rPr>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iscoveringantarctica.org.uk/introducing-antarct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rsuit.unimelb.edu.au/articles/the-geopolitics-of-antarctica"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eGbqjpc37sBs+bZEOzFVNQ7W2A==">AMUW2mU4/YmuQlXkj7+GNPT1rCO6scLYXyCFdakPNDPlLkgI6jlx7k29/OmKnKxBI1n6EZ6CP4JCPoGx7q4wuqxPIZF8iyfX1MMY2IG9w7nV00pGAc3esiCVJtvjSfzxRFBAUMgkWEYAnrWeJ67RlPPAx1ntH7wtQ801Z9HzXEqhobofAKrLIp5NrguQ+N5gHXmc+VyarHC3WGaGgfHTVZbJF1WZ0mhqvpEGzF/qcPDGl7h6VwOokpeeY61hzmaXFFuItIi5u/5gJZ2LQwjLGo5HTEBZONE0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780</Words>
  <Characters>4449</Characters>
  <Application>Microsoft Office Word</Application>
  <DocSecurity>0</DocSecurity>
  <Lines>37</Lines>
  <Paragraphs>10</Paragraphs>
  <ScaleCrop>false</ScaleCrop>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李翠萍</dc:creator>
  <cp:lastModifiedBy>Tsuey Ping Lee</cp:lastModifiedBy>
  <cp:revision>3</cp:revision>
  <dcterms:created xsi:type="dcterms:W3CDTF">2026-01-09T16:35:00Z</dcterms:created>
  <dcterms:modified xsi:type="dcterms:W3CDTF">2026-01-09T16:42:00Z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66b90381a79cd9f5cef8cd2995ae68e8d950a6b1577a08b18d64089ccfaadd67</vt:lpwstr>
  </property>
</Properties>
</file>