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新細明體" w:hAnsi="新細明體" w:eastAsia="新細明體" w:cs="新細明體"/>
          <w:kern w:val="0"/>
          <w:szCs w:val="24"/>
        </w:rPr>
      </w:pPr>
      <w:r>
        <w:rPr>
          <w:rFonts w:ascii="新細明體" w:hAnsi="新細明體" w:eastAsia="新細明體" w:cs="新細明體"/>
          <w:kern w:val="0"/>
          <w:szCs w:val="24"/>
        </w:rPr>
        <w:t>中正大學課程大綱</w:t>
      </w:r>
      <w:r>
        <w:rPr>
          <w:rFonts w:ascii="新細明體" w:hAnsi="新細明體" w:eastAsia="新細明體" w:cs="新細明體"/>
          <w:kern w:val="0"/>
          <w:szCs w:val="24"/>
        </w:rPr>
        <w:br w:type="textWrapping"/>
      </w:r>
      <w:r>
        <w:rPr>
          <w:rFonts w:ascii="新細明體" w:hAnsi="新細明體" w:eastAsia="新細明體" w:cs="新細明體"/>
          <w:kern w:val="0"/>
          <w:szCs w:val="24"/>
        </w:rPr>
        <w:t xml:space="preserve">體育中心 </w:t>
      </w:r>
    </w:p>
    <w:tbl>
      <w:tblPr>
        <w:tblStyle w:val="3"/>
        <w:tblW w:w="7529" w:type="dxa"/>
        <w:jc w:val="center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1"/>
        <w:gridCol w:w="2433"/>
        <w:gridCol w:w="1260"/>
        <w:gridCol w:w="664"/>
        <w:gridCol w:w="1200"/>
        <w:gridCol w:w="8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課程名稱(中文)：</w:t>
            </w:r>
          </w:p>
        </w:tc>
        <w:tc>
          <w:tcPr>
            <w:tcW w:w="2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體育：排球（一） 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開課單位：</w:t>
            </w:r>
          </w:p>
        </w:tc>
        <w:tc>
          <w:tcPr>
            <w:tcW w:w="19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體育中心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課程名稱(英文)：</w:t>
            </w:r>
          </w:p>
        </w:tc>
        <w:tc>
          <w:tcPr>
            <w:tcW w:w="2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課程代碼：</w:t>
            </w:r>
          </w:p>
        </w:tc>
        <w:tc>
          <w:tcPr>
            <w:tcW w:w="19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授課教師：</w:t>
            </w:r>
          </w:p>
        </w:tc>
        <w:tc>
          <w:tcPr>
            <w:tcW w:w="563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hint="eastAsia" w:ascii="新細明體" w:hAnsi="新細明體" w:eastAsia="新細明體" w:cs="新細明體"/>
                <w:kern w:val="0"/>
                <w:szCs w:val="24"/>
              </w:rPr>
              <w:t>呂祐玫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學分數：</w:t>
            </w:r>
          </w:p>
        </w:tc>
        <w:tc>
          <w:tcPr>
            <w:tcW w:w="2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必/選修：</w:t>
            </w:r>
          </w:p>
        </w:tc>
        <w:tc>
          <w:tcPr>
            <w:tcW w:w="6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必修 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開科年級：</w:t>
            </w:r>
          </w:p>
        </w:tc>
        <w:tc>
          <w:tcPr>
            <w:tcW w:w="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先修科目或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br w:type="textWrapping"/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先備能力： </w:t>
            </w:r>
          </w:p>
        </w:tc>
        <w:tc>
          <w:tcPr>
            <w:tcW w:w="563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課程概述： </w:t>
            </w:r>
          </w:p>
        </w:tc>
        <w:tc>
          <w:tcPr>
            <w:tcW w:w="563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學習排球基本技術 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br w:type="textWrapping"/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>和排球規則與策略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學習目標： </w:t>
            </w:r>
          </w:p>
        </w:tc>
        <w:tc>
          <w:tcPr>
            <w:tcW w:w="563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1.養成運動習慣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br w:type="textWrapping"/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>2.培養團體精神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br w:type="textWrapping"/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教科書：</w:t>
            </w:r>
          </w:p>
        </w:tc>
        <w:tc>
          <w:tcPr>
            <w:tcW w:w="563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</w:tr>
    </w:tbl>
    <w:p>
      <w:pPr>
        <w:widowControl/>
        <w:spacing w:after="240"/>
        <w:jc w:val="center"/>
        <w:rPr>
          <w:rFonts w:ascii="新細明體" w:hAnsi="新細明體" w:eastAsia="新細明體" w:cs="新細明體"/>
          <w:kern w:val="0"/>
          <w:szCs w:val="24"/>
        </w:rPr>
      </w:pPr>
      <w:r>
        <w:rPr>
          <w:rFonts w:ascii="新細明體" w:hAnsi="新細明體" w:eastAsia="新細明體" w:cs="新細明體"/>
          <w:kern w:val="0"/>
          <w:szCs w:val="24"/>
        </w:rPr>
        <w:br w:type="textWrapping"/>
      </w:r>
    </w:p>
    <w:tbl>
      <w:tblPr>
        <w:tblStyle w:val="3"/>
        <w:tblW w:w="7529" w:type="dxa"/>
        <w:jc w:val="center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5"/>
        <w:gridCol w:w="2133"/>
        <w:gridCol w:w="525"/>
        <w:gridCol w:w="525"/>
        <w:gridCol w:w="525"/>
        <w:gridCol w:w="525"/>
        <w:gridCol w:w="1099"/>
        <w:gridCol w:w="58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74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課程大綱 </w:t>
            </w:r>
          </w:p>
        </w:tc>
        <w:tc>
          <w:tcPr>
            <w:tcW w:w="210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分配時數 </w:t>
            </w:r>
          </w:p>
        </w:tc>
        <w:tc>
          <w:tcPr>
            <w:tcW w:w="109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核心能力 </w:t>
            </w:r>
          </w:p>
        </w:tc>
        <w:tc>
          <w:tcPr>
            <w:tcW w:w="58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備註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單元主題 </w:t>
            </w:r>
          </w:p>
        </w:tc>
        <w:tc>
          <w:tcPr>
            <w:tcW w:w="2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內容綱要 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講授 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示範 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習作 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其他 </w:t>
            </w:r>
          </w:p>
        </w:tc>
        <w:tc>
          <w:tcPr>
            <w:tcW w:w="109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</w:p>
        </w:tc>
        <w:tc>
          <w:tcPr>
            <w:tcW w:w="5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排球發球 </w:t>
            </w:r>
          </w:p>
        </w:tc>
        <w:tc>
          <w:tcPr>
            <w:tcW w:w="2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發球姿勢教學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10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排球下手擊球 </w:t>
            </w:r>
          </w:p>
        </w:tc>
        <w:tc>
          <w:tcPr>
            <w:tcW w:w="2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下手擊球姿勢教學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10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排球</w:t>
            </w:r>
            <w:r>
              <w:rPr>
                <w:rFonts w:hint="eastAsia" w:ascii="新細明體" w:hAnsi="新細明體" w:eastAsia="新細明體" w:cs="新細明體"/>
                <w:kern w:val="0"/>
                <w:szCs w:val="24"/>
              </w:rPr>
              <w:t>托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>球 </w:t>
            </w:r>
          </w:p>
        </w:tc>
        <w:tc>
          <w:tcPr>
            <w:tcW w:w="2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hint="eastAsia" w:ascii="新細明體" w:hAnsi="新細明體" w:eastAsia="新細明體" w:cs="新細明體"/>
                <w:kern w:val="0"/>
                <w:szCs w:val="24"/>
              </w:rPr>
              <w:t>托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>球姿勢教學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10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排球攔網 </w:t>
            </w:r>
          </w:p>
        </w:tc>
        <w:tc>
          <w:tcPr>
            <w:tcW w:w="2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攔網技術教學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10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排球進攻策略 </w:t>
            </w:r>
          </w:p>
        </w:tc>
        <w:tc>
          <w:tcPr>
            <w:tcW w:w="2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快攻的打法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10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排球防守策略 </w:t>
            </w:r>
          </w:p>
        </w:tc>
        <w:tc>
          <w:tcPr>
            <w:tcW w:w="2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防守的策略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10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 </w:t>
            </w:r>
          </w:p>
        </w:tc>
      </w:tr>
    </w:tbl>
    <w:p>
      <w:pPr>
        <w:widowControl/>
        <w:jc w:val="center"/>
        <w:rPr>
          <w:rFonts w:ascii="新細明體" w:hAnsi="新細明體" w:eastAsia="新細明體" w:cs="新細明體"/>
          <w:kern w:val="0"/>
          <w:szCs w:val="24"/>
        </w:rPr>
      </w:pPr>
    </w:p>
    <w:tbl>
      <w:tblPr>
        <w:tblStyle w:val="3"/>
        <w:tblW w:w="7529" w:type="dxa"/>
        <w:jc w:val="center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5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教學要點概述：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5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1. 教材編選：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object>
                <v:shape id="_x0000_i1029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自編教材 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object>
                <v:shape id="_x0000_i1030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教科書作者提供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5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2. 教學方法：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object>
                <v:shape id="_x0000_i1031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投影片講述 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object>
                <v:shape id="_x0000_i1032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板書講述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5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3. 評量方法：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object>
                <v:shape id="_x0000_i1033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上課點名 40%, 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object>
                <v:shape id="_x0000_i1034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小考 0%, 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object>
                <v:shape id="_x0000_i1035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作業 0%, 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object>
                <v:shape id="_x0000_i1036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程式實作 0%, 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object>
                <v:shape id="_x0000_i1037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實習報告 0%, 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br w:type="textWrapping"/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                        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object>
                <v:shape id="_x0000_i1038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專案 0%, 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object>
                <v:shape id="_x0000_i1039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期中考 30%, 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object>
                <v:shape id="_x0000_i1040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期末考 30%, 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object>
                <v:shape id="_x0000_i1041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期末報告 0%, 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object>
                <v:shape id="_x0000_i1042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其它 0%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5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>4. 教學資源：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object>
                <v:shape id="_x0000_i1043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課程網站 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object>
                <v:shape id="_x0000_i1044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教材電子檔供下載 </w: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object>
                <v:shape id="_x0000_i1045" o:spt="201" type="#_x0000_t201" style="height:16.5pt;width:20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實習網站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5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ascii="新細明體" w:hAnsi="新細明體" w:eastAsia="新細明體" w:cs="新細明體"/>
                <w:kern w:val="0"/>
                <w:szCs w:val="24"/>
              </w:rPr>
              <w:t xml:space="preserve">教學相關配合事項： </w:t>
            </w:r>
          </w:p>
          <w:p>
            <w:pPr>
              <w:widowControl/>
              <w:numPr>
                <w:numId w:val="0"/>
              </w:numPr>
              <w:rPr>
                <w:rFonts w:hint="eastAsia" w:ascii="新細明體" w:hAnsi="新細明體" w:eastAsia="新細明體" w:cs="新細明體"/>
                <w:kern w:val="0"/>
                <w:szCs w:val="24"/>
                <w:lang w:val="en-US" w:eastAsia="zh-TW"/>
              </w:rPr>
            </w:pPr>
            <w:r>
              <w:rPr>
                <w:rFonts w:hint="eastAsia" w:ascii="新細明體" w:hAnsi="新細明體" w:eastAsia="新細明體" w:cs="新細明體"/>
                <w:kern w:val="0"/>
                <w:szCs w:val="24"/>
                <w:lang w:val="en-US" w:eastAsia="zh-TW"/>
              </w:rPr>
              <w:t>(1)第十六週為期末考週</w:t>
            </w:r>
            <w:bookmarkStart w:id="0" w:name="_GoBack"/>
            <w:bookmarkEnd w:id="0"/>
          </w:p>
          <w:p>
            <w:pPr>
              <w:widowControl/>
              <w:numPr>
                <w:numId w:val="0"/>
              </w:numPr>
              <w:rPr>
                <w:rFonts w:ascii="新細明體" w:hAnsi="新細明體" w:eastAsia="新細明體" w:cs="新細明體"/>
                <w:kern w:val="0"/>
                <w:szCs w:val="24"/>
              </w:rPr>
            </w:pPr>
            <w:r>
              <w:rPr>
                <w:rFonts w:hint="eastAsia" w:ascii="新細明體" w:hAnsi="新細明體" w:eastAsia="新細明體" w:cs="新細明體"/>
                <w:kern w:val="0"/>
                <w:szCs w:val="24"/>
                <w:lang w:val="en-US" w:eastAsia="zh-TW"/>
              </w:rPr>
              <w:t>(2)</w:t>
            </w:r>
            <w:r>
              <w:rPr>
                <w:rFonts w:hint="eastAsia" w:ascii="新細明體" w:hAnsi="新細明體" w:eastAsia="新細明體" w:cs="新細明體"/>
                <w:kern w:val="0"/>
                <w:szCs w:val="24"/>
                <w:lang w:eastAsia="zh-TW"/>
              </w:rPr>
              <w:t>第十七週</w:t>
            </w:r>
            <w:r>
              <w:rPr>
                <w:rFonts w:hint="eastAsia" w:ascii="新細明體" w:hAnsi="新細明體" w:eastAsia="新細明體" w:cs="新細明體"/>
                <w:kern w:val="0"/>
                <w:szCs w:val="24"/>
                <w:lang w:val="en-US" w:eastAsia="zh-TW"/>
              </w:rPr>
              <w:t>.第十八週為彈性教學週</w:t>
            </w:r>
          </w:p>
        </w:tc>
      </w:tr>
    </w:tbl>
    <w:p>
      <w:pPr>
        <w:widowControl/>
        <w:jc w:val="center"/>
        <w:rPr>
          <w:rFonts w:ascii="新細明體" w:hAnsi="新細明體" w:eastAsia="新細明體" w:cs="新細明體"/>
          <w:kern w:val="0"/>
          <w:szCs w:val="24"/>
        </w:rPr>
      </w:pPr>
    </w:p>
    <w:p>
      <w:pPr>
        <w:widowControl/>
        <w:pBdr>
          <w:top w:val="single" w:color="auto" w:sz="6" w:space="1"/>
        </w:pBdr>
        <w:jc w:val="center"/>
        <w:rPr>
          <w:rFonts w:ascii="Arial" w:hAnsi="Arial" w:eastAsia="新細明體" w:cs="Arial"/>
          <w:vanish/>
          <w:kern w:val="0"/>
          <w:sz w:val="16"/>
          <w:szCs w:val="16"/>
        </w:rPr>
      </w:pPr>
      <w:r>
        <w:rPr>
          <w:rFonts w:hint="eastAsia" w:ascii="Arial" w:hAnsi="Arial" w:eastAsia="新細明體" w:cs="Arial"/>
          <w:vanish/>
          <w:kern w:val="0"/>
          <w:sz w:val="16"/>
          <w:szCs w:val="16"/>
        </w:rPr>
        <w:t>表單的底部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EDDE2"/>
    <w:multiLevelType w:val="singleLevel"/>
    <w:tmpl w:val="65CEDDE2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05"/>
    <w:rsid w:val="00275B53"/>
    <w:rsid w:val="00484C70"/>
    <w:rsid w:val="00776E05"/>
    <w:rsid w:val="00961E09"/>
    <w:rsid w:val="00F06A82"/>
    <w:rsid w:val="554C6F4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1233</Characters>
  <Lines>10</Lines>
  <Paragraphs>2</Paragraphs>
  <TotalTime>0</TotalTime>
  <ScaleCrop>false</ScaleCrop>
  <LinksUpToDate>false</LinksUpToDate>
  <CharactersWithSpaces>1447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2019-06-06T00:40:00Z</dcterms:created>
  <dc:creator>user</dc:creator>
  <cp:lastModifiedBy>user</cp:lastModifiedBy>
  <dcterms:modified xsi:type="dcterms:W3CDTF">2024-02-16T03:59:48Z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