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80" w:afterLines="5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hint="eastAsia" w:ascii="新細明體" w:hAnsi="新細明體" w:cs="新細明體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>
        <w:rPr>
          <w:rFonts w:hint="eastAsia" w:ascii="新細明體" w:hAnsi="新細明體" w:cs="新細明體"/>
          <w:kern w:val="0"/>
          <w:sz w:val="44"/>
          <w:szCs w:val="44"/>
        </w:rPr>
        <w:t xml:space="preserve">    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Style w:val="7"/>
        <w:tblW w:w="10050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8"/>
        <w:gridCol w:w="80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19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8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hint="eastAsia" w:ascii="新細明體" w:hAnsi="新細明體" w:cs="新細明體"/>
                <w:kern w:val="0"/>
              </w:rPr>
              <w:t xml:space="preserve">大一體育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9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 w:type="textWrapping"/>
            </w:r>
            <w:r>
              <w:rPr>
                <w:rFonts w:ascii="新細明體" w:hAnsi="新細明體" w:cs="新細明體"/>
                <w:kern w:val="0"/>
              </w:rPr>
              <w:t>先備能力</w:t>
            </w:r>
            <w:r>
              <w:rPr>
                <w:rFonts w:hint="eastAsia" w:ascii="新細明體" w:hAnsi="新細明體" w:cs="新細明體"/>
                <w:kern w:val="0"/>
              </w:rPr>
              <w:t>:</w:t>
            </w:r>
          </w:p>
        </w:tc>
        <w:tc>
          <w:tcPr>
            <w:tcW w:w="8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tblCellSpacing w:w="0" w:type="dxa"/>
          <w:jc w:val="center"/>
        </w:trPr>
        <w:tc>
          <w:tcPr>
            <w:tcW w:w="19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  <w:r>
              <w:rPr>
                <w:rFonts w:hint="eastAsia" w:ascii="新細明體" w:hAnsi="新細明體" w:cs="新細明體"/>
                <w:kern w:val="0"/>
              </w:rPr>
              <w:t>:</w:t>
            </w:r>
          </w:p>
        </w:tc>
        <w:tc>
          <w:tcPr>
            <w:tcW w:w="8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學科包括體適能觀念，運動傷害預防與處理，運動與健康，及基本運動原理與規則。</w:t>
            </w:r>
          </w:p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術科包括游泳、籃球、排球、羽球與體適能測驗。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tblCellSpacing w:w="0" w:type="dxa"/>
          <w:jc w:val="center"/>
        </w:trPr>
        <w:tc>
          <w:tcPr>
            <w:tcW w:w="19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  <w:r>
              <w:rPr>
                <w:rFonts w:hint="eastAsia" w:ascii="新細明體" w:hAnsi="新細明體" w:cs="新細明體"/>
                <w:kern w:val="0"/>
              </w:rPr>
              <w:t>:</w:t>
            </w:r>
          </w:p>
        </w:tc>
        <w:tc>
          <w:tcPr>
            <w:tcW w:w="8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11"/>
              <w:widowControl/>
              <w:ind w:left="0" w:leftChars="0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藉由不同運動項目課程之安排，讓大一同學可以廣泛接觸不同之運動項目且激發其多元之運動興趣，並養成其運動習慣。藉由運動使其瞭解健康的基本觀念，同時透過不同運動課程之安排，使學生能在不同運動技巧的學習中均衡發展其心肺耐力、肌力與肌耐力、速度、柔軟度、協調性等體能要素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atLeast"/>
          <w:tblCellSpacing w:w="0" w:type="dxa"/>
          <w:jc w:val="center"/>
        </w:trPr>
        <w:tc>
          <w:tcPr>
            <w:tcW w:w="19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t>教科書：</w:t>
            </w:r>
          </w:p>
        </w:tc>
        <w:tc>
          <w:tcPr>
            <w:tcW w:w="8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健動的方法與保健---林正常、王順正</w:t>
            </w:r>
          </w:p>
          <w:p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Style w:val="7"/>
        <w:tblW w:w="107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1"/>
        <w:gridCol w:w="6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2" w:type="dxa"/>
            <w:gridSpan w:val="2"/>
          </w:tcPr>
          <w:p>
            <w:pPr>
              <w:widowControl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>
              <w:rPr>
                <w:rFonts w:hint="eastAsia" w:ascii="新細明體" w:hAnsi="新細明體" w:cs="新細明體"/>
                <w:b/>
                <w:kern w:val="0"/>
                <w:sz w:val="28"/>
                <w:szCs w:val="28"/>
              </w:rPr>
              <w:t>課程大綱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pPr>
              <w:widowControl/>
              <w:jc w:val="center"/>
              <w:rPr>
                <w:rFonts w:ascii="新細明體" w:hAnsi="新細明體" w:cs="新細明體"/>
                <w:b/>
                <w:kern w:val="0"/>
              </w:rPr>
            </w:pPr>
            <w:r>
              <w:rPr>
                <w:rFonts w:hint="eastAsia" w:ascii="新細明體" w:hAnsi="新細明體" w:cs="新細明體"/>
                <w:b/>
                <w:kern w:val="0"/>
              </w:rPr>
              <w:t>單元主題</w:t>
            </w:r>
          </w:p>
        </w:tc>
        <w:tc>
          <w:tcPr>
            <w:tcW w:w="6991" w:type="dxa"/>
          </w:tcPr>
          <w:p>
            <w:pPr>
              <w:widowControl/>
              <w:jc w:val="center"/>
              <w:rPr>
                <w:rFonts w:ascii="新細明體" w:hAnsi="新細明體" w:cs="新細明體"/>
                <w:b/>
                <w:kern w:val="0"/>
              </w:rPr>
            </w:pPr>
            <w:r>
              <w:rPr>
                <w:rFonts w:hint="eastAsia" w:ascii="新細明體" w:hAnsi="新細明體" w:cs="新細明體"/>
                <w:b/>
                <w:kern w:val="0"/>
              </w:rPr>
              <w:t>內容綱要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第一週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課程介紹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課程介紹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pPr>
              <w:widowControl/>
              <w:rPr>
                <w:rFonts w:ascii="新細明體" w:hAnsi="新細明體" w:cs="新細明體"/>
                <w:kern w:val="0"/>
                <w:u w:val="single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第二週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籃球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籃球</w:t>
            </w:r>
            <w:r>
              <w:rPr>
                <w:rFonts w:ascii="新細明體" w:hAnsi="新細明體" w:cs="新細明體"/>
                <w:kern w:val="0"/>
              </w:rPr>
              <w:t>運球與傳球</w:t>
            </w:r>
            <w:r>
              <w:rPr>
                <w:rFonts w:hint="eastAsia" w:ascii="新細明體" w:hAnsi="新細明體" w:cs="新細明體"/>
                <w:kern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第三週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籃球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籃下</w:t>
            </w:r>
            <w:r>
              <w:rPr>
                <w:rFonts w:ascii="新細明體" w:hAnsi="新細明體" w:cs="新細明體"/>
                <w:kern w:val="0"/>
              </w:rPr>
              <w:t>投球動作講解與操作</w:t>
            </w:r>
            <w:r>
              <w:rPr>
                <w:rFonts w:hint="eastAsia" w:ascii="新細明體" w:hAnsi="新細明體" w:cs="新細明體"/>
                <w:kern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第四週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籃球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分組比賽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第五週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籃球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籃球能力測驗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pPr>
              <w:rPr>
                <w:rFonts w:hint="eastAsia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第六週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排</w:t>
            </w:r>
            <w:r>
              <w:rPr>
                <w:rFonts w:hint="eastAsia" w:ascii="新細明體" w:hAnsi="新細明體" w:cs="新細明體"/>
                <w:kern w:val="0"/>
              </w:rPr>
              <w:t>球</w:t>
            </w:r>
          </w:p>
        </w:tc>
        <w:tc>
          <w:tcPr>
            <w:tcW w:w="6991" w:type="dxa"/>
          </w:tcPr>
          <w:p>
            <w:r>
              <w:rPr>
                <w:rFonts w:hint="eastAsia" w:ascii="新細明體" w:cs="新細明體"/>
                <w:kern w:val="0"/>
              </w:rPr>
              <w:t>排球托球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第七週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排</w:t>
            </w:r>
            <w:r>
              <w:rPr>
                <w:rFonts w:hint="eastAsia" w:ascii="新細明體" w:hAnsi="新細明體" w:cs="新細明體"/>
                <w:kern w:val="0"/>
              </w:rPr>
              <w:t>球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hint="eastAsia" w:ascii="新細明體" w:cs="新細明體"/>
                <w:kern w:val="0"/>
              </w:rPr>
            </w:pPr>
            <w:r>
              <w:rPr>
                <w:rFonts w:hint="eastAsia"/>
              </w:rPr>
              <w:t>排球發球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第八週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排</w:t>
            </w:r>
            <w:r>
              <w:rPr>
                <w:rFonts w:hint="eastAsia" w:ascii="新細明體" w:hAnsi="新細明體" w:cs="新細明體"/>
                <w:kern w:val="0"/>
              </w:rPr>
              <w:t>球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cs="新細明體"/>
                <w:kern w:val="0"/>
              </w:rPr>
            </w:pPr>
            <w:r>
              <w:rPr>
                <w:rFonts w:hint="eastAsia" w:ascii="新細明體" w:cs="新細明體"/>
                <w:kern w:val="0"/>
              </w:rPr>
              <w:t>排球能力測驗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第九週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游泳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韻律呼吸、漂浮、抽筋自解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pPr>
              <w:rPr>
                <w:rFonts w:hint="eastAsia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第十週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游泳</w:t>
            </w:r>
          </w:p>
        </w:tc>
        <w:tc>
          <w:tcPr>
            <w:tcW w:w="6991" w:type="dxa"/>
          </w:tcPr>
          <w:p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自由式打水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>第十一週 游泳</w:t>
            </w:r>
          </w:p>
        </w:tc>
        <w:tc>
          <w:tcPr>
            <w:tcW w:w="699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>自由式划臂與換氣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>第十二週 游泳</w:t>
            </w:r>
          </w:p>
        </w:tc>
        <w:tc>
          <w:tcPr>
            <w:tcW w:w="6991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>游泳能力測驗</w:t>
            </w:r>
          </w:p>
        </w:tc>
      </w:tr>
    </w:tbl>
    <w:p>
      <w:r>
        <w:br w:type="page"/>
      </w:r>
    </w:p>
    <w:tbl>
      <w:tblPr>
        <w:tblStyle w:val="7"/>
        <w:tblW w:w="107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2"/>
        <w:gridCol w:w="6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2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第十三週 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羽球</w:t>
            </w:r>
          </w:p>
        </w:tc>
        <w:tc>
          <w:tcPr>
            <w:tcW w:w="6990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>羽球低手發球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2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第十四週 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羽</w:t>
            </w:r>
            <w:r>
              <w:rPr>
                <w:rFonts w:hint="eastAsia" w:ascii="新細明體" w:hAnsi="新細明體" w:cs="新細明體"/>
                <w:kern w:val="0"/>
              </w:rPr>
              <w:t>球</w:t>
            </w:r>
          </w:p>
        </w:tc>
        <w:tc>
          <w:tcPr>
            <w:tcW w:w="6990" w:type="dxa"/>
          </w:tcPr>
          <w:p>
            <w:pPr>
              <w:rPr>
                <w:rFonts w:hint="eastAsia"/>
              </w:rPr>
            </w:pPr>
            <w:r>
              <w:rPr>
                <w:rFonts w:hint="eastAsia" w:ascii="新細明體" w:hAnsi="新細明體" w:cs="新細明體"/>
                <w:kern w:val="0"/>
              </w:rPr>
              <w:t>羽球高手</w:t>
            </w:r>
            <w:r>
              <w:rPr>
                <w:rFonts w:ascii="新細明體" w:hAnsi="新細明體" w:cs="新細明體"/>
                <w:kern w:val="0"/>
              </w:rPr>
              <w:t>發球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2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第十五週 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羽</w:t>
            </w:r>
            <w:r>
              <w:rPr>
                <w:rFonts w:hint="eastAsia" w:ascii="新細明體" w:hAnsi="新細明體" w:cs="新細明體"/>
                <w:kern w:val="0"/>
              </w:rPr>
              <w:t>球</w:t>
            </w:r>
          </w:p>
        </w:tc>
        <w:tc>
          <w:tcPr>
            <w:tcW w:w="6990" w:type="dxa"/>
          </w:tcPr>
          <w:p>
            <w:pPr>
              <w:widowControl/>
              <w:jc w:val="both"/>
              <w:rPr>
                <w:rFonts w:hint="eastAsia" w:ascii="新細明體" w:cs="新細明體"/>
                <w:kern w:val="0"/>
              </w:rPr>
            </w:pPr>
            <w:r>
              <w:t>分組比賽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2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第十六週 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羽</w:t>
            </w:r>
            <w:r>
              <w:rPr>
                <w:rFonts w:hint="eastAsia" w:ascii="新細明體" w:hAnsi="新細明體" w:cs="新細明體"/>
                <w:kern w:val="0"/>
              </w:rPr>
              <w:t>球</w:t>
            </w:r>
          </w:p>
        </w:tc>
        <w:tc>
          <w:tcPr>
            <w:tcW w:w="6990" w:type="dxa"/>
          </w:tcPr>
          <w:p>
            <w:pPr>
              <w:widowControl/>
              <w:jc w:val="both"/>
              <w:rPr>
                <w:rFonts w:hint="eastAsia" w:ascii="新細明體" w:cs="新細明體"/>
                <w:kern w:val="0"/>
              </w:rPr>
            </w:pPr>
            <w:r>
              <w:rPr>
                <w:rFonts w:hint="eastAsia" w:ascii="新細明體" w:cs="新細明體"/>
                <w:kern w:val="0"/>
                <w:lang w:val="en-US" w:eastAsia="zh-TW"/>
              </w:rPr>
              <w:t>羽球能力測驗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2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第十七週 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彈性教學週</w:t>
            </w:r>
          </w:p>
        </w:tc>
        <w:tc>
          <w:tcPr>
            <w:tcW w:w="6990" w:type="dxa"/>
          </w:tcPr>
          <w:p>
            <w:pPr>
              <w:widowControl/>
              <w:jc w:val="both"/>
              <w:rPr>
                <w:rFonts w:ascii="新細明體" w:cs="新細明體"/>
                <w:kern w:val="0"/>
              </w:rPr>
            </w:pPr>
            <w:r>
              <w:rPr>
                <w:rFonts w:hint="eastAsia" w:ascii="新細明體" w:cs="新細明體"/>
                <w:kern w:val="0"/>
              </w:rPr>
              <w:t>跨域自主學習模式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2" w:type="dxa"/>
          </w:tcPr>
          <w:p>
            <w:r>
              <w:rPr>
                <w:rFonts w:hint="eastAsia" w:ascii="新細明體" w:hAnsi="新細明體" w:cs="新細明體"/>
                <w:kern w:val="0"/>
              </w:rPr>
              <w:t xml:space="preserve">第十八週  </w:t>
            </w:r>
            <w:r>
              <w:rPr>
                <w:rFonts w:hint="eastAsia" w:ascii="新細明體" w:hAnsi="新細明體" w:cs="新細明體"/>
                <w:kern w:val="0"/>
                <w:lang w:eastAsia="zh-TW"/>
              </w:rPr>
              <w:t>彈性教學週</w:t>
            </w:r>
          </w:p>
        </w:tc>
        <w:tc>
          <w:tcPr>
            <w:tcW w:w="6990" w:type="dxa"/>
          </w:tcPr>
          <w:p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>跨域自主學習模式</w:t>
            </w:r>
            <w:bookmarkStart w:id="0" w:name="_GoBack"/>
            <w:bookmarkEnd w:id="0"/>
          </w:p>
        </w:tc>
      </w:tr>
    </w:tbl>
    <w:p>
      <w:pPr>
        <w:widowControl/>
        <w:jc w:val="center"/>
        <w:rPr>
          <w:rFonts w:ascii="新細明體" w:hAnsi="新細明體" w:cs="新細明體"/>
          <w:kern w:val="0"/>
        </w:rPr>
      </w:pPr>
    </w:p>
    <w:p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Style w:val="7"/>
        <w:tblW w:w="9627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96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6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1. 教材編選：自編教材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25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tblCellSpacing w:w="0" w:type="dxa"/>
          <w:jc w:val="center"/>
        </w:trPr>
        <w:tc>
          <w:tcPr>
            <w:tcW w:w="96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26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27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7" w:hRule="atLeast"/>
          <w:tblCellSpacing w:w="0" w:type="dxa"/>
          <w:jc w:val="center"/>
        </w:trPr>
        <w:tc>
          <w:tcPr>
            <w:tcW w:w="96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28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>上課點名 4</w:t>
            </w:r>
            <w:r>
              <w:rPr>
                <w:rFonts w:hint="eastAsia" w:ascii="新細明體" w:hAnsi="新細明體" w:cs="新細明體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29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hint="eastAsia" w:ascii="新細明體" w:hAnsi="新細明體" w:cs="新細明體"/>
                <w:kern w:val="0"/>
              </w:rPr>
              <w:t>10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0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1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>
            <w:pPr>
              <w:widowControl/>
              <w:ind w:firstLine="1560" w:firstLineChars="65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>
                <v:shape id="_x0000_i1032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3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專案 0%,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4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>
              <w:rPr>
                <w:rFonts w:hint="eastAsia" w:ascii="新細明體" w:hAnsi="新細明體" w:cs="新細明體"/>
                <w:kern w:val="0"/>
              </w:rPr>
              <w:t>30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5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>
              <w:rPr>
                <w:rFonts w:hint="eastAsia" w:ascii="新細明體" w:hAnsi="新細明體" w:cs="新細明體"/>
                <w:kern w:val="0"/>
              </w:rPr>
              <w:t>30%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</w:p>
          <w:p>
            <w:pPr>
              <w:widowControl/>
              <w:ind w:left="5191" w:leftChars="650" w:hanging="3631" w:hangingChars="1513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>
                <v:shape id="_x0000_i1036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>期末報告 0%,</w:t>
            </w:r>
            <w:r>
              <w:rPr>
                <w:rFonts w:hint="eastAsia"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7" o:spt="201" type="#_x0000_t201" style="height:18pt;width:18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CheckBox1" w:shapeid="_x0000_i1037"/>
              </w:object>
            </w:r>
            <w:r>
              <w:rPr>
                <w:rFonts w:hint="eastAsia"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其它 </w:t>
            </w:r>
            <w:r>
              <w:rPr>
                <w:rFonts w:hint="eastAsia" w:ascii="新細明體" w:hAnsi="新細明體" w:cs="新細明體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tblCellSpacing w:w="0" w:type="dxa"/>
          <w:jc w:val="center"/>
        </w:trPr>
        <w:tc>
          <w:tcPr>
            <w:tcW w:w="96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8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39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>
                <v:shape id="_x0000_i1040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96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5. 教學相關配合事項：</w:t>
            </w:r>
          </w:p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   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hint="eastAsia" w:ascii="新細明體" w:hAnsi="新細明體" w:cs="新細明體"/>
                <w:kern w:val="0"/>
              </w:rPr>
              <w:t>a. 上課學習態度參與情形，術科缺考或缺課次數超過三次，成績不予通過</w:t>
            </w:r>
          </w:p>
          <w:p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 w:ascii="新細明體" w:hAnsi="新細明體" w:cs="新細明體"/>
                <w:kern w:val="0"/>
              </w:rPr>
              <w:t xml:space="preserve">   </w:t>
            </w:r>
          </w:p>
          <w:p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>
      <w:pPr>
        <w:widowControl/>
        <w:jc w:val="center"/>
        <w:rPr>
          <w:rFonts w:ascii="新細明體" w:hAnsi="新細明體" w:cs="新細明體"/>
          <w:kern w:val="0"/>
        </w:rPr>
      </w:pPr>
    </w:p>
    <w:p>
      <w:pPr>
        <w:widowControl/>
        <w:shd w:val="clear" w:color="auto" w:fill="FFFFFF"/>
        <w:spacing w:line="500" w:lineRule="atLeast"/>
        <w:rPr>
          <w:rFonts w:ascii="新細明體" w:hAnsi="新細明體" w:cs="新細明體"/>
          <w:color w:val="000000"/>
          <w:kern w:val="0"/>
        </w:rPr>
      </w:pPr>
      <w:r>
        <w:rPr>
          <w:rFonts w:hint="eastAsia"/>
        </w:rPr>
        <w:t xml:space="preserve">     </w:t>
      </w:r>
      <w:r>
        <w:rPr>
          <w:rFonts w:hint="eastAsia" w:ascii="新細明體" w:hAnsi="新細明體" w:cs="新細明體"/>
          <w:color w:val="000000"/>
          <w:kern w:val="0"/>
        </w:rPr>
        <w:t>核心能力：</w:t>
      </w:r>
    </w:p>
    <w:p>
      <w:pPr>
        <w:widowControl/>
        <w:shd w:val="clear" w:color="auto" w:fill="FFFFFF"/>
        <w:spacing w:line="500" w:lineRule="atLeast"/>
        <w:rPr>
          <w:rFonts w:ascii="新細明體" w:hAnsi="新細明體" w:cs="新細明體"/>
          <w:color w:val="000000"/>
          <w:kern w:val="0"/>
        </w:rPr>
      </w:pPr>
      <w:r>
        <w:rPr>
          <w:rFonts w:hint="eastAsia" w:ascii="新細明體" w:hAnsi="新細明體" w:cs="新細明體"/>
          <w:color w:val="000000"/>
          <w:kern w:val="0"/>
        </w:rPr>
        <w:t>1健康體能及身心整體發展，建立良好健康體適能。</w:t>
      </w:r>
    </w:p>
    <w:p>
      <w:pPr>
        <w:widowControl/>
        <w:shd w:val="clear" w:color="auto" w:fill="FFFFFF"/>
        <w:spacing w:line="500" w:lineRule="atLeast"/>
        <w:rPr>
          <w:rFonts w:ascii="新細明體" w:hAnsi="新細明體" w:cs="新細明體"/>
          <w:color w:val="000000"/>
          <w:kern w:val="0"/>
        </w:rPr>
      </w:pPr>
      <w:r>
        <w:rPr>
          <w:rFonts w:hint="eastAsia" w:ascii="新細明體" w:hAnsi="新細明體" w:cs="新細明體"/>
          <w:color w:val="000000"/>
          <w:kern w:val="0"/>
        </w:rPr>
        <w:t>2基本運動能力培養。</w:t>
      </w:r>
    </w:p>
    <w:p>
      <w:pPr>
        <w:widowControl/>
        <w:shd w:val="clear" w:color="auto" w:fill="FFFFFF"/>
        <w:spacing w:line="500" w:lineRule="atLeast"/>
        <w:rPr>
          <w:rFonts w:ascii="新細明體" w:hAnsi="新細明體" w:cs="新細明體"/>
          <w:color w:val="000000"/>
          <w:kern w:val="0"/>
        </w:rPr>
      </w:pPr>
      <w:r>
        <w:rPr>
          <w:rFonts w:hint="eastAsia" w:ascii="新細明體" w:hAnsi="新細明體" w:cs="新細明體"/>
          <w:color w:val="000000"/>
          <w:kern w:val="0"/>
        </w:rPr>
        <w:t>3熟練專項技術，培養專項運動能力。</w:t>
      </w:r>
    </w:p>
    <w:p>
      <w:pPr>
        <w:widowControl/>
        <w:shd w:val="clear" w:color="auto" w:fill="FFFFFF"/>
        <w:spacing w:line="500" w:lineRule="atLeast"/>
        <w:rPr>
          <w:rFonts w:ascii="新細明體" w:hAnsi="新細明體" w:cs="新細明體"/>
          <w:color w:val="000000"/>
          <w:kern w:val="0"/>
        </w:rPr>
      </w:pPr>
      <w:r>
        <w:rPr>
          <w:rFonts w:hint="eastAsia" w:ascii="新細明體" w:hAnsi="新細明體" w:cs="新細明體"/>
          <w:color w:val="000000"/>
          <w:kern w:val="0"/>
        </w:rPr>
        <w:t>4培養終身運動習慣，增進多元化的運動參與。</w:t>
      </w:r>
    </w:p>
    <w:p>
      <w:pPr>
        <w:rPr>
          <w:rFonts w:ascii="新細明體" w:hAnsi="新細明體" w:cs="新細明體"/>
          <w:color w:val="000000"/>
          <w:kern w:val="0"/>
        </w:rPr>
      </w:pPr>
      <w:r>
        <w:rPr>
          <w:rFonts w:hint="eastAsia" w:ascii="新細明體" w:hAnsi="新細明體" w:cs="新細明體"/>
          <w:color w:val="000000"/>
          <w:kern w:val="0"/>
        </w:rPr>
        <w:t>5健康體能及身心整體發展，培養運動能力及建立良好健康體適能。</w:t>
      </w:r>
    </w:p>
    <w:p>
      <w:pPr>
        <w:rPr>
          <w:rFonts w:ascii="新細明體" w:hAnsi="新細明體" w:cs="新細明體"/>
          <w:color w:val="000000"/>
          <w:kern w:val="0"/>
        </w:rPr>
      </w:pPr>
    </w:p>
    <w:p>
      <w:pPr>
        <w:rPr>
          <w:rFonts w:ascii="新細明體" w:hAnsi="新細明體" w:cs="新細明體"/>
          <w:color w:val="000000"/>
          <w:kern w:val="0"/>
        </w:rPr>
      </w:pPr>
    </w:p>
    <w:p>
      <w:pPr>
        <w:rPr>
          <w:rFonts w:ascii="新細明體" w:hAnsi="新細明體" w:cs="新細明體"/>
          <w:color w:val="000000"/>
          <w:kern w:val="0"/>
        </w:rPr>
      </w:pPr>
    </w:p>
    <w:p>
      <w:pPr>
        <w:rPr>
          <w:rFonts w:ascii="新細明體" w:hAnsi="新細明體" w:cs="新細明體"/>
          <w:color w:val="000000"/>
          <w:kern w:val="0"/>
        </w:rPr>
      </w:pPr>
    </w:p>
    <w:p>
      <w:pPr>
        <w:rPr>
          <w:rFonts w:ascii="新細明體" w:hAnsi="新細明體" w:cs="新細明體"/>
          <w:color w:val="000000"/>
          <w:kern w:val="0"/>
        </w:rPr>
      </w:pPr>
    </w:p>
    <w:p>
      <w:pPr>
        <w:rPr>
          <w:rFonts w:ascii="新細明體" w:hAnsi="新細明體" w:cs="新細明體"/>
          <w:color w:val="000000"/>
          <w:kern w:val="0"/>
        </w:rPr>
      </w:pPr>
    </w:p>
    <w:sectPr>
      <w:footerReference r:id="rId3" w:type="default"/>
      <w:footerReference r:id="rId4" w:type="even"/>
      <w:pgSz w:w="11906" w:h="16838"/>
      <w:pgMar w:top="284" w:right="567" w:bottom="567" w:left="56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A"/>
    <w:rsid w:val="00017B78"/>
    <w:rsid w:val="00027250"/>
    <w:rsid w:val="00067A34"/>
    <w:rsid w:val="0008361C"/>
    <w:rsid w:val="000A279A"/>
    <w:rsid w:val="00101E63"/>
    <w:rsid w:val="001811FB"/>
    <w:rsid w:val="0027727E"/>
    <w:rsid w:val="0035633B"/>
    <w:rsid w:val="00370987"/>
    <w:rsid w:val="0037335C"/>
    <w:rsid w:val="003765FA"/>
    <w:rsid w:val="00387BBF"/>
    <w:rsid w:val="003C5CC2"/>
    <w:rsid w:val="00416FE7"/>
    <w:rsid w:val="00484C70"/>
    <w:rsid w:val="00484EC2"/>
    <w:rsid w:val="004F73AB"/>
    <w:rsid w:val="0051215E"/>
    <w:rsid w:val="00514A38"/>
    <w:rsid w:val="00547F82"/>
    <w:rsid w:val="00581533"/>
    <w:rsid w:val="00584E13"/>
    <w:rsid w:val="0058546F"/>
    <w:rsid w:val="005F659A"/>
    <w:rsid w:val="006A60C6"/>
    <w:rsid w:val="006B7251"/>
    <w:rsid w:val="006C469B"/>
    <w:rsid w:val="006F365B"/>
    <w:rsid w:val="00782245"/>
    <w:rsid w:val="007A43A0"/>
    <w:rsid w:val="007C75BD"/>
    <w:rsid w:val="00813064"/>
    <w:rsid w:val="008B1ADB"/>
    <w:rsid w:val="00902868"/>
    <w:rsid w:val="009028C7"/>
    <w:rsid w:val="00933E81"/>
    <w:rsid w:val="00946CF5"/>
    <w:rsid w:val="009A36AA"/>
    <w:rsid w:val="009D3A59"/>
    <w:rsid w:val="00A773F3"/>
    <w:rsid w:val="00AE7305"/>
    <w:rsid w:val="00B77735"/>
    <w:rsid w:val="00C52649"/>
    <w:rsid w:val="00C67F9A"/>
    <w:rsid w:val="00C70C60"/>
    <w:rsid w:val="00CB7BB1"/>
    <w:rsid w:val="00D4181F"/>
    <w:rsid w:val="00D556FE"/>
    <w:rsid w:val="00D71D93"/>
    <w:rsid w:val="00D75A0E"/>
    <w:rsid w:val="00D8424B"/>
    <w:rsid w:val="00DB1C29"/>
    <w:rsid w:val="00E10921"/>
    <w:rsid w:val="00E479A1"/>
    <w:rsid w:val="00E92A9B"/>
    <w:rsid w:val="00EA6A0A"/>
    <w:rsid w:val="00EB77B1"/>
    <w:rsid w:val="00F06A82"/>
    <w:rsid w:val="00F2697A"/>
    <w:rsid w:val="00F43F36"/>
    <w:rsid w:val="00F861A8"/>
    <w:rsid w:val="00F96A4E"/>
    <w:rsid w:val="00FB57EC"/>
    <w:rsid w:val="00FE20E6"/>
    <w:rsid w:val="329D28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zh-CN" w:eastAsia="zh-CN"/>
    </w:rPr>
  </w:style>
  <w:style w:type="paragraph" w:styleId="3">
    <w:name w:val="HTML Preformatted"/>
    <w:basedOn w:val="1"/>
    <w:link w:val="12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hAnsi="細明體" w:eastAsia="細明體"/>
      <w:kern w:val="0"/>
      <w:lang w:val="zh-CN" w:eastAsia="zh-CN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zh-CN" w:eastAsia="zh-CN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4"/>
    <w:uiPriority w:val="0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页眉 Char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paragraph" w:customStyle="1" w:styleId="11">
    <w:name w:val="List Paragraph"/>
    <w:basedOn w:val="1"/>
    <w:qFormat/>
    <w:uiPriority w:val="34"/>
    <w:pPr>
      <w:ind w:left="480" w:leftChars="200"/>
    </w:pPr>
  </w:style>
  <w:style w:type="character" w:customStyle="1" w:styleId="12">
    <w:name w:val="HTML 预设格式 Char"/>
    <w:link w:val="3"/>
    <w:uiPriority w:val="0"/>
    <w:rPr>
      <w:rFonts w:ascii="細明體" w:hAnsi="細明體" w:eastAsia="細明體" w:cs="細明體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1.xml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1373</Characters>
  <Lines>11</Lines>
  <Paragraphs>3</Paragraphs>
  <TotalTime>0</TotalTime>
  <ScaleCrop>false</ScaleCrop>
  <LinksUpToDate>false</LinksUpToDate>
  <CharactersWithSpaces>1610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2019-12-21T13:07:00Z</dcterms:created>
  <dc:creator>user</dc:creator>
  <cp:lastModifiedBy>user</cp:lastModifiedBy>
  <cp:lastPrinted>2012-06-05T05:43:00Z</cp:lastPrinted>
  <dcterms:modified xsi:type="dcterms:W3CDTF">2024-02-16T03:51:10Z</dcterms:modified>
  <dc:title>國立中正大學    課程大綱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