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390B580" w:rsidR="002023EC" w:rsidRPr="001C052A" w:rsidRDefault="00CA65E3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CA65E3">
              <w:rPr>
                <w:rFonts w:eastAsia="微軟正黑體"/>
              </w:rPr>
              <w:t>114_2_6055546_01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B674C59" w:rsidR="002023EC" w:rsidRPr="00AA5F4C" w:rsidRDefault="004E4076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Pr="00CA65E3">
              <w:rPr>
                <w:rFonts w:ascii="新細明體" w:hAnsi="新細明體"/>
                <w:b/>
                <w:highlight w:val="black"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CA65E3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770BE97" w:rsidR="002023EC" w:rsidRPr="00CA65E3" w:rsidRDefault="00CA65E3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CA65E3">
              <w:rPr>
                <w:rFonts w:ascii="Times New Roman" w:eastAsia="微軟正黑體" w:hAnsi="Times New Roman"/>
              </w:rPr>
              <w:t>公法理論與實務專題研究（四）</w:t>
            </w:r>
            <w:r w:rsidRPr="00CA65E3">
              <w:rPr>
                <w:rFonts w:ascii="Times New Roman" w:eastAsia="微軟正黑體" w:hAnsi="Times New Roman"/>
              </w:rPr>
              <w:t>-</w:t>
            </w:r>
            <w:r w:rsidRPr="00CA65E3">
              <w:rPr>
                <w:rFonts w:ascii="Times New Roman" w:eastAsia="微軟正黑體" w:hAnsi="Times New Roman"/>
              </w:rPr>
              <w:t>憲法與行政法之整合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F20F091" w:rsidR="002023EC" w:rsidRPr="00F66AEE" w:rsidRDefault="00CA65E3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 w:hint="eastAsia"/>
                <w:lang w:eastAsia="zh-TW"/>
              </w:rPr>
            </w:pPr>
            <w:r w:rsidRPr="00CA65E3">
              <w:rPr>
                <w:rFonts w:ascii="Times New Roman" w:eastAsia="微軟正黑體" w:hAnsi="Times New Roman"/>
              </w:rPr>
              <w:t xml:space="preserve">Seminar on the Public Law of Theories and Practices(Ⅳ) </w:t>
            </w:r>
            <w:r w:rsidRPr="00CA65E3">
              <w:rPr>
                <w:rFonts w:ascii="Times New Roman" w:eastAsia="微軟正黑體" w:hAnsi="Times New Roman"/>
              </w:rPr>
              <w:t>－</w:t>
            </w:r>
            <w:r w:rsidRPr="00CA65E3">
              <w:rPr>
                <w:rFonts w:ascii="Times New Roman" w:eastAsia="微軟正黑體" w:hAnsi="Times New Roman"/>
              </w:rPr>
              <w:t>The Integration of Constitutional Law and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9500444" w:rsidR="002023EC" w:rsidRPr="00A5210C" w:rsidRDefault="00CA65E3" w:rsidP="001B56F5">
            <w:pPr>
              <w:spacing w:before="0" w:beforeAutospacing="0" w:line="320" w:lineRule="exact"/>
              <w:rPr>
                <w:rFonts w:ascii="微軟正黑體" w:eastAsia="微軟正黑體" w:hAnsi="微軟正黑體" w:hint="eastAsia"/>
                <w:lang w:eastAsia="zh-TW"/>
              </w:rPr>
            </w:pPr>
            <w:r w:rsidRPr="00CA65E3">
              <w:rPr>
                <w:rFonts w:ascii="微軟正黑體" w:eastAsia="微軟正黑體" w:hAnsi="微軟正黑體"/>
                <w:lang w:eastAsia="zh-TW"/>
              </w:rPr>
              <w:t>114學年下學期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4AD7337" w:rsidR="002023EC" w:rsidRPr="001C052A" w:rsidRDefault="00CA65E3" w:rsidP="002F18F8">
            <w:pPr>
              <w:spacing w:line="320" w:lineRule="exact"/>
              <w:ind w:firstLineChars="50" w:firstLine="12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96C4E0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A65E3">
              <w:rPr>
                <w:rFonts w:ascii="微軟正黑體" w:eastAsia="微軟正黑體" w:hAnsi="微軟正黑體" w:hint="eastAsia"/>
                <w:lang w:eastAsia="zh-TW"/>
              </w:rPr>
              <w:t>法律所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ED86998" w:rsidR="002023EC" w:rsidRPr="007B34D7" w:rsidRDefault="00977AA8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Pr="00CA65E3">
              <w:rPr>
                <w:rFonts w:ascii="新細明體" w:hAnsi="新細明體"/>
                <w:b/>
                <w:highlight w:val="black"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50011B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A65E3" w:rsidRPr="00CA65E3">
              <w:rPr>
                <w:rFonts w:ascii="微軟正黑體" w:eastAsia="微軟正黑體" w:hAnsi="微軟正黑體"/>
              </w:rPr>
              <w:t>週三 4,5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0FF9B75" w:rsidR="002023EC" w:rsidRDefault="00CA65E3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CA65E3">
              <w:rPr>
                <w:rFonts w:eastAsia="微軟正黑體"/>
              </w:rPr>
              <w:t>法學院</w:t>
            </w:r>
            <w:r w:rsidRPr="00CA65E3">
              <w:rPr>
                <w:rFonts w:eastAsia="微軟正黑體"/>
              </w:rPr>
              <w:t>508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7EE89B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 w:hint="eastAsia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A65E3">
              <w:rPr>
                <w:rFonts w:ascii="Arial" w:hAnsi="Arial" w:cs="Arial"/>
                <w:color w:val="1D2125"/>
                <w:shd w:val="clear" w:color="auto" w:fill="FFFFFF"/>
              </w:rPr>
              <w:t>李仁淼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8741CB" w:rsidR="002023EC" w:rsidRPr="001C052A" w:rsidRDefault="00CA65E3" w:rsidP="002F18F8">
            <w:pPr>
              <w:spacing w:line="320" w:lineRule="exact"/>
              <w:rPr>
                <w:rFonts w:eastAsia="微軟正黑體" w:hint="eastAsia"/>
              </w:rPr>
            </w:pPr>
            <w:r w:rsidRPr="00CA65E3">
              <w:rPr>
                <w:rFonts w:eastAsia="微軟正黑體"/>
              </w:rPr>
              <w:t>lawrml@ccu.edu.tw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427F70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 w:hint="eastAsia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70378">
              <w:rPr>
                <w:rFonts w:ascii="微軟正黑體" w:eastAsia="微軟正黑體" w:hAnsi="微軟正黑體" w:hint="eastAsia"/>
              </w:rPr>
              <w:t>待訂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6C9153D6" w:rsidR="002023EC" w:rsidRPr="001C052A" w:rsidRDefault="00470378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ascii="微軟正黑體" w:eastAsia="微軟正黑體" w:hAnsi="微軟正黑體" w:hint="eastAsia"/>
              </w:rPr>
              <w:t>待訂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41F1B1B7" w:rsidR="002023EC" w:rsidRPr="001C052A" w:rsidRDefault="00CA65E3" w:rsidP="00CA65E3">
            <w:pPr>
              <w:spacing w:before="0" w:beforeAutospacing="0" w:line="320" w:lineRule="exact"/>
              <w:rPr>
                <w:rFonts w:eastAsia="微軟正黑體" w:hint="eastAsia"/>
              </w:rPr>
            </w:pPr>
            <w:r>
              <w:rPr>
                <w:rFonts w:eastAsia="微軟正黑體" w:hint="eastAsia"/>
              </w:rPr>
              <w:t>憲法、行政法基礎知識。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 w:hint="eastAsia"/>
                <w:lang w:eastAsia="zh-TW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1670B2" w14:textId="77777777" w:rsidR="002023EC" w:rsidRDefault="00470378" w:rsidP="00470378">
            <w:pPr>
              <w:spacing w:before="0" w:beforeAutospacing="0" w:line="320" w:lineRule="exact"/>
              <w:ind w:leftChars="334" w:left="802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透過進行個案分析研究、理解行政法學說理論及實務動向。</w:t>
            </w:r>
            <w:r>
              <w:rPr>
                <w:rFonts w:eastAsia="微軟正黑體"/>
              </w:rPr>
              <w:br/>
            </w:r>
            <w:r>
              <w:rPr>
                <w:rFonts w:eastAsia="微軟正黑體" w:hint="eastAsia"/>
                <w:lang w:eastAsia="zh-TW"/>
              </w:rPr>
              <w:t>故與課同學需完成專題報告</w:t>
            </w:r>
            <w:r>
              <w:rPr>
                <w:rFonts w:eastAsia="微軟正黑體" w:hint="eastAsia"/>
                <w:lang w:eastAsia="zh-TW"/>
              </w:rPr>
              <w:t xml:space="preserve"> </w:t>
            </w:r>
            <w:r>
              <w:rPr>
                <w:rFonts w:eastAsia="微軟正黑體" w:hint="eastAsia"/>
                <w:lang w:eastAsia="zh-TW"/>
              </w:rPr>
              <w:t>乙份，並且於上課討論後修正報告。</w:t>
            </w:r>
          </w:p>
          <w:p w14:paraId="414924B5" w14:textId="3FDDB923" w:rsidR="00470378" w:rsidRPr="001C052A" w:rsidRDefault="00470378" w:rsidP="00470378">
            <w:pPr>
              <w:spacing w:before="0" w:beforeAutospacing="0" w:line="320" w:lineRule="exact"/>
              <w:ind w:leftChars="334" w:left="802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報告題目由教師提供。</w:t>
            </w: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0630F7" w:rsidRPr="005053E3" w:rsidRDefault="000630F7" w:rsidP="000630F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480840D1" w:rsidR="000630F7" w:rsidRPr="00B836C3" w:rsidRDefault="00CA65E3" w:rsidP="000630F7">
            <w:pPr>
              <w:pStyle w:val="a5"/>
              <w:spacing w:before="0" w:beforeAutospacing="0"/>
              <w:ind w:leftChars="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</w:rPr>
              <w:t>透過進行個案分析研究、理解行政法學說理論及實務動向。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4E05F5" w14:textId="77777777" w:rsidR="00CA65E3" w:rsidRPr="00CA65E3" w:rsidRDefault="00CA65E3" w:rsidP="00CA65E3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CA65E3">
              <w:rPr>
                <w:rFonts w:eastAsia="微軟正黑體"/>
              </w:rPr>
              <w:t>1.</w:t>
            </w:r>
            <w:r w:rsidRPr="00CA65E3">
              <w:rPr>
                <w:rFonts w:eastAsia="微軟正黑體"/>
              </w:rPr>
              <w:t>李仁淼，教育法與教育人權</w:t>
            </w:r>
            <w:r w:rsidRPr="00CA65E3">
              <w:rPr>
                <w:rFonts w:eastAsia="微軟正黑體"/>
              </w:rPr>
              <w:t>2</w:t>
            </w:r>
            <w:r w:rsidRPr="00CA65E3">
              <w:rPr>
                <w:rFonts w:eastAsia="微軟正黑體"/>
              </w:rPr>
              <w:t>版，元照，</w:t>
            </w:r>
            <w:r w:rsidRPr="00CA65E3">
              <w:rPr>
                <w:rFonts w:eastAsia="微軟正黑體"/>
              </w:rPr>
              <w:t xml:space="preserve">2020 </w:t>
            </w:r>
            <w:r w:rsidRPr="00CA65E3">
              <w:rPr>
                <w:rFonts w:eastAsia="微軟正黑體"/>
              </w:rPr>
              <w:t>年</w:t>
            </w:r>
          </w:p>
          <w:p w14:paraId="23475688" w14:textId="77777777" w:rsidR="00CA65E3" w:rsidRPr="00CA65E3" w:rsidRDefault="00CA65E3" w:rsidP="00CA65E3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CA65E3">
              <w:rPr>
                <w:rFonts w:eastAsia="微軟正黑體"/>
              </w:rPr>
              <w:t>2.</w:t>
            </w:r>
            <w:r w:rsidRPr="00CA65E3">
              <w:rPr>
                <w:rFonts w:eastAsia="微軟正黑體"/>
              </w:rPr>
              <w:t>李仁淼等編著，行政行為的司法審查，元照，</w:t>
            </w:r>
            <w:r w:rsidRPr="00CA65E3">
              <w:rPr>
                <w:rFonts w:eastAsia="微軟正黑體"/>
              </w:rPr>
              <w:t>2018</w:t>
            </w:r>
          </w:p>
          <w:p w14:paraId="02CF60AC" w14:textId="77777777" w:rsidR="00CA65E3" w:rsidRPr="00CA65E3" w:rsidRDefault="00CA65E3" w:rsidP="00CA65E3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CA65E3">
              <w:rPr>
                <w:rFonts w:eastAsia="微軟正黑體"/>
              </w:rPr>
              <w:t>3.</w:t>
            </w:r>
            <w:r w:rsidRPr="00CA65E3">
              <w:rPr>
                <w:rFonts w:eastAsia="微軟正黑體"/>
              </w:rPr>
              <w:t>李仁淼，與本課程研討有關之論文</w:t>
            </w:r>
            <w:r w:rsidRPr="00CA65E3">
              <w:rPr>
                <w:rFonts w:eastAsia="微軟正黑體"/>
              </w:rPr>
              <w:t xml:space="preserve"> (</w:t>
            </w:r>
            <w:r w:rsidRPr="00CA65E3">
              <w:rPr>
                <w:rFonts w:eastAsia="微軟正黑體"/>
              </w:rPr>
              <w:t>發表於月旦法學雜誌、元旦法學</w:t>
            </w:r>
            <w:r w:rsidRPr="00CA65E3">
              <w:rPr>
                <w:rFonts w:eastAsia="微軟正黑體"/>
              </w:rPr>
              <w:t xml:space="preserve"> </w:t>
            </w:r>
          </w:p>
          <w:p w14:paraId="68BC61FA" w14:textId="77777777" w:rsidR="00CA65E3" w:rsidRPr="00CA65E3" w:rsidRDefault="00CA65E3" w:rsidP="00CA65E3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CA65E3">
              <w:rPr>
                <w:rFonts w:eastAsia="微軟正黑體"/>
              </w:rPr>
              <w:t xml:space="preserve">  </w:t>
            </w:r>
            <w:r w:rsidRPr="00CA65E3">
              <w:rPr>
                <w:rFonts w:eastAsia="微軟正黑體"/>
              </w:rPr>
              <w:t>教室、教育法學評論等期刊</w:t>
            </w:r>
            <w:r w:rsidRPr="00CA65E3">
              <w:rPr>
                <w:rFonts w:eastAsia="微軟正黑體"/>
              </w:rPr>
              <w:t>)</w:t>
            </w:r>
          </w:p>
          <w:p w14:paraId="1E079635" w14:textId="77777777" w:rsidR="00CA65E3" w:rsidRPr="00CA65E3" w:rsidRDefault="00CA65E3" w:rsidP="00CA65E3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CA65E3">
              <w:rPr>
                <w:rFonts w:eastAsia="微軟正黑體"/>
              </w:rPr>
              <w:t>4.</w:t>
            </w:r>
            <w:r w:rsidRPr="00CA65E3">
              <w:rPr>
                <w:rFonts w:eastAsia="微軟正黑體"/>
              </w:rPr>
              <w:t>陳新民，憲法學釋論</w:t>
            </w:r>
            <w:r w:rsidRPr="00CA65E3">
              <w:rPr>
                <w:rFonts w:eastAsia="微軟正黑體"/>
              </w:rPr>
              <w:t xml:space="preserve"> 9 </w:t>
            </w:r>
            <w:r w:rsidRPr="00CA65E3">
              <w:rPr>
                <w:rFonts w:eastAsia="微軟正黑體"/>
              </w:rPr>
              <w:t>版，作者自版，</w:t>
            </w:r>
            <w:r w:rsidRPr="00CA65E3">
              <w:rPr>
                <w:rFonts w:eastAsia="微軟正黑體"/>
              </w:rPr>
              <w:t xml:space="preserve">2018 </w:t>
            </w:r>
            <w:r w:rsidRPr="00CA65E3">
              <w:rPr>
                <w:rFonts w:eastAsia="微軟正黑體"/>
              </w:rPr>
              <w:t>年</w:t>
            </w:r>
          </w:p>
          <w:p w14:paraId="241A2654" w14:textId="77777777" w:rsidR="00CA65E3" w:rsidRPr="00CA65E3" w:rsidRDefault="00CA65E3" w:rsidP="00CA65E3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CA65E3">
              <w:rPr>
                <w:rFonts w:eastAsia="微軟正黑體"/>
              </w:rPr>
              <w:lastRenderedPageBreak/>
              <w:t>5.</w:t>
            </w:r>
            <w:r w:rsidRPr="00CA65E3">
              <w:rPr>
                <w:rFonts w:eastAsia="微軟正黑體"/>
              </w:rPr>
              <w:t>許志雄，人權論－現代與近代的交會，元照，</w:t>
            </w:r>
            <w:r w:rsidRPr="00CA65E3">
              <w:rPr>
                <w:rFonts w:eastAsia="微軟正黑體"/>
              </w:rPr>
              <w:t xml:space="preserve">2016 </w:t>
            </w:r>
            <w:r w:rsidRPr="00CA65E3">
              <w:rPr>
                <w:rFonts w:eastAsia="微軟正黑體"/>
              </w:rPr>
              <w:t>年</w:t>
            </w:r>
          </w:p>
          <w:p w14:paraId="1A3D2B67" w14:textId="77777777" w:rsidR="00CA65E3" w:rsidRPr="00CA65E3" w:rsidRDefault="00CA65E3" w:rsidP="00CA65E3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CA65E3">
              <w:rPr>
                <w:rFonts w:eastAsia="微軟正黑體"/>
              </w:rPr>
              <w:t>6.</w:t>
            </w:r>
            <w:r w:rsidRPr="00CA65E3">
              <w:rPr>
                <w:rFonts w:eastAsia="微軟正黑體"/>
              </w:rPr>
              <w:t>吳庚</w:t>
            </w:r>
            <w:r w:rsidRPr="00CA65E3">
              <w:rPr>
                <w:rFonts w:eastAsia="微軟正黑體"/>
              </w:rPr>
              <w:t>=</w:t>
            </w:r>
            <w:r w:rsidRPr="00CA65E3">
              <w:rPr>
                <w:rFonts w:eastAsia="微軟正黑體"/>
              </w:rPr>
              <w:t>陳淳文，憲法理論與政府體制，作者自版，</w:t>
            </w:r>
            <w:r w:rsidRPr="00CA65E3">
              <w:rPr>
                <w:rFonts w:eastAsia="微軟正黑體"/>
              </w:rPr>
              <w:t xml:space="preserve">2013 </w:t>
            </w:r>
            <w:r w:rsidRPr="00CA65E3">
              <w:rPr>
                <w:rFonts w:eastAsia="微軟正黑體"/>
              </w:rPr>
              <w:t>年</w:t>
            </w:r>
          </w:p>
          <w:p w14:paraId="37B6BB73" w14:textId="77777777" w:rsidR="00CA65E3" w:rsidRPr="00CA65E3" w:rsidRDefault="00CA65E3" w:rsidP="00CA65E3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CA65E3">
              <w:rPr>
                <w:rFonts w:eastAsia="微軟正黑體"/>
              </w:rPr>
              <w:t>7.</w:t>
            </w:r>
            <w:r w:rsidRPr="00CA65E3">
              <w:rPr>
                <w:rFonts w:eastAsia="微軟正黑體"/>
              </w:rPr>
              <w:t>法治斌</w:t>
            </w:r>
            <w:r w:rsidRPr="00CA65E3">
              <w:rPr>
                <w:rFonts w:eastAsia="微軟正黑體"/>
              </w:rPr>
              <w:t>=</w:t>
            </w:r>
            <w:r w:rsidRPr="00CA65E3">
              <w:rPr>
                <w:rFonts w:eastAsia="微軟正黑體"/>
              </w:rPr>
              <w:t>董保城，憲法新論，元照，</w:t>
            </w:r>
            <w:r w:rsidRPr="00CA65E3">
              <w:rPr>
                <w:rFonts w:eastAsia="微軟正黑體"/>
              </w:rPr>
              <w:t xml:space="preserve">2012 </w:t>
            </w:r>
            <w:r w:rsidRPr="00CA65E3">
              <w:rPr>
                <w:rFonts w:eastAsia="微軟正黑體"/>
              </w:rPr>
              <w:t>年</w:t>
            </w:r>
          </w:p>
          <w:p w14:paraId="78420AFB" w14:textId="77777777" w:rsidR="00CA65E3" w:rsidRPr="00CA65E3" w:rsidRDefault="00CA65E3" w:rsidP="00CA65E3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CA65E3">
              <w:rPr>
                <w:rFonts w:eastAsia="微軟正黑體"/>
              </w:rPr>
              <w:t>8.</w:t>
            </w:r>
            <w:r w:rsidRPr="00CA65E3">
              <w:rPr>
                <w:rFonts w:eastAsia="微軟正黑體"/>
              </w:rPr>
              <w:t>李惠宗，憲法要義，元照，</w:t>
            </w:r>
            <w:r w:rsidRPr="00CA65E3">
              <w:rPr>
                <w:rFonts w:eastAsia="微軟正黑體"/>
              </w:rPr>
              <w:t xml:space="preserve">2012 </w:t>
            </w:r>
            <w:r w:rsidRPr="00CA65E3">
              <w:rPr>
                <w:rFonts w:eastAsia="微軟正黑體"/>
              </w:rPr>
              <w:t>年</w:t>
            </w:r>
          </w:p>
          <w:p w14:paraId="18AC4815" w14:textId="77777777" w:rsidR="00CA65E3" w:rsidRPr="00CA65E3" w:rsidRDefault="00CA65E3" w:rsidP="00CA65E3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  <w:p w14:paraId="2455FBB6" w14:textId="77777777" w:rsidR="00CA65E3" w:rsidRPr="00CA65E3" w:rsidRDefault="00CA65E3" w:rsidP="00CA65E3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CA65E3">
              <w:rPr>
                <w:rFonts w:eastAsia="微軟正黑體"/>
              </w:rPr>
              <w:t>（請尊重智慧財產權，不得非法影印教師指定之教科書籍）</w:t>
            </w:r>
          </w:p>
          <w:p w14:paraId="60AA7F3B" w14:textId="552C58BA" w:rsidR="000630F7" w:rsidRPr="00CA65E3" w:rsidRDefault="000630F7" w:rsidP="000630F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CA65E3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CA65E3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CA65E3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53520936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CA65E3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  <w:r w:rsidR="00CA65E3">
              <w:rPr>
                <w:rFonts w:ascii="微軟正黑體" w:eastAsia="微軟正黑體" w:hAnsi="微軟正黑體" w:hint="eastAsia"/>
                <w:b/>
              </w:rPr>
              <w:t>（口頭＋修正報告）</w:t>
            </w:r>
          </w:p>
          <w:p w14:paraId="24AC2115" w14:textId="557A9B97" w:rsidR="000630F7" w:rsidRPr="006F176E" w:rsidRDefault="000630F7" w:rsidP="000630F7">
            <w:pPr>
              <w:spacing w:line="320" w:lineRule="exact"/>
              <w:ind w:leftChars="0" w:left="0" w:firstLineChars="123" w:firstLine="301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CA65E3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  <w:r w:rsidR="00CA65E3">
              <w:rPr>
                <w:rFonts w:ascii="微軟正黑體" w:eastAsia="微軟正黑體" w:hAnsi="微軟正黑體" w:hint="eastAsia"/>
                <w:b/>
              </w:rPr>
              <w:t>（上課出缺席）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CA65E3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95F3E6" w:rsidR="000630F7" w:rsidRPr="001C052A" w:rsidRDefault="00CA65E3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一、教師專長：憲法、行政法、教育法。</w:t>
            </w:r>
            <w:r>
              <w:rPr>
                <w:rFonts w:eastAsia="微軟正黑體"/>
                <w:lang w:eastAsia="zh-TW"/>
              </w:rPr>
              <w:br/>
            </w: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25F02CED" w:rsidR="000630F7" w:rsidRPr="00CA65E3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 w:hint="eastAsia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  <w:r w:rsidR="00CA65E3">
              <w:rPr>
                <w:rFonts w:ascii="Times New Roman" w:eastAsia="微軟正黑體" w:hAnsi="Times New Roman" w:hint="eastAsia"/>
                <w:b/>
              </w:rPr>
              <w:t>(</w:t>
            </w:r>
            <w:r w:rsidR="00CA65E3">
              <w:rPr>
                <w:rFonts w:ascii="Times New Roman" w:eastAsia="微軟正黑體" w:hAnsi="Times New Roman" w:hint="eastAsia"/>
                <w:b/>
                <w:lang w:eastAsia="zh-TW"/>
              </w:rPr>
              <w:t>開學後會於課堂提供正式版本、以下內容僅供參照</w:t>
            </w:r>
            <w:r w:rsidR="00CA65E3">
              <w:rPr>
                <w:rFonts w:ascii="Times New Roman" w:eastAsia="微軟正黑體" w:hAnsi="Times New Roman" w:hint="eastAsia"/>
                <w:b/>
                <w:lang w:eastAsia="zh-TW"/>
              </w:rPr>
              <w:t>)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194074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CA65E3">
              <w:rPr>
                <w:rFonts w:ascii="Times New Roman" w:eastAsia="微軟正黑體" w:hAnsi="Times New Roman"/>
              </w:rPr>
              <w:t xml:space="preserve"> </w:t>
            </w:r>
            <w:r w:rsidR="00CA65E3">
              <w:rPr>
                <w:rFonts w:ascii="Times New Roman" w:eastAsia="微軟正黑體" w:hAnsi="Times New Roman" w:hint="eastAsia"/>
              </w:rPr>
              <w:t>準備週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50D62F6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CA65E3">
              <w:rPr>
                <w:rFonts w:ascii="Times New Roman" w:eastAsia="微軟正黑體" w:hAnsi="Times New Roman"/>
              </w:rPr>
              <w:t xml:space="preserve"> </w:t>
            </w:r>
            <w:r w:rsidR="00CA65E3">
              <w:rPr>
                <w:rFonts w:ascii="Times New Roman" w:eastAsia="微軟正黑體" w:hAnsi="Times New Roman" w:hint="eastAsia"/>
              </w:rPr>
              <w:t>準備週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E1F47F2" w:rsidR="000630F7" w:rsidRPr="00F66AEE" w:rsidRDefault="000630F7" w:rsidP="00CA65E3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CA65E3" w:rsidRPr="00CA65E3">
              <w:rPr>
                <w:rFonts w:ascii="Times New Roman" w:eastAsia="微軟正黑體" w:hAnsi="Times New Roman"/>
              </w:rPr>
              <w:t>課綱之法律性質</w:t>
            </w:r>
            <w:r w:rsidR="00CA65E3" w:rsidRPr="00CA65E3">
              <w:rPr>
                <w:rFonts w:ascii="Times New Roman" w:eastAsia="微軟正黑體" w:hAnsi="Times New Roman"/>
              </w:rPr>
              <w:t>(</w:t>
            </w:r>
            <w:r w:rsidR="00CA65E3" w:rsidRPr="00CA65E3">
              <w:rPr>
                <w:rFonts w:ascii="Times New Roman" w:eastAsia="微軟正黑體" w:hAnsi="Times New Roman"/>
              </w:rPr>
              <w:t>教育法與教育人權第</w:t>
            </w:r>
            <w:r w:rsidR="00CA65E3" w:rsidRPr="00CA65E3">
              <w:rPr>
                <w:rFonts w:ascii="Times New Roman" w:eastAsia="微軟正黑體" w:hAnsi="Times New Roman"/>
              </w:rPr>
              <w:t>4</w:t>
            </w:r>
            <w:r w:rsidR="00CA65E3" w:rsidRPr="00CA65E3">
              <w:rPr>
                <w:rFonts w:ascii="Times New Roman" w:eastAsia="微軟正黑體" w:hAnsi="Times New Roman"/>
              </w:rPr>
              <w:t>章第</w:t>
            </w:r>
            <w:r w:rsidR="00CA65E3" w:rsidRPr="00CA65E3">
              <w:rPr>
                <w:rFonts w:ascii="Times New Roman" w:eastAsia="微軟正黑體" w:hAnsi="Times New Roman"/>
              </w:rPr>
              <w:t>1</w:t>
            </w:r>
            <w:r w:rsidR="00CA65E3" w:rsidRPr="00CA65E3">
              <w:rPr>
                <w:rFonts w:ascii="Times New Roman" w:eastAsia="微軟正黑體" w:hAnsi="Times New Roman"/>
              </w:rPr>
              <w:t>節</w:t>
            </w:r>
            <w:r w:rsidR="00CA65E3" w:rsidRPr="00CA65E3">
              <w:rPr>
                <w:rFonts w:ascii="Times New Roman" w:eastAsia="微軟正黑體" w:hAnsi="Times New Roman"/>
              </w:rPr>
              <w:t>)</w:t>
            </w:r>
            <w:r w:rsidR="00CA65E3">
              <w:rPr>
                <w:rFonts w:ascii="Times New Roman" w:eastAsia="微軟正黑體" w:hAnsi="Times New Roman"/>
              </w:rPr>
              <w:t>—</w:t>
            </w:r>
            <w:r w:rsidR="00CA65E3" w:rsidRPr="00CA65E3">
              <w:rPr>
                <w:rFonts w:ascii="Times New Roman" w:eastAsia="微軟正黑體" w:hAnsi="Times New Roman" w:hint="eastAsia"/>
              </w:rPr>
              <w:t>北</w:t>
            </w:r>
            <w:r w:rsidR="00CA65E3" w:rsidRPr="00CA65E3">
              <w:rPr>
                <w:rFonts w:ascii="Times New Roman" w:eastAsia="微軟正黑體" w:hAnsi="Times New Roman"/>
              </w:rPr>
              <w:t>高行</w:t>
            </w:r>
            <w:r w:rsidR="00CA65E3" w:rsidRPr="00CA65E3">
              <w:rPr>
                <w:rFonts w:ascii="Times New Roman" w:eastAsia="微軟正黑體" w:hAnsi="Times New Roman"/>
              </w:rPr>
              <w:t>104</w:t>
            </w:r>
            <w:r w:rsidR="00CA65E3" w:rsidRPr="00CA65E3">
              <w:rPr>
                <w:rFonts w:ascii="Times New Roman" w:eastAsia="微軟正黑體" w:hAnsi="Times New Roman"/>
              </w:rPr>
              <w:t>全字第</w:t>
            </w:r>
            <w:r w:rsidR="00CA65E3" w:rsidRPr="00CA65E3">
              <w:rPr>
                <w:rFonts w:ascii="Times New Roman" w:eastAsia="微軟正黑體" w:hAnsi="Times New Roman"/>
              </w:rPr>
              <w:t>66</w:t>
            </w:r>
            <w:r w:rsidR="00CA65E3" w:rsidRPr="00CA65E3">
              <w:rPr>
                <w:rFonts w:ascii="Times New Roman" w:eastAsia="微軟正黑體" w:hAnsi="Times New Roman"/>
              </w:rPr>
              <w:t>號裁定評析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2CEC661" w:rsidR="000630F7" w:rsidRPr="00F66AEE" w:rsidRDefault="000630F7" w:rsidP="00CA65E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CA65E3" w:rsidRPr="00CA65E3">
              <w:rPr>
                <w:rFonts w:ascii="Times New Roman" w:eastAsia="微軟正黑體" w:hAnsi="Times New Roman"/>
              </w:rPr>
              <w:t>我國與日本行政裁量司法審查之比較</w:t>
            </w:r>
            <w:r w:rsidR="00CA65E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CA65E3" w:rsidRPr="00CA65E3">
              <w:rPr>
                <w:rFonts w:ascii="Times New Roman" w:eastAsia="微軟正黑體" w:hAnsi="Times New Roman"/>
              </w:rPr>
              <w:t>(</w:t>
            </w:r>
            <w:r w:rsidR="00CA65E3" w:rsidRPr="00CA65E3">
              <w:rPr>
                <w:rFonts w:ascii="Times New Roman" w:eastAsia="微軟正黑體" w:hAnsi="Times New Roman"/>
              </w:rPr>
              <w:t>謝哲勝、林明鏘、李仁淼主編，行政行為的司法審查第</w:t>
            </w:r>
            <w:r w:rsidR="00CA65E3" w:rsidRPr="00CA65E3">
              <w:rPr>
                <w:rFonts w:ascii="Times New Roman" w:eastAsia="微軟正黑體" w:hAnsi="Times New Roman"/>
              </w:rPr>
              <w:t>4</w:t>
            </w:r>
            <w:r w:rsidR="00CA65E3" w:rsidRPr="00CA65E3">
              <w:rPr>
                <w:rFonts w:ascii="Times New Roman" w:eastAsia="微軟正黑體" w:hAnsi="Times New Roman"/>
              </w:rPr>
              <w:t>章</w:t>
            </w:r>
            <w:r w:rsidR="00CA65E3" w:rsidRPr="00CA65E3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43458A0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名譽毀損與表現自由</w:t>
            </w:r>
            <w:r w:rsidR="00CA65E3">
              <w:rPr>
                <w:rFonts w:ascii="SimSun" w:eastAsia="SimSun" w:hAnsi="SimSun" w:cs="新細明體" w:hint="eastAsia"/>
                <w:color w:val="000000"/>
              </w:rPr>
              <w:t>＋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國內新案例</w:t>
            </w:r>
            <w:r w:rsidR="00CA65E3">
              <w:rPr>
                <w:rFonts w:ascii="新細明體" w:hAnsi="新細明體" w:cs="新細明體" w:hint="eastAsia"/>
                <w:color w:val="000000"/>
                <w:sz w:val="20"/>
              </w:rPr>
              <w:t xml:space="preserve"> (月旦法學雜誌113期)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DA4FDB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CA65E3">
              <w:rPr>
                <w:rFonts w:ascii="Times New Roman" w:eastAsia="微軟正黑體" w:hAnsi="Times New Roman"/>
              </w:rPr>
              <w:t xml:space="preserve"> 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私立學校退場條例草案評析(行政院109.11.19)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883BE61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都市更新與正當程序(釋字709＋裁判時報82期)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39C30EC" w:rsidR="000630F7" w:rsidRPr="00CA65E3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藥害救濟與法律明確性(釋767＋裁判時報82期)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C4386E6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CA65E3">
              <w:rPr>
                <w:rFonts w:ascii="新細明體" w:hAnsi="新細明體" w:cs="新細明體" w:hint="eastAsia"/>
                <w:color w:val="FF0000"/>
              </w:rPr>
              <w:t>期中考試(碩論公開發表)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61E6446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教師之年金改革與法律不溯及原則(釋字783</w:t>
            </w:r>
            <w:r w:rsidR="00CA65E3">
              <w:rPr>
                <w:rFonts w:ascii="SimSun" w:eastAsia="SimSun" w:hAnsi="SimSun" w:cs="新細明體" w:hint="eastAsia"/>
                <w:color w:val="000000"/>
              </w:rPr>
              <w:t>＋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717號)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37A656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大學教師限期升等紛爭((教育法與教育人權第4章第1節)</w:t>
            </w:r>
            <w:r w:rsidR="00CA65E3">
              <w:rPr>
                <w:rFonts w:ascii="新細明體" w:hAnsi="新細明體" w:cs="新細明體" w:hint="eastAsia"/>
                <w:color w:val="000000"/>
                <w:sz w:val="20"/>
              </w:rPr>
              <w:t>最高行105判字550號判決評析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0D71738" w:rsidR="000630F7" w:rsidRPr="00CA65E3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黨政軍退出媒體條款之合憲性</w:t>
            </w:r>
            <w:r w:rsidR="00CA65E3">
              <w:rPr>
                <w:rFonts w:ascii="SimSun" w:eastAsia="SimSun" w:hAnsi="SimSun" w:cs="新細明體" w:hint="eastAsia"/>
                <w:color w:val="000000"/>
              </w:rPr>
              <w:t>－</w:t>
            </w:r>
            <w:r w:rsidR="00CA65E3">
              <w:rPr>
                <w:rFonts w:ascii="新細明體" w:hAnsi="新細明體" w:cs="新細明體" w:hint="eastAsia"/>
                <w:color w:val="000000"/>
                <w:sz w:val="20"/>
              </w:rPr>
              <w:t>北高行108訴字99號判決評析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86462E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大學教師升等訴訟(教育法與教育人權第4章第1節)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4D7B006" w:rsidR="000630F7" w:rsidRPr="00CA65E3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學生記過警告救濟-花蓮地院108年簡字第54號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188B8E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CA65E3">
              <w:rPr>
                <w:rFonts w:ascii="Times New Roman" w:eastAsia="微軟正黑體" w:hAnsi="Times New Roman"/>
              </w:rPr>
              <w:t xml:space="preserve"> 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刑罰併處社會秩序維護法罰鍰之合憲性(釋808號解釋)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5CD9893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CA65E3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CA65E3">
              <w:rPr>
                <w:rFonts w:ascii="Times New Roman" w:eastAsia="微軟正黑體" w:hAnsi="Times New Roman" w:hint="eastAsia"/>
                <w:lang w:eastAsia="zh-TW"/>
              </w:rPr>
              <w:t>教師解聘辦法</w:t>
            </w:r>
            <w:r w:rsidR="00470378">
              <w:rPr>
                <w:rFonts w:ascii="Times New Roman" w:eastAsia="微軟正黑體" w:hAnsi="Times New Roman" w:hint="eastAsia"/>
                <w:lang w:eastAsia="zh-TW"/>
              </w:rPr>
              <w:t>修法與校事會議之制度研析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23B052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都市計畫變更與人民之權利救濟(釋742</w:t>
            </w:r>
            <w:r w:rsidR="00CA65E3">
              <w:rPr>
                <w:rFonts w:ascii="SimSun" w:eastAsia="SimSun" w:hAnsi="SimSun" w:cs="新細明體" w:hint="eastAsia"/>
                <w:color w:val="000000"/>
              </w:rPr>
              <w:t>＋</w:t>
            </w:r>
            <w:r w:rsidR="00CA65E3">
              <w:rPr>
                <w:rFonts w:ascii="新細明體" w:hAnsi="新細明體" w:cs="新細明體" w:hint="eastAsia"/>
                <w:color w:val="000000"/>
              </w:rPr>
              <w:t>774號)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F8CE926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CA65E3">
              <w:rPr>
                <w:rFonts w:ascii="新細明體" w:hAnsi="新細明體" w:cs="新細明體" w:hint="eastAsia"/>
                <w:color w:val="FF0000"/>
              </w:rPr>
              <w:t>調整週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BC3BBF0" w:rsidR="000630F7" w:rsidRPr="00FF66D4" w:rsidRDefault="00470378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 w:hint="eastAsia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  <w:tr w:rsidR="00470378" w:rsidRPr="00FF66D4" w14:paraId="5250D8D2" w14:textId="77777777" w:rsidTr="00A034B5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470378" w:rsidRPr="00FF66D4" w:rsidRDefault="00470378" w:rsidP="00470378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470378" w:rsidRPr="00F66AEE" w:rsidRDefault="00470378" w:rsidP="0047037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2870ED5" w14:textId="49800085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49FB"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  <w:tr w:rsidR="00470378" w:rsidRPr="00FF66D4" w14:paraId="3CFF1E25" w14:textId="77777777" w:rsidTr="00A034B5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470378" w:rsidRPr="00FF66D4" w:rsidRDefault="00470378" w:rsidP="00470378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470378" w:rsidRPr="00F66AEE" w:rsidRDefault="00470378" w:rsidP="0047037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7D04BF7" w14:textId="4EA0BB0B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49FB"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  <w:tr w:rsidR="00470378" w:rsidRPr="00FF66D4" w14:paraId="5A8990EF" w14:textId="77777777" w:rsidTr="00A034B5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470378" w:rsidRPr="00FF66D4" w:rsidRDefault="00470378" w:rsidP="00470378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470378" w:rsidRPr="00F66AEE" w:rsidRDefault="00470378" w:rsidP="0047037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C2BE1FE" w14:textId="07346ED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49FB"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  <w:tr w:rsidR="00470378" w:rsidRPr="00FF66D4" w14:paraId="26F7C600" w14:textId="77777777" w:rsidTr="00A034B5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470378" w:rsidRPr="00FF66D4" w:rsidRDefault="00470378" w:rsidP="00470378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470378" w:rsidRPr="00F66AEE" w:rsidRDefault="00470378" w:rsidP="0047037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7F7C2C4" w14:textId="018CD96B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49FB"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  <w:tr w:rsidR="00470378" w:rsidRPr="00FF66D4" w14:paraId="1685C132" w14:textId="77777777" w:rsidTr="00A034B5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470378" w:rsidRDefault="00470378" w:rsidP="0047037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470378" w:rsidRPr="00FF66D4" w:rsidRDefault="00470378" w:rsidP="0047037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470378" w:rsidRPr="00FF66D4" w:rsidRDefault="00470378" w:rsidP="0047037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470378" w:rsidRPr="00F66AEE" w:rsidRDefault="00470378" w:rsidP="0047037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</w:tcPr>
                <w:p w14:paraId="738027DA" w14:textId="137D90E6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49FB"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  <w:tr w:rsidR="00470378" w:rsidRPr="00FF66D4" w14:paraId="79E0A1C9" w14:textId="77777777" w:rsidTr="00A034B5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470378" w:rsidRPr="00FF66D4" w:rsidRDefault="00470378" w:rsidP="0047037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470378" w:rsidRPr="00F66AEE" w:rsidRDefault="00470378" w:rsidP="0047037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EC0148A" w14:textId="532C95C8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49FB"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  <w:tr w:rsidR="00470378" w:rsidRPr="00FF66D4" w14:paraId="37E063F2" w14:textId="77777777" w:rsidTr="00A034B5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470378" w:rsidRPr="00F66AEE" w:rsidRDefault="00470378" w:rsidP="0047037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ABFB71B" w14:textId="707AF0E8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49FB"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  <w:tr w:rsidR="00470378" w:rsidRPr="00FF66D4" w14:paraId="47611BED" w14:textId="77777777" w:rsidTr="00A034B5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470378" w:rsidRPr="00FF66D4" w:rsidRDefault="00470378" w:rsidP="0047037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470378" w:rsidRPr="00F66AEE" w:rsidRDefault="00470378" w:rsidP="0047037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CDD0DA3" w14:textId="3778F54F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49FB"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  <w:tr w:rsidR="00470378" w:rsidRPr="00FF66D4" w14:paraId="18AEC70E" w14:textId="77777777" w:rsidTr="00A034B5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470378" w:rsidRPr="00FF66D4" w:rsidRDefault="00470378" w:rsidP="0047037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470378" w:rsidRPr="00F66AEE" w:rsidRDefault="00470378" w:rsidP="0047037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470378" w:rsidRPr="00F66AEE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96EA7E" w14:textId="3667A94C" w:rsidR="00470378" w:rsidRPr="00FF66D4" w:rsidRDefault="00470378" w:rsidP="0047037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49FB"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67FE" w14:textId="77777777" w:rsidR="00FB58B4" w:rsidRDefault="00FB58B4" w:rsidP="00E9068E">
      <w:pPr>
        <w:spacing w:before="0"/>
      </w:pPr>
      <w:r>
        <w:separator/>
      </w:r>
    </w:p>
  </w:endnote>
  <w:endnote w:type="continuationSeparator" w:id="0">
    <w:p w14:paraId="400CFA99" w14:textId="77777777" w:rsidR="00FB58B4" w:rsidRDefault="00FB58B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6FFD2" w14:textId="77777777" w:rsidR="00FB58B4" w:rsidRDefault="00FB58B4" w:rsidP="00E9068E">
      <w:pPr>
        <w:spacing w:before="0"/>
      </w:pPr>
      <w:r>
        <w:separator/>
      </w:r>
    </w:p>
  </w:footnote>
  <w:footnote w:type="continuationSeparator" w:id="0">
    <w:p w14:paraId="3C911DCE" w14:textId="77777777" w:rsidR="00FB58B4" w:rsidRDefault="00FB58B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850675">
    <w:abstractNumId w:val="2"/>
  </w:num>
  <w:num w:numId="2" w16cid:durableId="1868912429">
    <w:abstractNumId w:val="0"/>
  </w:num>
  <w:num w:numId="3" w16cid:durableId="696203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0378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A65E3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B58B4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ken460902@gmail.com</cp:lastModifiedBy>
  <cp:revision>2</cp:revision>
  <cp:lastPrinted>2023-06-26T09:36:00Z</cp:lastPrinted>
  <dcterms:created xsi:type="dcterms:W3CDTF">2025-12-24T02:41:00Z</dcterms:created>
  <dcterms:modified xsi:type="dcterms:W3CDTF">2025-12-24T02:41:00Z</dcterms:modified>
</cp:coreProperties>
</file>