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60BAA67" w:rsidR="002023EC" w:rsidRPr="00AA5F4C" w:rsidRDefault="004E4076" w:rsidP="003760F6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760F6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19E1CA" w:rsidR="000B3E3B" w:rsidRPr="00AA5F4C" w:rsidRDefault="003760F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5246410" w:rsidR="002023EC" w:rsidRPr="00F66AEE" w:rsidRDefault="007A3111" w:rsidP="007A3111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強制執行法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F9BD86F" w:rsidR="002023EC" w:rsidRPr="00F66AEE" w:rsidRDefault="007A3111" w:rsidP="007A3111">
            <w:pPr>
              <w:spacing w:before="0" w:beforeAutospacing="0" w:line="320" w:lineRule="exact"/>
              <w:ind w:firstLineChars="100" w:firstLine="230"/>
              <w:rPr>
                <w:rFonts w:ascii="Times New Roman" w:eastAsia="微軟正黑體" w:hAnsi="Times New Roman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Law of Compulsory Execution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B401B5F" w:rsidR="002023EC" w:rsidRPr="00A5210C" w:rsidRDefault="002023EC" w:rsidP="007A3111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0D40DB">
              <w:rPr>
                <w:rFonts w:ascii="微軟正黑體" w:eastAsia="微軟正黑體" w:hAnsi="微軟正黑體"/>
                <w:lang w:eastAsia="zh-TW"/>
              </w:rPr>
              <w:t>4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學年第</w:t>
            </w:r>
            <w:r w:rsidR="007A3111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EF3938F" w:rsidR="002023EC" w:rsidRPr="001C052A" w:rsidRDefault="006D0C2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170C2F2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法律學系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1C371CE" w:rsidR="002023EC" w:rsidRPr="007B34D7" w:rsidRDefault="007A3111" w:rsidP="007A3111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3DE5065" w:rsidR="002023EC" w:rsidRPr="00A5210C" w:rsidRDefault="006D0C2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星期四下午4：10至6：00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512FB6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馮善詮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6512C3C" w:rsidR="002023EC" w:rsidRPr="001C052A" w:rsidRDefault="006D0C22" w:rsidP="006D0C2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am-</w:t>
            </w:r>
            <w:r>
              <w:rPr>
                <w:rFonts w:eastAsia="標楷體"/>
              </w:rPr>
              <w:t>651022@hotmail.com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B32C49" w14:textId="77777777" w:rsidR="00402C19" w:rsidRDefault="006D0C22" w:rsidP="00140594">
            <w:pPr>
              <w:spacing w:before="0" w:beforeAutospacing="0" w:line="320" w:lineRule="exact"/>
              <w:ind w:leftChars="0" w:left="0"/>
              <w:rPr>
                <w:rFonts w:ascii="Times New Roman" w:hAnsi="Times New Roman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一、</w:t>
            </w:r>
            <w:r w:rsidR="007A3111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強制執行法為實用性大的民事程序法之一，與諸多</w:t>
            </w:r>
            <w:proofErr w:type="gramStart"/>
            <w:r w:rsidR="007A3111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法律均有聯結</w:t>
            </w:r>
            <w:proofErr w:type="gramEnd"/>
            <w:r w:rsidR="007A3111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，未</w:t>
            </w:r>
          </w:p>
          <w:p w14:paraId="0548A20B" w14:textId="77777777" w:rsidR="00402C19" w:rsidRDefault="007A3111" w:rsidP="00402C19">
            <w:pPr>
              <w:spacing w:before="0" w:beforeAutospacing="0" w:line="320" w:lineRule="exact"/>
              <w:ind w:leftChars="0" w:left="0" w:firstLineChars="200" w:firstLine="540"/>
              <w:rPr>
                <w:rFonts w:ascii="Times New Roman" w:hAnsi="Times New Roman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曾從事執行實務者，實難</w:t>
            </w:r>
            <w:r w:rsidR="00140594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從法條瞭解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執行</w:t>
            </w:r>
            <w:r w:rsidR="00140594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程序運作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。授課者從事執行</w:t>
            </w:r>
          </w:p>
          <w:p w14:paraId="319198A2" w14:textId="77777777" w:rsidR="00402C19" w:rsidRDefault="007A3111" w:rsidP="00402C19">
            <w:pPr>
              <w:spacing w:before="0" w:beforeAutospacing="0" w:line="320" w:lineRule="exact"/>
              <w:ind w:leftChars="0" w:left="0" w:firstLineChars="200" w:firstLine="540"/>
              <w:rPr>
                <w:rFonts w:ascii="Times New Roman" w:hAnsi="Times New Roman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實務逾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年，</w:t>
            </w:r>
            <w:r w:rsidR="00140594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經驗豐富，本學期將以執行實例與生硬法條相結合作</w:t>
            </w:r>
          </w:p>
          <w:p w14:paraId="65812D64" w14:textId="4E7D2217" w:rsidR="00140594" w:rsidRDefault="00140594" w:rsidP="00402C19">
            <w:pPr>
              <w:spacing w:before="0" w:beforeAutospacing="0" w:line="320" w:lineRule="exact"/>
              <w:ind w:leftChars="0" w:left="0" w:firstLineChars="200" w:firstLine="540"/>
              <w:rPr>
                <w:rFonts w:ascii="Times New Roman" w:hAnsi="Times New Roman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為課程主軸，使同學熟悉強制執行。</w:t>
            </w:r>
          </w:p>
          <w:p w14:paraId="414924B5" w14:textId="24BC43C9" w:rsidR="006D0C22" w:rsidRPr="001C052A" w:rsidRDefault="006D0C22" w:rsidP="00140594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二、授課時數：每週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小時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6161324" w:rsidR="002023EC" w:rsidRPr="00B836C3" w:rsidRDefault="006D0C22" w:rsidP="0014059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熟悉並掌握</w:t>
            </w:r>
            <w:r w:rsidR="00140594"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強制執行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相關法令之架構與內容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767B2" w14:textId="33637481" w:rsidR="00140594" w:rsidRDefault="00140594" w:rsidP="007D74FD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張登科：強制執行法</w:t>
            </w:r>
          </w:p>
          <w:p w14:paraId="044E8504" w14:textId="6B191F30" w:rsidR="007D74FD" w:rsidRDefault="00140594" w:rsidP="007D74FD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proofErr w:type="gramStart"/>
            <w:r>
              <w:rPr>
                <w:rFonts w:eastAsia="微軟正黑體" w:hint="eastAsia"/>
                <w:lang w:eastAsia="zh-TW"/>
              </w:rPr>
              <w:t>林洲富</w:t>
            </w:r>
            <w:proofErr w:type="gramEnd"/>
            <w:r w:rsidR="007D74FD">
              <w:rPr>
                <w:rFonts w:eastAsia="微軟正黑體" w:hint="eastAsia"/>
                <w:lang w:eastAsia="zh-TW"/>
              </w:rPr>
              <w:t>：</w:t>
            </w:r>
            <w:r>
              <w:rPr>
                <w:rFonts w:eastAsia="微軟正黑體" w:hint="eastAsia"/>
                <w:lang w:eastAsia="zh-TW"/>
              </w:rPr>
              <w:t>實用強制執行法精義</w:t>
            </w:r>
          </w:p>
          <w:p w14:paraId="7DDF5CB9" w14:textId="284C807E" w:rsidR="007D74FD" w:rsidRPr="007D74FD" w:rsidRDefault="00972327" w:rsidP="00F35B3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沈建興：強制執行法逐條釋義（上）（下）</w:t>
            </w:r>
          </w:p>
          <w:p w14:paraId="1852BB6E" w14:textId="77777777" w:rsidR="00F35B38" w:rsidRDefault="00F35B38" w:rsidP="00F35B3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法學期刊相關論文</w:t>
            </w:r>
          </w:p>
          <w:p w14:paraId="60AA7F3B" w14:textId="365134C0" w:rsidR="00F35B38" w:rsidRPr="001C052A" w:rsidRDefault="00F35B38" w:rsidP="00F35B3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教師自備</w:t>
            </w:r>
            <w:r>
              <w:rPr>
                <w:rFonts w:eastAsia="微軟正黑體" w:hint="eastAsia"/>
                <w:lang w:eastAsia="zh-TW"/>
              </w:rPr>
              <w:t>PPT</w:t>
            </w:r>
            <w:r>
              <w:rPr>
                <w:rFonts w:eastAsia="微軟正黑體" w:hint="eastAsia"/>
                <w:lang w:eastAsia="zh-TW"/>
              </w:rPr>
              <w:t>講義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E2C64F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AD4C699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658C8E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C8D22A2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02AEAC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52D035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9725A40" w:rsidR="002023EC" w:rsidRPr="00AA5F4C" w:rsidRDefault="00C45345" w:rsidP="00F35B3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35B3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AF0A3B" w14:textId="3FB08085" w:rsidR="00906164" w:rsidRDefault="00906164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1.</w:t>
            </w:r>
            <w:r>
              <w:rPr>
                <w:rFonts w:eastAsia="標楷體" w:hint="eastAsia"/>
                <w:lang w:eastAsia="zh-TW"/>
              </w:rPr>
              <w:t>請尊重智慧財產權，不得非法影印教師指定之教科書籍</w:t>
            </w:r>
          </w:p>
          <w:p w14:paraId="5C57E083" w14:textId="0B2F67D5" w:rsidR="002023EC" w:rsidRPr="001C052A" w:rsidRDefault="00906164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標楷體" w:hint="eastAsia"/>
                <w:lang w:eastAsia="zh-TW"/>
              </w:rPr>
              <w:t>2.</w:t>
            </w:r>
            <w:r w:rsidR="00F35B38">
              <w:rPr>
                <w:rFonts w:eastAsia="標楷體" w:hint="eastAsia"/>
              </w:rPr>
              <w:t>上課期間請將手機關閉或關靜音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0A8B351" w:rsidR="002023EC" w:rsidRPr="00F66AEE" w:rsidRDefault="002023EC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強制執行概述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D6FFED" w:rsidR="002023EC" w:rsidRPr="00F66AEE" w:rsidRDefault="002023EC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強制執行之意義、種類與性質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E0B7C3F" w:rsidR="002023EC" w:rsidRPr="00F66AEE" w:rsidRDefault="00F35B38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執行名義介紹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F252F75" w:rsidR="002023EC" w:rsidRPr="00F66AEE" w:rsidRDefault="00F35B38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4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強制執行之主體：執行機關、執行輔助機關及執行當事人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13FD64A" w:rsidR="002023EC" w:rsidRPr="00F66AEE" w:rsidRDefault="00F35B38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5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強制執行之客體：責任財產之範圍、不得執行之債務人財產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91CA227" w:rsidR="002023EC" w:rsidRPr="00F66AEE" w:rsidRDefault="00F35B38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6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強制執行之進行：執行之開始、要件之審查、執行費用、延緩執行、執行終結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F00112E" w:rsidR="002023EC" w:rsidRPr="00F66AEE" w:rsidRDefault="002023EC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強制執行之救濟（一）：聲請及聲明異議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E3EEBC5" w:rsidR="002023EC" w:rsidRPr="00F66AEE" w:rsidRDefault="002023EC" w:rsidP="00EB199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強制執行之救濟（二）：執行異議之訴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B894BA6" w:rsidR="002023EC" w:rsidRPr="00F66AEE" w:rsidRDefault="00F35B38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9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期中考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6506B90" w:rsidR="002023EC" w:rsidRPr="00F66AEE" w:rsidRDefault="009021DF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10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金錢債權之強制執行：參與分配程序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21D7142" w:rsidR="002023EC" w:rsidRPr="00F66AEE" w:rsidRDefault="009021DF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11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動產執行程序（一）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D836569" w:rsidR="002023EC" w:rsidRPr="00F66AEE" w:rsidRDefault="009021DF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12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動產執行程序（二）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11340D1" w:rsidR="002023EC" w:rsidRPr="00F66AEE" w:rsidRDefault="009021DF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13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不動產執行程序（一）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5B2BD05" w:rsidR="002023EC" w:rsidRPr="00F66AEE" w:rsidRDefault="009021D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14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不動產執行程序（二）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81CCA82" w:rsidR="002023EC" w:rsidRPr="00F66AEE" w:rsidRDefault="009021DF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15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其他財產權之執行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262CB35" w:rsidR="002023EC" w:rsidRPr="00F66AEE" w:rsidRDefault="002023EC" w:rsidP="0097232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="009021DF">
              <w:rPr>
                <w:rFonts w:ascii="Times New Roman" w:eastAsia="微軟正黑體" w:hAnsi="Times New Roman"/>
                <w:lang w:eastAsia="zh-TW"/>
              </w:rPr>
              <w:t>16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物之交付請求權、行為與</w:t>
            </w:r>
            <w:proofErr w:type="gramStart"/>
            <w:r w:rsidR="00972327">
              <w:rPr>
                <w:rFonts w:ascii="Times New Roman" w:eastAsia="微軟正黑體" w:hAnsi="Times New Roman" w:hint="eastAsia"/>
                <w:lang w:eastAsia="zh-TW"/>
              </w:rPr>
              <w:t>不</w:t>
            </w:r>
            <w:proofErr w:type="gramEnd"/>
            <w:r w:rsidR="00972327">
              <w:rPr>
                <w:rFonts w:ascii="Times New Roman" w:eastAsia="微軟正黑體" w:hAnsi="Times New Roman" w:hint="eastAsia"/>
                <w:lang w:eastAsia="zh-TW"/>
              </w:rPr>
              <w:t>行為請求權、命為一定意思表示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B87A7D8" w:rsidR="002023EC" w:rsidRPr="00F66AEE" w:rsidRDefault="002023EC" w:rsidP="00EB199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972327">
              <w:rPr>
                <w:rFonts w:ascii="Times New Roman" w:eastAsia="微軟正黑體" w:hAnsi="Times New Roman" w:hint="eastAsia"/>
                <w:lang w:eastAsia="zh-TW"/>
              </w:rPr>
              <w:t>保全執行與執行競合之介紹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579E240" w:rsidR="002023EC" w:rsidRPr="00F66AEE" w:rsidRDefault="00F35B38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18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14F4E" w:rsidRPr="00FF66D4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2601C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717C584" w:rsidR="00E14F4E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187B307" w:rsidR="002D3E62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F66AEE" w:rsidRDefault="006B6E05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300FFF41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16014082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B80D96" w:rsidRPr="006B6E05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49146FC0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E14F4E" w:rsidRPr="00FF66D4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3D7EE08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F66AEE" w:rsidRDefault="00E14F4E" w:rsidP="00E14F4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70C026AB" w:rsidR="00E14F4E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E14F4E" w:rsidRPr="00FF66D4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F66AEE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團隊合作及溝通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之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169867F5" w:rsidR="00E14F4E" w:rsidRPr="00F66AEE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6E05" w:rsidRPr="00FF66D4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FF66D4" w:rsidRDefault="006B6E05" w:rsidP="006B6E0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F66AEE" w:rsidRDefault="006B6E05" w:rsidP="006B6E0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640A350" w:rsidR="006B6E05" w:rsidRPr="00F66AEE" w:rsidRDefault="006B6E05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28C63744" w:rsidR="006B6E05" w:rsidRPr="00F66AEE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072F" w14:textId="77777777" w:rsidR="001E0050" w:rsidRDefault="001E0050" w:rsidP="00E9068E">
      <w:pPr>
        <w:spacing w:before="0"/>
      </w:pPr>
      <w:r>
        <w:separator/>
      </w:r>
    </w:p>
  </w:endnote>
  <w:endnote w:type="continuationSeparator" w:id="0">
    <w:p w14:paraId="3C824110" w14:textId="77777777" w:rsidR="001E0050" w:rsidRDefault="001E005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6BEC" w14:textId="77777777" w:rsidR="001E0050" w:rsidRDefault="001E0050" w:rsidP="00E9068E">
      <w:pPr>
        <w:spacing w:before="0"/>
      </w:pPr>
      <w:r>
        <w:separator/>
      </w:r>
    </w:p>
  </w:footnote>
  <w:footnote w:type="continuationSeparator" w:id="0">
    <w:p w14:paraId="53DEA948" w14:textId="77777777" w:rsidR="001E0050" w:rsidRDefault="001E005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1440"/>
    <w:rsid w:val="0008209B"/>
    <w:rsid w:val="000A4CF7"/>
    <w:rsid w:val="000B2C15"/>
    <w:rsid w:val="000B3E3B"/>
    <w:rsid w:val="000B5D10"/>
    <w:rsid w:val="000C472E"/>
    <w:rsid w:val="000D40DB"/>
    <w:rsid w:val="000D7AC3"/>
    <w:rsid w:val="000E0C0F"/>
    <w:rsid w:val="000E0C9D"/>
    <w:rsid w:val="000F085A"/>
    <w:rsid w:val="00140594"/>
    <w:rsid w:val="001424D0"/>
    <w:rsid w:val="00151FD2"/>
    <w:rsid w:val="00156A09"/>
    <w:rsid w:val="00185033"/>
    <w:rsid w:val="001A3D56"/>
    <w:rsid w:val="001B416E"/>
    <w:rsid w:val="001B48DB"/>
    <w:rsid w:val="001B56F5"/>
    <w:rsid w:val="001D03F8"/>
    <w:rsid w:val="001D3110"/>
    <w:rsid w:val="001E005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01CB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7594A"/>
    <w:rsid w:val="003760F6"/>
    <w:rsid w:val="003866FE"/>
    <w:rsid w:val="003A2A12"/>
    <w:rsid w:val="003A4DF0"/>
    <w:rsid w:val="003A6442"/>
    <w:rsid w:val="003B04CD"/>
    <w:rsid w:val="003B2943"/>
    <w:rsid w:val="003B6F3F"/>
    <w:rsid w:val="003C19DC"/>
    <w:rsid w:val="003E0932"/>
    <w:rsid w:val="003E7C8A"/>
    <w:rsid w:val="003F0401"/>
    <w:rsid w:val="003F079B"/>
    <w:rsid w:val="003F7C77"/>
    <w:rsid w:val="00402C19"/>
    <w:rsid w:val="004255C4"/>
    <w:rsid w:val="00430CF5"/>
    <w:rsid w:val="004424E7"/>
    <w:rsid w:val="004A22ED"/>
    <w:rsid w:val="004D40CB"/>
    <w:rsid w:val="004E14E1"/>
    <w:rsid w:val="004E4076"/>
    <w:rsid w:val="004F4DFA"/>
    <w:rsid w:val="004F517A"/>
    <w:rsid w:val="00505EBF"/>
    <w:rsid w:val="00522D4C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26E8F"/>
    <w:rsid w:val="00656E5E"/>
    <w:rsid w:val="006620EE"/>
    <w:rsid w:val="006827BB"/>
    <w:rsid w:val="006B376A"/>
    <w:rsid w:val="006B6E05"/>
    <w:rsid w:val="006D0C22"/>
    <w:rsid w:val="007607E9"/>
    <w:rsid w:val="007A3111"/>
    <w:rsid w:val="007B34D7"/>
    <w:rsid w:val="007C04DC"/>
    <w:rsid w:val="007D4DC5"/>
    <w:rsid w:val="007D74FD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021DF"/>
    <w:rsid w:val="00906164"/>
    <w:rsid w:val="009323A7"/>
    <w:rsid w:val="00932AB6"/>
    <w:rsid w:val="009533AF"/>
    <w:rsid w:val="0096101D"/>
    <w:rsid w:val="009636D0"/>
    <w:rsid w:val="00965BE9"/>
    <w:rsid w:val="00972327"/>
    <w:rsid w:val="00977AA8"/>
    <w:rsid w:val="0099199D"/>
    <w:rsid w:val="009A17F2"/>
    <w:rsid w:val="009F1228"/>
    <w:rsid w:val="009F3F9B"/>
    <w:rsid w:val="009F53E0"/>
    <w:rsid w:val="00A336D5"/>
    <w:rsid w:val="00A37F7D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0D96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21F8"/>
    <w:rsid w:val="00E14F4E"/>
    <w:rsid w:val="00E15F38"/>
    <w:rsid w:val="00E30BA9"/>
    <w:rsid w:val="00E70A19"/>
    <w:rsid w:val="00E9068E"/>
    <w:rsid w:val="00EB199D"/>
    <w:rsid w:val="00EC360C"/>
    <w:rsid w:val="00ED7269"/>
    <w:rsid w:val="00F15A64"/>
    <w:rsid w:val="00F215AE"/>
    <w:rsid w:val="00F22674"/>
    <w:rsid w:val="00F345EA"/>
    <w:rsid w:val="00F35B38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馮善詮</cp:lastModifiedBy>
  <cp:revision>20</cp:revision>
  <cp:lastPrinted>2023-06-26T09:36:00Z</cp:lastPrinted>
  <dcterms:created xsi:type="dcterms:W3CDTF">2023-10-11T01:42:00Z</dcterms:created>
  <dcterms:modified xsi:type="dcterms:W3CDTF">2025-12-24T06:20:00Z</dcterms:modified>
</cp:coreProperties>
</file>