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88" w:rsidRPr="00A00A88" w:rsidRDefault="00A00A88" w:rsidP="00A00A88">
      <w:pPr>
        <w:spacing w:after="0" w:line="0" w:lineRule="atLeast"/>
        <w:jc w:val="center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國立中</w:t>
      </w:r>
      <w:r w:rsidRPr="00A00A88">
        <w:rPr>
          <w:rFonts w:ascii="Times New Roman" w:eastAsia="標楷體" w:hAnsi="Times New Roman" w:cs="Times New Roman"/>
          <w:b/>
          <w:spacing w:val="2"/>
          <w:sz w:val="24"/>
          <w:szCs w:val="24"/>
          <w:lang w:eastAsia="zh-TW"/>
        </w:rPr>
        <w:t>正</w:t>
      </w:r>
      <w:r w:rsidRPr="00A00A8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大學社會福利研究所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編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號：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31064</w:t>
      </w:r>
      <w:r w:rsidR="005D7CB4">
        <w:rPr>
          <w:rFonts w:ascii="Times New Roman" w:eastAsia="標楷體" w:hAnsi="Times New Roman" w:cs="Times New Roman"/>
          <w:sz w:val="24"/>
          <w:szCs w:val="24"/>
          <w:lang w:eastAsia="zh-TW"/>
        </w:rPr>
        <w:t>67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授課教師：</w:t>
      </w:r>
      <w:r w:rsidR="00A36C46"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吳明儒、</w:t>
      </w:r>
      <w:r w:rsidR="00A024D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郭惠瑜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、陳芳珮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:rsidR="00A00A88" w:rsidRPr="00A00A88" w:rsidRDefault="00A00A88" w:rsidP="00D13ECF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科目名稱</w:t>
      </w:r>
      <w:r w:rsidRPr="00A00A88">
        <w:rPr>
          <w:rFonts w:ascii="Times New Roman" w:eastAsia="標楷體" w:hAnsi="Times New Roman" w:cs="Times New Roman"/>
          <w:spacing w:val="-120"/>
          <w:sz w:val="24"/>
          <w:szCs w:val="24"/>
          <w:lang w:eastAsia="zh-TW"/>
        </w:rPr>
        <w:t>：</w:t>
      </w:r>
      <w:r w:rsidR="00D13EC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</w:t>
      </w:r>
      <w:r w:rsidR="00D13ECF" w:rsidRPr="00D13EC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社區政策專題討論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英文譯名：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Policy and Care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學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分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數：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bookmarkStart w:id="0" w:name="_GoBack"/>
      <w:bookmarkEnd w:id="0"/>
      <w:r w:rsidR="00D2114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學分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修</w:t>
      </w:r>
      <w:r w:rsidR="00C76F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別：選修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上課時間：週五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19:15-22:00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教學目標：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社區政策的範圍廣</w:t>
      </w:r>
      <w:r w:rsidRPr="00A00A88">
        <w:rPr>
          <w:rFonts w:ascii="Times New Roman" w:eastAsia="標楷體" w:hAnsi="Times New Roman" w:cs="Times New Roman"/>
          <w:spacing w:val="-48"/>
          <w:sz w:val="24"/>
          <w:szCs w:val="24"/>
          <w:lang w:eastAsia="zh-TW"/>
        </w:rPr>
        <w:t>泛</w:t>
      </w:r>
      <w:r w:rsidRPr="00A00A88">
        <w:rPr>
          <w:rFonts w:ascii="Times New Roman" w:eastAsia="標楷體" w:hAnsi="Times New Roman" w:cs="Times New Roman"/>
          <w:spacing w:val="-46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本專題主要設定在國外社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區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與照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顧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相關研究之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研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讀與介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紹</w:t>
      </w:r>
      <w:r w:rsidRPr="00A00A88">
        <w:rPr>
          <w:rFonts w:ascii="Times New Roman" w:eastAsia="標楷體" w:hAnsi="Times New Roman" w:cs="Times New Roman"/>
          <w:spacing w:val="-23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讓同學能夠掌握社區照顧政策的內涵及影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響，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本課程擬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探討目前各國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區政策最新的改革方向及發展趨</w:t>
      </w:r>
      <w:r w:rsidRPr="00A00A88">
        <w:rPr>
          <w:rFonts w:ascii="Times New Roman" w:eastAsia="標楷體" w:hAnsi="Times New Roman" w:cs="Times New Roman"/>
          <w:spacing w:val="-48"/>
          <w:sz w:val="24"/>
          <w:szCs w:val="24"/>
          <w:lang w:eastAsia="zh-TW"/>
        </w:rPr>
        <w:t>勢，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藉此檢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視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社會福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利與社區政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策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未來可能之互動模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式。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同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時，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針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對國內社區發展相關政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策進行政策影響之評估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與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解</w:t>
      </w:r>
      <w:r w:rsidRPr="00A00A88">
        <w:rPr>
          <w:rFonts w:ascii="Times New Roman" w:eastAsia="標楷體" w:hAnsi="Times New Roman" w:cs="Times New Roman"/>
          <w:spacing w:val="-48"/>
          <w:sz w:val="24"/>
          <w:szCs w:val="24"/>
          <w:lang w:eastAsia="zh-TW"/>
        </w:rPr>
        <w:t>析，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透過討論分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析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及批判現行社區政策之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困境及出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路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課程要求：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選修本課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程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同學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必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須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依據個人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興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趣，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選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擇</w:t>
      </w:r>
      <w:proofErr w:type="gramStart"/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一</w:t>
      </w:r>
      <w:proofErr w:type="gramEnd"/>
      <w:r w:rsidRPr="00A00A88">
        <w:rPr>
          <w:rFonts w:ascii="Times New Roman" w:eastAsia="標楷體" w:hAnsi="Times New Roman" w:cs="Times New Roman"/>
          <w:spacing w:val="8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區政</w:t>
      </w:r>
      <w:r w:rsidRPr="00A00A88">
        <w:rPr>
          <w:rFonts w:ascii="Times New Roman" w:eastAsia="標楷體" w:hAnsi="Times New Roman" w:cs="Times New Roman"/>
          <w:spacing w:val="3"/>
          <w:sz w:val="24"/>
          <w:szCs w:val="24"/>
          <w:lang w:eastAsia="zh-TW"/>
        </w:rPr>
        <w:t>策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例</w:t>
      </w:r>
      <w:r w:rsidRPr="00A00A88">
        <w:rPr>
          <w:rFonts w:ascii="Times New Roman" w:eastAsia="標楷體" w:hAnsi="Times New Roman" w:cs="Times New Roman"/>
          <w:spacing w:val="3"/>
          <w:sz w:val="24"/>
          <w:szCs w:val="24"/>
          <w:lang w:eastAsia="zh-TW"/>
        </w:rPr>
        <w:t>如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照顧關懷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據</w:t>
      </w:r>
      <w:r w:rsidRPr="00A00A88"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點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福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利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區化、全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國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績優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評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鑑、社區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總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體營</w:t>
      </w:r>
      <w:r w:rsidRPr="00A00A88">
        <w:rPr>
          <w:rFonts w:ascii="Times New Roman" w:eastAsia="標楷體" w:hAnsi="Times New Roman" w:cs="Times New Roman"/>
          <w:spacing w:val="8"/>
          <w:sz w:val="24"/>
          <w:szCs w:val="24"/>
          <w:lang w:eastAsia="zh-TW"/>
        </w:rPr>
        <w:t>造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社區營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造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中心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發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展與志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願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服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務、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能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力指標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與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GIS 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的應用、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區產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業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區永續發</w:t>
      </w:r>
      <w:r w:rsidRPr="00A00A88">
        <w:rPr>
          <w:rFonts w:ascii="Times New Roman" w:eastAsia="標楷體" w:hAnsi="Times New Roman" w:cs="Times New Roman"/>
          <w:spacing w:val="9"/>
          <w:sz w:val="24"/>
          <w:szCs w:val="24"/>
          <w:lang w:eastAsia="zh-TW"/>
        </w:rPr>
        <w:t>展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等等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收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集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並閱讀相</w:t>
      </w:r>
      <w:r w:rsidRPr="00A00A88">
        <w:rPr>
          <w:rFonts w:ascii="Times New Roman" w:eastAsia="標楷體" w:hAnsi="Times New Roman" w:cs="Times New Roman"/>
          <w:spacing w:val="8"/>
          <w:sz w:val="24"/>
          <w:szCs w:val="24"/>
          <w:lang w:eastAsia="zh-TW"/>
        </w:rPr>
        <w:t>關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政策資料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及文獻，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對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於所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選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擇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之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議題，必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須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整理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最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新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的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發展趨勢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並進行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課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堂研討，每位選修同學需繳交期中及期末心得報告各一篇。</w:t>
      </w:r>
    </w:p>
    <w:p w:rsidR="00CE7F22" w:rsidRPr="00A00A88" w:rsidRDefault="00CE7F22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參考書目：</w:t>
      </w:r>
    </w:p>
    <w:p w:rsidR="00D6185E" w:rsidRPr="00A00A88" w:rsidRDefault="00D6185E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D6185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請尊重智慧財產權，不得非法影印教師指定之教科書籍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Baldwin,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Mark(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2000). Care Management and Community Care: Social Work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discretion and the construction of policy. England: Ashgate.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McDonald,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Ann(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2006). Understanding Community Care: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Guide for Social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Workers. Palgrave Macmillan.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Popple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Keith(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2006). Community Development in the 21st Century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Case of Conditional Development. British Journal of Social Work, 36,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333-340.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4.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Helyar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Susan(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2007). Community Well-being Indicators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Discussion Paper Prepared for the Act Community Inclusion Board. Social policy and Implementation Branch Policy Division Chief Minister’s Department.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5.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Seyfang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Gill(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2004). Time banks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rewarding community self-help in the inner city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Development Journal, Vol. 39, No1.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6. Hillman,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Mick(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2002). Environmental justice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crucial link between environmentalism and community development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Development Journal, Vol. 37, No 4, 349-360.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7. Rogge, M. Davis, K. Maddox, D. Jackson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2005). Leveraging Environmental, Social, and Economical Justice at Chattanooga Creek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A Case Study. Journal of Community Practice, Vol. 13(3).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8. Raymond K.H.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Chan(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2006). Community economic development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Applications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and limitations in Hong Kong. International Social Work, 49(4),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483-493.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9.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Sprigings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Nigel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＆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Allen, Chris(2005). The Communities We Are Regaining But Need To Lose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critical commentary on community building in beyond-place societies. Community, Work and Family, Vol. 8, No 4.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10.Craig,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Gary(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2007). Community capacity-building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Something old, something new…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Critical Social Policy, Vol. 27(3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) ,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335-359.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11.Mowbray,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Martin(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2005). Community capacity building or state opportunism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Development Journal, Vol. 40, No 3, 255-264.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12.Craig, G. Mayo, M and Taylor,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2000). Globalization from below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implications for the Community Development Journal. Community Development Journal, Vol. 35, No4, 323-335.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13.Momo, Fiona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et al.(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2002). Empowerment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finding voices and strategies to combat globalization. Community Development Journal, Vol. 37, No4,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361-374.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14.IACD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(2003). Facing the current challenge of the community development field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expansion and fragmentation. Community Development Journal, Vol.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38, No 2, 175-179.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15.Williams, Lewis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(2004). Culture and community development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Towards new conceptualizations and practice. Community Development Journal, Vol.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39, No 4, 345-359.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16.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吳明儒、林欣蓓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(2011)&lt;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社區結盟、社區培力與社區行動的之個案研究：以台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南市北區社區旗艦計畫團隊為例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&gt;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。台灣社區工作與社區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研究學刊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，第一卷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第一期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創刊號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，頁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45-90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17.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吳明儒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(2009)&lt;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社區發展的新視野：歐洲國家經驗的學習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&gt;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。台灣社會福利學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刊，第八卷第一期，頁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29-69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080A18" w:rsidRDefault="00080A1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080A18" w:rsidRDefault="00080A1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</w:rPr>
      </w:pPr>
      <w:r w:rsidRPr="00080A18">
        <w:rPr>
          <w:rFonts w:ascii="Times New Roman" w:eastAsia="微軟正黑體" w:hAnsi="Times New Roman" w:cs="Times New Roman"/>
          <w:b/>
          <w:sz w:val="24"/>
          <w:szCs w:val="20"/>
          <w:lang w:eastAsia="zh-HK"/>
        </w:rPr>
        <w:t>SDGs</w:t>
      </w:r>
      <w:r w:rsidRPr="00080A18">
        <w:rPr>
          <w:rFonts w:ascii="Times New Roman" w:eastAsia="微軟正黑體" w:hAnsi="Times New Roman" w:cs="Times New Roman"/>
          <w:b/>
          <w:sz w:val="24"/>
          <w:szCs w:val="20"/>
          <w:lang w:eastAsia="zh-HK"/>
        </w:rPr>
        <w:t>目標</w:t>
      </w:r>
    </w:p>
    <w:tbl>
      <w:tblPr>
        <w:tblW w:w="5557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7951"/>
      </w:tblGrid>
      <w:tr w:rsidR="00080A18" w:rsidRPr="00080A18" w:rsidTr="00080A18">
        <w:trPr>
          <w:trHeight w:val="377"/>
          <w:tblCellSpacing w:w="0" w:type="dxa"/>
          <w:jc w:val="center"/>
        </w:trPr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80A18" w:rsidRPr="00080A18" w:rsidRDefault="00080A18" w:rsidP="00080A18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Times New Roman"/>
                <w:b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0"/>
                <w:lang w:eastAsia="zh-HK"/>
              </w:rPr>
              <w:t>與SDGs目標的關聯</w:t>
            </w:r>
          </w:p>
          <w:p w:rsidR="00080A18" w:rsidRPr="00080A18" w:rsidRDefault="00080A18" w:rsidP="00080A18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Times New Roman"/>
                <w:b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0"/>
                <w:lang w:eastAsia="zh-HK"/>
              </w:rPr>
              <w:t>related to objectives of SDGs</w:t>
            </w:r>
          </w:p>
        </w:tc>
        <w:tc>
          <w:tcPr>
            <w:tcW w:w="4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□</w:t>
            </w:r>
            <w:hyperlink r:id="rId6" w:anchor="1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1 終結貧窮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     □</w:t>
            </w:r>
            <w:hyperlink r:id="rId7" w:anchor="2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2 消除飢餓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</w:t>
            </w:r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begin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instrText xml:space="preserve"> HYPERLINK "https://futurecity.cw.com.tw/article/1867" \l "3" </w:instrTex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separate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SDG 3 健康與福祉</w: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end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   □</w:t>
            </w:r>
            <w:hyperlink r:id="rId8" w:anchor="4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4 優質教育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</w:t>
            </w:r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begin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instrText xml:space="preserve"> HYPERLINK "https://futurecity.cw.com.tw/article/1867" \l "5" </w:instrTex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separate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SDG 5 性別平權</w: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end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     □</w:t>
            </w:r>
            <w:hyperlink r:id="rId9" w:anchor="6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6 淨水及衛生</w:t>
              </w:r>
            </w:hyperlink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□</w:t>
            </w:r>
            <w:hyperlink r:id="rId10" w:anchor="7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7 可負擔的潔淨能源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□</w:t>
            </w:r>
            <w:hyperlink r:id="rId11" w:anchor="8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8 合適的工作及經濟成長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</w:t>
            </w:r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□</w:t>
            </w:r>
            <w:hyperlink r:id="rId12" w:anchor="9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9 工業化、創新及基礎建設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</w:t>
            </w: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begin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instrText xml:space="preserve"> HYPERLINK "https://futurecity.cw.com.tw/article/1867" \l "10" </w:instrTex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separate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SDG 10 減少不平等</w: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end"/>
            </w:r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begin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instrText xml:space="preserve"> HYPERLINK "https://futurecity.cw.com.tw/article/1867" \l "11" </w:instrTex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separate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SDG 11 永續城鄉</w: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end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    □</w:t>
            </w:r>
            <w:hyperlink r:id="rId13" w:anchor="12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12 責任消費及生產</w:t>
              </w:r>
            </w:hyperlink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□</w:t>
            </w:r>
            <w:hyperlink r:id="rId14" w:anchor="13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13 氣候行動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    □</w:t>
            </w:r>
            <w:hyperlink r:id="rId15" w:anchor="14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14 保育海洋生態</w:t>
              </w:r>
            </w:hyperlink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□</w:t>
            </w:r>
            <w:hyperlink r:id="rId16" w:anchor="15" w:history="1">
              <w:r w:rsidRPr="00080A18">
                <w:rPr>
                  <w:rFonts w:ascii="標楷體" w:eastAsia="標楷體" w:hAnsi="標楷體" w:cs="Times New Roman"/>
                  <w:sz w:val="24"/>
                  <w:szCs w:val="20"/>
                  <w:lang w:eastAsia="zh-HK"/>
                </w:rPr>
                <w:t>SDG 15 保育陸域生態</w:t>
              </w:r>
            </w:hyperlink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</w:t>
            </w: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begin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instrText xml:space="preserve"> HYPERLINK "https://futurecity.cw.com.tw/article/1867" \l "16" </w:instrTex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separate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SDG 16 和平、正義及健全制度</w: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end"/>
            </w:r>
          </w:p>
          <w:p w:rsidR="00080A18" w:rsidRPr="00080A18" w:rsidRDefault="00080A18" w:rsidP="00080A18">
            <w:pPr>
              <w:widowControl/>
              <w:spacing w:before="100" w:beforeAutospacing="1" w:after="0" w:line="320" w:lineRule="exact"/>
              <w:ind w:leftChars="134" w:left="295"/>
              <w:jc w:val="both"/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begin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instrText xml:space="preserve"> HYPERLINK "https://futurecity.cw.com.tw/article/1867" \l "17" </w:instrTex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separate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>SDG 17 多元夥伴關係</w:t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fldChar w:fldCharType="end"/>
            </w:r>
            <w:r w:rsidRPr="00080A18">
              <w:rPr>
                <w:rFonts w:ascii="標楷體" w:eastAsia="標楷體" w:hAnsi="標楷體" w:cs="Times New Roman"/>
                <w:sz w:val="24"/>
                <w:szCs w:val="20"/>
                <w:lang w:eastAsia="zh-HK"/>
              </w:rPr>
              <w:t xml:space="preserve">             □無關聯</w:t>
            </w:r>
          </w:p>
        </w:tc>
      </w:tr>
    </w:tbl>
    <w:p w:rsidR="00080A18" w:rsidRDefault="00080A1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080A18" w:rsidRDefault="00080A1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</w:rPr>
      </w:pP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</w:rPr>
        <w:lastRenderedPageBreak/>
        <w:t>課程核</w:t>
      </w:r>
      <w:r w:rsidRPr="00A00A88">
        <w:rPr>
          <w:rFonts w:ascii="Times New Roman" w:eastAsia="標楷體" w:hAnsi="Times New Roman" w:cs="Times New Roman"/>
          <w:spacing w:val="-3"/>
          <w:sz w:val="24"/>
          <w:szCs w:val="24"/>
        </w:rPr>
        <w:t>心能</w:t>
      </w:r>
      <w:r w:rsidRPr="00A00A88">
        <w:rPr>
          <w:rFonts w:ascii="Times New Roman" w:eastAsia="標楷體" w:hAnsi="Times New Roman" w:cs="Times New Roman"/>
          <w:sz w:val="24"/>
          <w:szCs w:val="24"/>
        </w:rPr>
        <w:t>力</w:t>
      </w:r>
      <w:proofErr w:type="spellEnd"/>
    </w:p>
    <w:p w:rsidR="00080A18" w:rsidRDefault="00080A1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6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816"/>
        <w:gridCol w:w="816"/>
        <w:gridCol w:w="816"/>
        <w:gridCol w:w="969"/>
        <w:gridCol w:w="969"/>
      </w:tblGrid>
      <w:tr w:rsidR="00080A18" w:rsidRPr="00080A18" w:rsidTr="00080A1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Chars="134" w:left="295" w:right="6"/>
              <w:jc w:val="center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核心能力</w:t>
            </w:r>
          </w:p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Chars="134" w:left="295" w:right="6"/>
              <w:jc w:val="center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Core competency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Chars="134" w:left="295" w:right="6"/>
              <w:jc w:val="center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本課程與核心能力關聯強度</w:t>
            </w:r>
          </w:p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Chars="134" w:left="295" w:right="6"/>
              <w:jc w:val="center"/>
              <w:textAlignment w:val="bottom"/>
              <w:rPr>
                <w:rFonts w:ascii="標楷體" w:eastAsia="標楷體" w:hAnsi="標楷體" w:cs="Times New Roman"/>
                <w:b/>
                <w:sz w:val="20"/>
                <w:szCs w:val="20"/>
                <w:lang w:eastAsia="zh-TW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Degrees of related to core competenc</w:t>
            </w: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  <w:t>ies</w:t>
            </w:r>
          </w:p>
        </w:tc>
      </w:tr>
      <w:tr w:rsidR="00080A18" w:rsidRPr="00080A18" w:rsidTr="00080A18">
        <w:tc>
          <w:tcPr>
            <w:tcW w:w="0" w:type="auto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both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  <w:t>2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HK"/>
              </w:rP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HK"/>
              </w:rPr>
              <w:t>4</w:t>
            </w:r>
          </w:p>
        </w:tc>
        <w:tc>
          <w:tcPr>
            <w:tcW w:w="0" w:type="auto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textAlignment w:val="bottom"/>
              <w:rPr>
                <w:rFonts w:ascii="標楷體" w:eastAsia="標楷體" w:hAnsi="標楷體" w:cs="Times New Roman"/>
                <w:b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HK"/>
              </w:rPr>
              <w:t>5</w:t>
            </w:r>
          </w:p>
        </w:tc>
      </w:tr>
      <w:tr w:rsidR="00080A18" w:rsidRPr="00080A18" w:rsidTr="00080A18"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widowControl/>
              <w:adjustRightInd w:val="0"/>
              <w:snapToGrid w:val="0"/>
              <w:spacing w:after="0" w:line="240" w:lineRule="auto"/>
              <w:ind w:leftChars="-43" w:left="171" w:hangingChars="133" w:hanging="266"/>
              <w:jc w:val="both"/>
              <w:rPr>
                <w:rFonts w:ascii="標楷體" w:eastAsia="標楷體" w:hAnsi="標楷體" w:cs="Times New Roman"/>
                <w:b/>
                <w:bCs/>
                <w:sz w:val="20"/>
                <w:szCs w:val="20"/>
                <w:lang w:eastAsia="zh-HK"/>
              </w:rPr>
            </w:pPr>
            <w:r w:rsidRPr="00080A18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  <w:lang w:eastAsia="zh-HK"/>
              </w:rPr>
              <w:t xml:space="preserve"> </w:t>
            </w:r>
            <w:r w:rsidRPr="00080A18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  <w:t>1.</w:t>
            </w:r>
            <w:r w:rsidRPr="00080A18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HK"/>
              </w:rPr>
              <w:t>具備察覺社會議題及倡導社會關懷價值之能力。</w:t>
            </w: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</w:tr>
      <w:tr w:rsidR="00080A18" w:rsidRPr="00080A18" w:rsidTr="00080A18"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widowControl/>
              <w:adjustRightInd w:val="0"/>
              <w:snapToGrid w:val="0"/>
              <w:spacing w:before="100" w:beforeAutospacing="1" w:after="0" w:line="240" w:lineRule="auto"/>
              <w:ind w:left="387" w:hangingChars="161" w:hanging="387"/>
              <w:jc w:val="both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  <w:t>2.</w:t>
            </w:r>
            <w:r w:rsidRPr="00080A18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HK"/>
              </w:rPr>
              <w:t>具備撰寫社會福利相關議題論文之能力。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</w:tr>
      <w:tr w:rsidR="00080A18" w:rsidRPr="00080A18" w:rsidTr="00080A18"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widowControl/>
              <w:adjustRightInd w:val="0"/>
              <w:snapToGrid w:val="0"/>
              <w:spacing w:before="100" w:beforeAutospacing="1" w:after="0" w:line="240" w:lineRule="auto"/>
              <w:ind w:left="163" w:hangingChars="68" w:hanging="163"/>
              <w:jc w:val="both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  <w:t>3.</w:t>
            </w:r>
            <w:r w:rsidRPr="00080A18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HK"/>
              </w:rPr>
              <w:t>具備分析與評估社會福利政策與方案進行之能力。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</w:tr>
      <w:tr w:rsidR="00080A18" w:rsidRPr="00080A18" w:rsidTr="00080A18"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widowControl/>
              <w:adjustRightInd w:val="0"/>
              <w:snapToGrid w:val="0"/>
              <w:spacing w:before="100" w:beforeAutospacing="1" w:after="0" w:line="240" w:lineRule="auto"/>
              <w:ind w:left="163" w:hangingChars="68" w:hanging="163"/>
              <w:jc w:val="both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</w:pPr>
            <w:r w:rsidRPr="00080A18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HK"/>
              </w:rPr>
              <w:t>4.</w:t>
            </w:r>
            <w:r w:rsidRPr="00080A18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HK"/>
              </w:rPr>
              <w:t>具備管理與發展社會福利方案與政策之能力。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widowControl/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100" w:beforeAutospacing="1" w:after="0" w:line="240" w:lineRule="auto"/>
              <w:ind w:leftChars="134" w:left="295" w:right="5"/>
              <w:jc w:val="center"/>
              <w:textAlignment w:val="bottom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</w:tr>
    </w:tbl>
    <w:p w:rsidR="00080A18" w:rsidRDefault="00080A18" w:rsidP="00080A1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碩士班</w:t>
      </w:r>
    </w:p>
    <w:p w:rsidR="00080A18" w:rsidRDefault="00080A18" w:rsidP="00080A1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080A18" w:rsidRDefault="00080A18" w:rsidP="00080A1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080A18" w:rsidRDefault="00080A18" w:rsidP="00080A1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博士班</w:t>
      </w:r>
    </w:p>
    <w:tbl>
      <w:tblPr>
        <w:tblpPr w:leftFromText="180" w:rightFromText="180" w:vertAnchor="page" w:horzAnchor="margin" w:tblpY="7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958"/>
        <w:gridCol w:w="711"/>
        <w:gridCol w:w="710"/>
        <w:gridCol w:w="710"/>
        <w:gridCol w:w="958"/>
      </w:tblGrid>
      <w:tr w:rsidR="00080A18" w:rsidRPr="00080A18" w:rsidTr="00080A1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6"/>
              <w:jc w:val="center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080A18">
              <w:rPr>
                <w:rFonts w:ascii="標楷體" w:eastAsia="標楷體" w:hAnsi="標楷體"/>
                <w:b/>
                <w:sz w:val="24"/>
                <w:szCs w:val="24"/>
              </w:rPr>
              <w:t>核心能力</w:t>
            </w:r>
            <w:proofErr w:type="spellEnd"/>
          </w:p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6"/>
              <w:jc w:val="center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80A18">
              <w:rPr>
                <w:rFonts w:ascii="標楷體" w:eastAsia="標楷體" w:hAnsi="標楷體"/>
                <w:b/>
                <w:sz w:val="24"/>
                <w:szCs w:val="24"/>
              </w:rPr>
              <w:t>Core competency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6"/>
              <w:jc w:val="center"/>
              <w:textAlignment w:val="bottom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80A18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本課程與核心能力關聯強度</w:t>
            </w:r>
          </w:p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6"/>
              <w:jc w:val="center"/>
              <w:textAlignment w:val="bottom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80A18">
              <w:rPr>
                <w:rFonts w:ascii="標楷體" w:eastAsia="標楷體" w:hAnsi="標楷體"/>
                <w:b/>
                <w:sz w:val="24"/>
                <w:szCs w:val="24"/>
              </w:rPr>
              <w:t>Degrees of related to core competenc</w:t>
            </w:r>
            <w:r w:rsidRPr="00080A18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ies</w:t>
            </w:r>
          </w:p>
        </w:tc>
      </w:tr>
      <w:tr w:rsidR="00080A18" w:rsidRPr="00080A18" w:rsidTr="00080A18">
        <w:tc>
          <w:tcPr>
            <w:tcW w:w="0" w:type="auto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80A18">
              <w:rPr>
                <w:rFonts w:ascii="標楷體" w:eastAsia="標楷體" w:hAnsi="標楷體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80A18">
              <w:rPr>
                <w:rFonts w:ascii="標楷體" w:eastAsia="標楷體" w:hAnsi="標楷體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80A18">
              <w:rPr>
                <w:rFonts w:ascii="標楷體" w:eastAsia="標楷體" w:hAnsi="標楷體" w:hint="eastAsia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80A18">
              <w:rPr>
                <w:rFonts w:ascii="標楷體" w:eastAsia="標楷體" w:hAnsi="標楷體" w:hint="eastAsia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textAlignment w:val="bottom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80A18">
              <w:rPr>
                <w:rFonts w:ascii="標楷體" w:eastAsia="標楷體" w:hAnsi="標楷體" w:hint="eastAsia"/>
                <w:b/>
                <w:sz w:val="24"/>
                <w:szCs w:val="24"/>
              </w:rPr>
              <w:t>5</w:t>
            </w:r>
          </w:p>
        </w:tc>
      </w:tr>
      <w:tr w:rsidR="00080A18" w:rsidRPr="00080A18" w:rsidTr="00080A18">
        <w:trPr>
          <w:trHeight w:val="593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adjustRightInd w:val="0"/>
              <w:snapToGrid w:val="0"/>
              <w:spacing w:after="0" w:line="240" w:lineRule="auto"/>
              <w:ind w:leftChars="-43" w:left="417" w:hangingChars="213" w:hanging="512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080A18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80A18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1.</w:t>
            </w:r>
            <w:r w:rsidRPr="00080A1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080A18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具備獨立完成及評論社會福利研究之能力。</w:t>
            </w: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</w:tr>
      <w:tr w:rsidR="00080A18" w:rsidRPr="00080A18" w:rsidTr="00080A18"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adjustRightInd w:val="0"/>
              <w:snapToGrid w:val="0"/>
              <w:spacing w:after="0" w:line="240" w:lineRule="auto"/>
              <w:ind w:left="387" w:hangingChars="161" w:hanging="387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080A18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2.</w:t>
            </w:r>
            <w:r w:rsidRPr="00080A1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080A18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具備教授社會福利相關課程之能力。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80A18" w:rsidRPr="00080A18" w:rsidTr="00080A18"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adjustRightInd w:val="0"/>
              <w:snapToGrid w:val="0"/>
              <w:spacing w:after="0" w:line="240" w:lineRule="auto"/>
              <w:ind w:left="305" w:hangingChars="127" w:hanging="305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080A18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3.</w:t>
            </w:r>
            <w:r w:rsidRPr="00080A1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080A18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具備策略性思考與批判社會福利政策之能力。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</w:tr>
      <w:tr w:rsidR="00080A18" w:rsidRPr="00080A18" w:rsidTr="00080A18">
        <w:trPr>
          <w:trHeight w:val="639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0A18" w:rsidRPr="00080A18" w:rsidRDefault="00080A18" w:rsidP="00080A18">
            <w:pPr>
              <w:adjustRightInd w:val="0"/>
              <w:snapToGrid w:val="0"/>
              <w:spacing w:after="0" w:line="240" w:lineRule="auto"/>
              <w:ind w:left="387" w:hangingChars="161" w:hanging="387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080A18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4.</w:t>
            </w:r>
            <w:r w:rsidRPr="00080A1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080A18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具備主導政策分析與社會發展之能力。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A18" w:rsidRPr="00080A18" w:rsidRDefault="00080A18" w:rsidP="00080A18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080A18">
              <w:rPr>
                <w:rFonts w:ascii="標楷體" w:eastAsia="標楷體" w:hAnsi="標楷體" w:cs="Times New Roman" w:hint="eastAsia"/>
                <w:sz w:val="24"/>
                <w:szCs w:val="20"/>
                <w:lang w:eastAsia="zh-HK"/>
              </w:rPr>
              <w:t>█</w:t>
            </w:r>
            <w:proofErr w:type="gramEnd"/>
          </w:p>
        </w:tc>
      </w:tr>
    </w:tbl>
    <w:p w:rsidR="00080A18" w:rsidRDefault="00080A18" w:rsidP="00080A1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080A18" w:rsidRDefault="00080A18" w:rsidP="00080A1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：關聯強度以五點量表標示，</w:t>
      </w:r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表示沒有關聯，</w:t>
      </w:r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5</w:t>
      </w:r>
      <w:r w:rsidRPr="00080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表示非常有關聯。</w:t>
      </w:r>
    </w:p>
    <w:p w:rsidR="00080A18" w:rsidRPr="00080A18" w:rsidRDefault="00080A18" w:rsidP="00080A18">
      <w:pPr>
        <w:spacing w:after="0" w:line="0" w:lineRule="atLeast"/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sectPr w:rsidR="00080A18" w:rsidRPr="00080A18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00" w:rsidRDefault="00D6185E">
      <w:pPr>
        <w:spacing w:after="0" w:line="240" w:lineRule="auto"/>
      </w:pPr>
      <w:r>
        <w:separator/>
      </w:r>
    </w:p>
  </w:endnote>
  <w:endnote w:type="continuationSeparator" w:id="0">
    <w:p w:rsidR="001E6E00" w:rsidRDefault="00D6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A89" w:rsidRDefault="00A00A88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F7754B" wp14:editId="055BAA85">
              <wp:simplePos x="0" y="0"/>
              <wp:positionH relativeFrom="page">
                <wp:posOffset>3662045</wp:posOffset>
              </wp:positionH>
              <wp:positionV relativeFrom="page">
                <wp:posOffset>9918065</wp:posOffset>
              </wp:positionV>
              <wp:extent cx="236855" cy="151765"/>
              <wp:effectExtent l="444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A89" w:rsidRDefault="00A00A88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120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77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35pt;margin-top:780.95pt;width:18.6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RKqg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" filled="f" stroked="f">
              <v:textbox inset="0,0,0,0">
                <w:txbxContent>
                  <w:p w:rsidR="00FD1A89" w:rsidRDefault="00A00A88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120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00" w:rsidRDefault="00D6185E">
      <w:pPr>
        <w:spacing w:after="0" w:line="240" w:lineRule="auto"/>
      </w:pPr>
      <w:r>
        <w:separator/>
      </w:r>
    </w:p>
  </w:footnote>
  <w:footnote w:type="continuationSeparator" w:id="0">
    <w:p w:rsidR="001E6E00" w:rsidRDefault="00D61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88"/>
    <w:rsid w:val="00080A18"/>
    <w:rsid w:val="00087D02"/>
    <w:rsid w:val="001E6E00"/>
    <w:rsid w:val="005D7CB4"/>
    <w:rsid w:val="00A00A88"/>
    <w:rsid w:val="00A024D9"/>
    <w:rsid w:val="00A36C46"/>
    <w:rsid w:val="00A43120"/>
    <w:rsid w:val="00C76F98"/>
    <w:rsid w:val="00CE7F22"/>
    <w:rsid w:val="00D13ECF"/>
    <w:rsid w:val="00D21146"/>
    <w:rsid w:val="00D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9C7C8"/>
  <w15:chartTrackingRefBased/>
  <w15:docId w15:val="{84879380-0566-4D04-BF16-DE9C7AB5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88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6C46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A36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6C46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futurecity.cw.com.tw/article/1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futurecity.cw.com.tw/article/1867" TargetMode="External"/><Relationship Id="rId11" Type="http://schemas.openxmlformats.org/officeDocument/2006/relationships/hyperlink" Target="https://futurecity.cw.com.tw/article/18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CCU SW</cp:lastModifiedBy>
  <cp:revision>11</cp:revision>
  <dcterms:created xsi:type="dcterms:W3CDTF">2020-05-30T15:54:00Z</dcterms:created>
  <dcterms:modified xsi:type="dcterms:W3CDTF">2024-12-25T01:40:00Z</dcterms:modified>
</cp:coreProperties>
</file>