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0893" w14:textId="77777777" w:rsidR="00471611" w:rsidRPr="00EC7545" w:rsidRDefault="00471611" w:rsidP="00FF74CC">
      <w:pPr>
        <w:widowControl/>
        <w:jc w:val="center"/>
        <w:rPr>
          <w:rFonts w:ascii="微軟正黑體" w:eastAsia="微軟正黑體" w:hAnsi="微軟正黑體" w:cs="新細明體"/>
          <w:b/>
          <w:kern w:val="0"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kern w:val="0"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kern w:val="0"/>
          <w:sz w:val="44"/>
          <w:szCs w:val="44"/>
        </w:rPr>
        <w:t>中正大學課程大綱</w:t>
      </w:r>
    </w:p>
    <w:p w14:paraId="711AB861" w14:textId="58328F8A" w:rsidR="001632CC" w:rsidRPr="00EC7545" w:rsidRDefault="00EC7545" w:rsidP="00CF0850">
      <w:pPr>
        <w:widowControl/>
        <w:spacing w:line="320" w:lineRule="exact"/>
        <w:jc w:val="righ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__</w:t>
      </w:r>
      <w:r w:rsidR="00D34B18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1</w:t>
      </w:r>
      <w:r w:rsidR="007842C7">
        <w:rPr>
          <w:rFonts w:ascii="微軟正黑體" w:eastAsia="微軟正黑體" w:hAnsi="微軟正黑體" w:cs="新細明體"/>
          <w:b/>
          <w:kern w:val="0"/>
          <w:sz w:val="28"/>
          <w:szCs w:val="28"/>
        </w:rPr>
        <w:t>1</w:t>
      </w:r>
      <w:r w:rsidR="00606CA8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4</w:t>
      </w:r>
      <w:r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___</w:t>
      </w:r>
      <w:r w:rsidRPr="00EC7545">
        <w:rPr>
          <w:rFonts w:ascii="微軟正黑體" w:eastAsia="微軟正黑體" w:hAnsi="微軟正黑體" w:cs="新細明體"/>
          <w:b/>
          <w:kern w:val="0"/>
          <w:sz w:val="28"/>
          <w:szCs w:val="28"/>
        </w:rPr>
        <w:t>學年</w:t>
      </w:r>
      <w:r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__</w:t>
      </w:r>
      <w:r w:rsidR="00914C57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2</w:t>
      </w:r>
      <w:r w:rsidRPr="00EC754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__學期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16"/>
        <w:gridCol w:w="8540"/>
      </w:tblGrid>
      <w:tr w:rsidR="00471611" w:rsidRPr="00EC7545" w14:paraId="58F5FC0F" w14:textId="77777777" w:rsidTr="00EC7545">
        <w:trPr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205E4C" w14:textId="77777777" w:rsidR="00471611" w:rsidRPr="00EC7545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課程名稱(中文)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CE433A" w14:textId="77777777" w:rsidR="00471611" w:rsidRPr="00EC7545" w:rsidRDefault="00D34B18" w:rsidP="00D34B1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D34B18">
              <w:rPr>
                <w:rFonts w:ascii="微軟正黑體" w:eastAsia="微軟正黑體" w:hAnsi="微軟正黑體" w:cs="新細明體" w:hint="eastAsia"/>
                <w:kern w:val="0"/>
              </w:rPr>
              <w:t>訴願及行政訴訟法(二)</w:t>
            </w:r>
          </w:p>
        </w:tc>
      </w:tr>
      <w:tr w:rsidR="00471611" w:rsidRPr="00EC7545" w14:paraId="41E1D871" w14:textId="77777777" w:rsidTr="00EC7545">
        <w:trPr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D3AC2E" w14:textId="77777777" w:rsidR="00471611" w:rsidRPr="00EC7545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先修科目或</w:t>
            </w:r>
            <w:r w:rsidR="00EC7545" w:rsidRPr="00EC7545">
              <w:rPr>
                <w:rFonts w:ascii="微軟正黑體" w:eastAsia="微軟正黑體" w:hAnsi="微軟正黑體" w:cs="新細明體"/>
                <w:b/>
                <w:kern w:val="0"/>
              </w:rPr>
              <w:t>先備能力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814DA9" w14:textId="6E9312C6" w:rsidR="00471611" w:rsidRDefault="00D34B1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修畢行政法(一)(二)或具備行政法總論(含基本原理原則、行政行為與行政組織)與訴願基礎知識</w:t>
            </w:r>
          </w:p>
          <w:p w14:paraId="498D0411" w14:textId="77777777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471611" w:rsidRPr="00EC7545" w14:paraId="2DF3096C" w14:textId="77777777" w:rsidTr="00EC7545">
        <w:trPr>
          <w:trHeight w:val="1268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393FD8" w14:textId="77777777"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課程概述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52FE4F" w14:textId="7BA2C24A" w:rsidR="00471611" w:rsidRPr="00EC7545" w:rsidRDefault="00D34B1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本課程為行政法之進階課程，</w:t>
            </w:r>
            <w:r w:rsidR="00914C57">
              <w:rPr>
                <w:rFonts w:ascii="微軟正黑體" w:eastAsia="微軟正黑體" w:hAnsi="微軟正黑體" w:cs="新細明體" w:hint="eastAsia"/>
                <w:kern w:val="0"/>
              </w:rPr>
              <w:t>接續上學期課程，本學期以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行政訴</w:t>
            </w:r>
            <w:r w:rsidR="00914C57">
              <w:rPr>
                <w:rFonts w:ascii="微軟正黑體" w:eastAsia="微軟正黑體" w:hAnsi="微軟正黑體" w:cs="新細明體" w:hint="eastAsia"/>
                <w:kern w:val="0"/>
              </w:rPr>
              <w:t>訟法為核心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，介紹我國行政救濟制度之理論與實務。</w:t>
            </w:r>
            <w:r w:rsidRPr="00D34B18">
              <w:rPr>
                <w:rFonts w:ascii="微軟正黑體" w:eastAsia="微軟正黑體" w:hAnsi="微軟正黑體" w:cs="新細明體" w:hint="eastAsia"/>
                <w:kern w:val="0"/>
              </w:rPr>
              <w:t>課程就各單元由授課教師</w:t>
            </w:r>
            <w:r w:rsidR="007842C7">
              <w:rPr>
                <w:rFonts w:ascii="微軟正黑體" w:eastAsia="微軟正黑體" w:hAnsi="微軟正黑體" w:cs="新細明體" w:hint="eastAsia"/>
                <w:kern w:val="0"/>
              </w:rPr>
              <w:t>先</w:t>
            </w:r>
            <w:r w:rsidRPr="00D34B18">
              <w:rPr>
                <w:rFonts w:ascii="微軟正黑體" w:eastAsia="微軟正黑體" w:hAnsi="微軟正黑體" w:cs="新細明體" w:hint="eastAsia"/>
                <w:kern w:val="0"/>
              </w:rPr>
              <w:t>行介紹實定法規定與相關理論，後透過案例與同學進行討論與分析。</w:t>
            </w:r>
          </w:p>
        </w:tc>
      </w:tr>
      <w:tr w:rsidR="00471611" w:rsidRPr="00EC7545" w14:paraId="65AB3948" w14:textId="77777777" w:rsidTr="00EC7545">
        <w:trPr>
          <w:trHeight w:val="1208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BD3D4A" w14:textId="77777777"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學習目標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E51D8A" w14:textId="77777777" w:rsidR="00471611" w:rsidRPr="00EC7545" w:rsidRDefault="00D34B1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D34B18">
              <w:rPr>
                <w:rFonts w:ascii="微軟正黑體" w:eastAsia="微軟正黑體" w:hAnsi="微軟正黑體" w:cs="新細明體" w:hint="eastAsia"/>
                <w:kern w:val="0"/>
              </w:rPr>
              <w:t>本課程在使學生對現行行政爭訟體系有整體之認識與掌握外，並期待培養同學整體分析與解決行政法實際案例之能力。</w:t>
            </w:r>
          </w:p>
        </w:tc>
      </w:tr>
      <w:tr w:rsidR="00471611" w:rsidRPr="00EC7545" w14:paraId="6E856C1B" w14:textId="77777777" w:rsidTr="00EC7545">
        <w:trPr>
          <w:trHeight w:val="1377"/>
          <w:tblCellSpacing w:w="0" w:type="dxa"/>
          <w:jc w:val="center"/>
        </w:trPr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C16CA0" w14:textId="77777777" w:rsidR="00471611" w:rsidRPr="00EC7545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教科書</w:t>
            </w:r>
          </w:p>
        </w:tc>
        <w:tc>
          <w:tcPr>
            <w:tcW w:w="3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711E6D" w14:textId="2EB33180" w:rsidR="00D34B18" w:rsidRPr="00D34B18" w:rsidRDefault="00D34B18" w:rsidP="00D34B18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 w:rsidRPr="00D34B18">
              <w:rPr>
                <w:rFonts w:ascii="微軟正黑體" w:eastAsia="微軟正黑體" w:hAnsi="微軟正黑體" w:hint="eastAsia"/>
                <w:color w:val="000000"/>
              </w:rPr>
              <w:t>【行政救濟/行政訴訟法教科書】</w:t>
            </w:r>
          </w:p>
          <w:p w14:paraId="7DA90F70" w14:textId="55787A0D" w:rsidR="00D34B18" w:rsidRDefault="00D34B18" w:rsidP="00D34B18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 w:rsidRPr="00D34B18">
              <w:rPr>
                <w:rFonts w:ascii="微軟正黑體" w:eastAsia="微軟正黑體" w:hAnsi="微軟正黑體" w:hint="eastAsia"/>
                <w:color w:val="000000"/>
              </w:rPr>
              <w:t>1、吳庚、張文郁，行政爭訟法論，</w:t>
            </w:r>
            <w:r w:rsidR="002C6EF0">
              <w:rPr>
                <w:rFonts w:ascii="微軟正黑體" w:eastAsia="微軟正黑體" w:hAnsi="微軟正黑體" w:hint="eastAsia"/>
                <w:color w:val="000000"/>
              </w:rPr>
              <w:t>10</w:t>
            </w:r>
            <w:r w:rsidRPr="00D34B18">
              <w:rPr>
                <w:rFonts w:ascii="微軟正黑體" w:eastAsia="微軟正黑體" w:hAnsi="微軟正黑體" w:hint="eastAsia"/>
                <w:color w:val="000000"/>
              </w:rPr>
              <w:t>版，20</w:t>
            </w:r>
            <w:r w:rsidR="002C6EF0">
              <w:rPr>
                <w:rFonts w:ascii="微軟正黑體" w:eastAsia="微軟正黑體" w:hAnsi="微軟正黑體" w:hint="eastAsia"/>
                <w:color w:val="000000"/>
              </w:rPr>
              <w:t>24</w:t>
            </w:r>
            <w:r w:rsidRPr="00D34B18">
              <w:rPr>
                <w:rFonts w:ascii="微軟正黑體" w:eastAsia="微軟正黑體" w:hAnsi="微軟正黑體" w:hint="eastAsia"/>
                <w:color w:val="000000"/>
              </w:rPr>
              <w:t>年。</w:t>
            </w:r>
          </w:p>
          <w:p w14:paraId="59C245B4" w14:textId="0F23529A" w:rsidR="00D34B18" w:rsidRPr="00D34B18" w:rsidRDefault="00D34B18" w:rsidP="00D34B18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 w:rsidRPr="00D34B18">
              <w:rPr>
                <w:rFonts w:ascii="微軟正黑體" w:eastAsia="微軟正黑體" w:hAnsi="微軟正黑體" w:hint="eastAsia"/>
                <w:color w:val="000000"/>
              </w:rPr>
              <w:t>2、徐瑞晃，行政訴訟法，元照，</w:t>
            </w:r>
            <w:r w:rsidR="00D20819">
              <w:rPr>
                <w:rFonts w:ascii="微軟正黑體" w:eastAsia="微軟正黑體" w:hAnsi="微軟正黑體" w:hint="eastAsia"/>
                <w:color w:val="000000"/>
              </w:rPr>
              <w:t>5版，</w:t>
            </w:r>
            <w:r w:rsidRPr="00D34B18">
              <w:rPr>
                <w:rFonts w:ascii="微軟正黑體" w:eastAsia="微軟正黑體" w:hAnsi="微軟正黑體" w:hint="eastAsia"/>
                <w:color w:val="000000"/>
              </w:rPr>
              <w:t>20</w:t>
            </w:r>
            <w:r w:rsidR="00C27897">
              <w:rPr>
                <w:rFonts w:ascii="微軟正黑體" w:eastAsia="微軟正黑體" w:hAnsi="微軟正黑體"/>
                <w:color w:val="000000"/>
              </w:rPr>
              <w:t>20</w:t>
            </w:r>
            <w:r w:rsidRPr="00D34B18">
              <w:rPr>
                <w:rFonts w:ascii="微軟正黑體" w:eastAsia="微軟正黑體" w:hAnsi="微軟正黑體" w:hint="eastAsia"/>
                <w:color w:val="000000"/>
              </w:rPr>
              <w:t>年。</w:t>
            </w:r>
          </w:p>
          <w:p w14:paraId="0CF8FAB6" w14:textId="0B49D09E" w:rsidR="00D34B18" w:rsidRPr="00D34B18" w:rsidRDefault="00D34B18" w:rsidP="00D34B18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 w:rsidRPr="00D34B18">
              <w:rPr>
                <w:rFonts w:ascii="微軟正黑體" w:eastAsia="微軟正黑體" w:hAnsi="微軟正黑體" w:hint="eastAsia"/>
                <w:color w:val="000000"/>
              </w:rPr>
              <w:t>3、陳清秀，行政訴訟法，元照，</w:t>
            </w:r>
            <w:r w:rsidR="00D20819">
              <w:rPr>
                <w:rFonts w:ascii="微軟正黑體" w:eastAsia="微軟正黑體" w:hAnsi="微軟正黑體" w:hint="eastAsia"/>
                <w:color w:val="000000"/>
              </w:rPr>
              <w:t>1</w:t>
            </w:r>
            <w:r w:rsidR="00CE10EE">
              <w:rPr>
                <w:rFonts w:ascii="微軟正黑體" w:eastAsia="微軟正黑體" w:hAnsi="微軟正黑體" w:hint="eastAsia"/>
                <w:color w:val="000000"/>
              </w:rPr>
              <w:t>1</w:t>
            </w:r>
            <w:r w:rsidRPr="00D34B18">
              <w:rPr>
                <w:rFonts w:ascii="微軟正黑體" w:eastAsia="微軟正黑體" w:hAnsi="微軟正黑體" w:hint="eastAsia"/>
                <w:color w:val="000000"/>
              </w:rPr>
              <w:t>版，20</w:t>
            </w:r>
            <w:r w:rsidR="00D20819">
              <w:rPr>
                <w:rFonts w:ascii="微軟正黑體" w:eastAsia="微軟正黑體" w:hAnsi="微軟正黑體"/>
                <w:color w:val="000000"/>
              </w:rPr>
              <w:t>2</w:t>
            </w:r>
            <w:r w:rsidR="00CE10EE">
              <w:rPr>
                <w:rFonts w:ascii="微軟正黑體" w:eastAsia="微軟正黑體" w:hAnsi="微軟正黑體" w:hint="eastAsia"/>
                <w:color w:val="000000"/>
              </w:rPr>
              <w:t>2</w:t>
            </w:r>
            <w:r w:rsidRPr="00D34B18">
              <w:rPr>
                <w:rFonts w:ascii="微軟正黑體" w:eastAsia="微軟正黑體" w:hAnsi="微軟正黑體" w:hint="eastAsia"/>
                <w:color w:val="000000"/>
              </w:rPr>
              <w:t>年。</w:t>
            </w:r>
          </w:p>
          <w:p w14:paraId="4766C595" w14:textId="3BDDEDA1" w:rsidR="00D34B18" w:rsidRPr="00D34B18" w:rsidRDefault="00D34B18" w:rsidP="00D34B18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 w:rsidRPr="00D34B18">
              <w:rPr>
                <w:rFonts w:ascii="微軟正黑體" w:eastAsia="微軟正黑體" w:hAnsi="微軟正黑體" w:hint="eastAsia"/>
                <w:color w:val="000000"/>
              </w:rPr>
              <w:t>4、翁岳生主編，行政訴訟法逐條釋義，五南，20</w:t>
            </w:r>
            <w:r w:rsidR="00C53754">
              <w:rPr>
                <w:rFonts w:ascii="微軟正黑體" w:eastAsia="微軟正黑體" w:hAnsi="微軟正黑體"/>
                <w:color w:val="000000"/>
              </w:rPr>
              <w:t>23</w:t>
            </w:r>
            <w:r w:rsidRPr="00D34B18">
              <w:rPr>
                <w:rFonts w:ascii="微軟正黑體" w:eastAsia="微軟正黑體" w:hAnsi="微軟正黑體" w:hint="eastAsia"/>
                <w:color w:val="000000"/>
              </w:rPr>
              <w:t>年</w:t>
            </w:r>
            <w:r w:rsidR="0073150A">
              <w:rPr>
                <w:rFonts w:ascii="微軟正黑體" w:eastAsia="微軟正黑體" w:hAnsi="微軟正黑體" w:hint="eastAsia"/>
                <w:color w:val="000000"/>
              </w:rPr>
              <w:t>最新版</w:t>
            </w:r>
          </w:p>
          <w:p w14:paraId="4CB6C290" w14:textId="77777777" w:rsidR="00D34B18" w:rsidRPr="00D34B18" w:rsidRDefault="00D34B18" w:rsidP="00D34B18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D34B18">
              <w:rPr>
                <w:rFonts w:ascii="微軟正黑體" w:eastAsia="微軟正黑體" w:hAnsi="微軟正黑體" w:hint="eastAsia"/>
              </w:rPr>
              <w:t>【論文集】</w:t>
            </w:r>
          </w:p>
          <w:p w14:paraId="1A52FB90" w14:textId="77777777" w:rsidR="00D34B18" w:rsidRPr="00D34B18" w:rsidRDefault="00D34B18" w:rsidP="00D34B18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D34B18">
              <w:rPr>
                <w:rFonts w:ascii="微軟正黑體" w:eastAsia="微軟正黑體" w:hAnsi="微軟正黑體" w:hint="eastAsia"/>
              </w:rPr>
              <w:t>1、張文郁，權利與救濟–以行政訴訟為中心，元照，1版，2005年。</w:t>
            </w:r>
          </w:p>
          <w:p w14:paraId="7C897057" w14:textId="77777777" w:rsidR="00D34B18" w:rsidRPr="00D34B18" w:rsidRDefault="00D34B18" w:rsidP="00D34B18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D34B18">
              <w:rPr>
                <w:rFonts w:ascii="微軟正黑體" w:eastAsia="微軟正黑體" w:hAnsi="微軟正黑體" w:hint="eastAsia"/>
              </w:rPr>
              <w:t>2、劉建宏，基本人權保障與行政救濟途徑，元照，2007年。</w:t>
            </w:r>
          </w:p>
          <w:p w14:paraId="3FA7C02D" w14:textId="098029E7" w:rsidR="001632CC" w:rsidRDefault="00D34B18" w:rsidP="00D34B18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 w:rsidRPr="00D34B18">
              <w:rPr>
                <w:rFonts w:ascii="微軟正黑體" w:eastAsia="微軟正黑體" w:hAnsi="微軟正黑體" w:hint="eastAsia"/>
              </w:rPr>
              <w:t>3、劉建宏，基本人權保障與行政救濟途徑（二），元照，2013年。</w:t>
            </w:r>
          </w:p>
          <w:p w14:paraId="14D443CF" w14:textId="5F0092F8" w:rsidR="00D20819" w:rsidRPr="00EC7545" w:rsidRDefault="00D20819" w:rsidP="00D34B18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4、李建良，行政訴訟十講，元照，</w:t>
            </w:r>
            <w:r w:rsidR="00736DF8">
              <w:rPr>
                <w:rFonts w:ascii="微軟正黑體" w:eastAsia="微軟正黑體" w:hAnsi="微軟正黑體" w:hint="eastAsia"/>
              </w:rPr>
              <w:t>增修6</w:t>
            </w:r>
            <w:r>
              <w:rPr>
                <w:rFonts w:ascii="微軟正黑體" w:eastAsia="微軟正黑體" w:hAnsi="微軟正黑體" w:hint="eastAsia"/>
              </w:rPr>
              <w:t>版，2</w:t>
            </w:r>
            <w:r>
              <w:rPr>
                <w:rFonts w:ascii="微軟正黑體" w:eastAsia="微軟正黑體" w:hAnsi="微軟正黑體"/>
              </w:rPr>
              <w:t>02</w:t>
            </w:r>
            <w:r w:rsidR="00736DF8">
              <w:rPr>
                <w:rFonts w:ascii="微軟正黑體" w:eastAsia="微軟正黑體" w:hAnsi="微軟正黑體" w:hint="eastAsia"/>
              </w:rPr>
              <w:t>5</w:t>
            </w:r>
            <w:r>
              <w:rPr>
                <w:rFonts w:ascii="微軟正黑體" w:eastAsia="微軟正黑體" w:hAnsi="微軟正黑體" w:hint="eastAsia"/>
              </w:rPr>
              <w:t>年。</w:t>
            </w:r>
          </w:p>
          <w:p w14:paraId="218460E1" w14:textId="77777777" w:rsidR="00471611" w:rsidRPr="00EC7545" w:rsidRDefault="001632CC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hint="eastAsia"/>
              </w:rPr>
              <w:t>（</w:t>
            </w:r>
            <w:r w:rsidRPr="00EC7545">
              <w:rPr>
                <w:rFonts w:ascii="微軟正黑體" w:eastAsia="微軟正黑體" w:hAnsi="微軟正黑體"/>
                <w:color w:val="FF0000"/>
              </w:rPr>
              <w:t>請尊重智慧財產權，不得非法影印教師指定之教科書籍</w:t>
            </w:r>
            <w:r w:rsidRPr="00EC7545">
              <w:rPr>
                <w:rFonts w:ascii="微軟正黑體" w:eastAsia="微軟正黑體" w:hAnsi="微軟正黑體" w:hint="eastAsia"/>
              </w:rPr>
              <w:t>）</w:t>
            </w:r>
          </w:p>
        </w:tc>
      </w:tr>
    </w:tbl>
    <w:p w14:paraId="0F9135E2" w14:textId="77777777" w:rsidR="00471611" w:rsidRPr="00EC7545" w:rsidRDefault="00471611" w:rsidP="00EC7545">
      <w:pPr>
        <w:widowControl/>
        <w:spacing w:line="320" w:lineRule="exact"/>
        <w:jc w:val="center"/>
        <w:rPr>
          <w:rFonts w:ascii="微軟正黑體" w:eastAsia="微軟正黑體" w:hAnsi="微軟正黑體" w:cs="新細明體"/>
          <w:kern w:val="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7"/>
        <w:gridCol w:w="9319"/>
      </w:tblGrid>
      <w:tr w:rsidR="00471611" w:rsidRPr="00EC7545" w14:paraId="5BC0148F" w14:textId="77777777" w:rsidTr="005A49C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0CCCC22" w14:textId="77777777"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教學要點概述</w:t>
            </w:r>
          </w:p>
        </w:tc>
      </w:tr>
      <w:tr w:rsidR="001B2B08" w:rsidRPr="00EC7545" w14:paraId="42BD6BF1" w14:textId="77777777" w:rsidTr="001B2B08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E1947A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教材編選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0A070D" w14:textId="77777777" w:rsidR="001B2B08" w:rsidRPr="001B2B08" w:rsidRDefault="00D34B18" w:rsidP="001B2B0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▓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自編教材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教科書作者提供</w:t>
            </w:r>
          </w:p>
        </w:tc>
      </w:tr>
      <w:tr w:rsidR="001B2B08" w:rsidRPr="00EC7545" w14:paraId="7D0DA8A3" w14:textId="77777777" w:rsidTr="001B2B08">
        <w:trPr>
          <w:trHeight w:val="739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E2DDCE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教學方法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641F32" w14:textId="77777777" w:rsidR="001B2B08" w:rsidRPr="00EC7545" w:rsidRDefault="00D34B1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▓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投影片講述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板書講述</w:t>
            </w:r>
          </w:p>
        </w:tc>
      </w:tr>
      <w:tr w:rsidR="001B2B08" w:rsidRPr="00EC7545" w14:paraId="352AC1E7" w14:textId="77777777" w:rsidTr="001B2B08">
        <w:trPr>
          <w:trHeight w:val="221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0B6F80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評量方法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C145C3" w14:textId="77777777" w:rsidR="001B2B08" w:rsidRDefault="001B2B0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上課點名 0%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 xml:space="preserve">小考 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0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作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業0%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程式實作 0%</w:t>
            </w:r>
          </w:p>
          <w:p w14:paraId="0E9E0F87" w14:textId="71910D44" w:rsidR="001B2B08" w:rsidRDefault="001B2B0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實習報告 0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%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專案 0%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D34B18">
              <w:rPr>
                <w:rFonts w:ascii="新細明體" w:hAnsi="新細明體" w:cs="新細明體" w:hint="eastAsia"/>
                <w:kern w:val="0"/>
              </w:rPr>
              <w:t>▓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期中考</w:t>
            </w:r>
            <w:r w:rsidR="0073150A">
              <w:rPr>
                <w:rFonts w:ascii="微軟正黑體" w:eastAsia="微軟正黑體" w:hAnsi="微軟正黑體" w:cs="新細明體" w:hint="eastAsia"/>
                <w:kern w:val="0"/>
              </w:rPr>
              <w:t>5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0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D34B18">
              <w:rPr>
                <w:rFonts w:ascii="新細明體" w:hAnsi="新細明體" w:cs="新細明體" w:hint="eastAsia"/>
                <w:kern w:val="0"/>
              </w:rPr>
              <w:t>▓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期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末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考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="0073150A">
              <w:rPr>
                <w:rFonts w:ascii="微軟正黑體" w:eastAsia="微軟正黑體" w:hAnsi="微軟正黑體" w:cs="新細明體"/>
                <w:kern w:val="0"/>
              </w:rPr>
              <w:t>5</w:t>
            </w: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0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</w:p>
          <w:p w14:paraId="60C65EAB" w14:textId="77777777" w:rsidR="001B2B08" w:rsidRPr="00EC7545" w:rsidRDefault="001B2B0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期末報告 0%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其它 0%</w:t>
            </w:r>
          </w:p>
        </w:tc>
      </w:tr>
      <w:tr w:rsidR="001B2B08" w:rsidRPr="00EC7545" w14:paraId="62C67742" w14:textId="77777777" w:rsidTr="001B2B08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5D9774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教學資源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88237E" w14:textId="77777777" w:rsidR="001B2B08" w:rsidRPr="00EC7545" w:rsidRDefault="00D34B18" w:rsidP="00D34B1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▓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課程網站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>
              <w:rPr>
                <w:rFonts w:ascii="新細明體" w:hAnsi="新細明體" w:cs="新細明體" w:hint="eastAsia"/>
                <w:kern w:val="0"/>
              </w:rPr>
              <w:t>▓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教材電子檔供下載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實習網站</w:t>
            </w:r>
          </w:p>
        </w:tc>
      </w:tr>
      <w:tr w:rsidR="001B2B08" w:rsidRPr="00EC7545" w14:paraId="45FFFA98" w14:textId="77777777" w:rsidTr="001B2B08">
        <w:trPr>
          <w:trHeight w:val="37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D9FAB0" w14:textId="77777777" w:rsidR="001B2B08" w:rsidRP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lastRenderedPageBreak/>
              <w:t>教學相關配合事項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73185E" w14:textId="77777777" w:rsidR="00F00E24" w:rsidRPr="00F00E24" w:rsidRDefault="00F00E24" w:rsidP="00F00E2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一、</w:t>
            </w:r>
            <w:r w:rsidRPr="00F00E24">
              <w:rPr>
                <w:rFonts w:ascii="微軟正黑體" w:eastAsia="微軟正黑體" w:hAnsi="微軟正黑體" w:cs="新細明體" w:hint="eastAsia"/>
                <w:kern w:val="0"/>
              </w:rPr>
              <w:t>上課請攜帶行政程序法、訴願法及行政訴訟法條文以供參照。</w:t>
            </w:r>
          </w:p>
          <w:p w14:paraId="6D7A8D4F" w14:textId="77777777" w:rsidR="001B06AF" w:rsidRDefault="00F00E24" w:rsidP="00F00E2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二、</w:t>
            </w:r>
            <w:r w:rsidRPr="00F00E24">
              <w:rPr>
                <w:rFonts w:ascii="微軟正黑體" w:eastAsia="微軟正黑體" w:hAnsi="微軟正黑體" w:cs="新細明體" w:hint="eastAsia"/>
                <w:kern w:val="0"/>
              </w:rPr>
              <w:t>上課請將手機鈴聲關閉。</w:t>
            </w:r>
          </w:p>
          <w:p w14:paraId="118C14A0" w14:textId="77777777" w:rsidR="00C72A55" w:rsidRPr="00EC7545" w:rsidRDefault="00C72A55" w:rsidP="00F00E24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三</w:t>
            </w:r>
            <w:r w:rsidRPr="00C72A55">
              <w:rPr>
                <w:rFonts w:ascii="微軟正黑體" w:eastAsia="微軟正黑體" w:hAnsi="微軟正黑體" w:cs="新細明體" w:hint="eastAsia"/>
                <w:kern w:val="0"/>
              </w:rPr>
              <w:t>、未能如期出席考試者，須依學校規定辦理請假手續；未依規定辦理者，不得請求補考。</w:t>
            </w:r>
          </w:p>
        </w:tc>
      </w:tr>
      <w:tr w:rsidR="00F00C36" w:rsidRPr="00EC7545" w14:paraId="360F93AB" w14:textId="77777777" w:rsidTr="005A49C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83D631A" w14:textId="77777777" w:rsidR="00F00C36" w:rsidRPr="00EC7545" w:rsidRDefault="00F00C36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b/>
                <w:kern w:val="0"/>
              </w:rPr>
              <w:t>課程進度</w:t>
            </w:r>
          </w:p>
        </w:tc>
      </w:tr>
      <w:tr w:rsidR="00914C57" w:rsidRPr="00EC7545" w14:paraId="4C2277B4" w14:textId="77777777" w:rsidTr="00665048">
        <w:trPr>
          <w:trHeight w:val="7165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8780E4" w14:textId="77777777" w:rsidR="00914C57" w:rsidRDefault="00914C57" w:rsidP="00914C57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  <w:p w14:paraId="0E68923C" w14:textId="77777777" w:rsidR="00914C57" w:rsidRDefault="00914C57" w:rsidP="00914C57">
            <w:pPr>
              <w:jc w:val="center"/>
              <w:rPr>
                <w:sz w:val="28"/>
              </w:rPr>
            </w:pPr>
          </w:p>
          <w:tbl>
            <w:tblPr>
              <w:tblW w:w="5897" w:type="dxa"/>
              <w:tblInd w:w="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61"/>
              <w:gridCol w:w="4536"/>
            </w:tblGrid>
            <w:tr w:rsidR="00914C57" w14:paraId="77C31FA3" w14:textId="77777777" w:rsidTr="00E14929">
              <w:trPr>
                <w:trHeight w:val="575"/>
              </w:trPr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EAE62" w14:textId="77777777" w:rsidR="00914C57" w:rsidRPr="00C40ACB" w:rsidRDefault="00914C57" w:rsidP="00914C57">
                  <w:r w:rsidRPr="00C40ACB">
                    <w:rPr>
                      <w:rFonts w:hint="eastAsia"/>
                    </w:rPr>
                    <w:t>週次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4D459" w14:textId="77777777" w:rsidR="00914C57" w:rsidRPr="00C40ACB" w:rsidRDefault="00914C57" w:rsidP="00914C57">
                  <w:pPr>
                    <w:rPr>
                      <w:lang w:val="de-DE"/>
                    </w:rPr>
                  </w:pPr>
                  <w:r w:rsidRPr="00C40ACB">
                    <w:t xml:space="preserve">  </w:t>
                  </w:r>
                  <w:r w:rsidRPr="00C40ACB">
                    <w:rPr>
                      <w:rFonts w:hint="eastAsia"/>
                    </w:rPr>
                    <w:t>主題</w:t>
                  </w:r>
                </w:p>
              </w:tc>
            </w:tr>
            <w:tr w:rsidR="00914C57" w14:paraId="3655C8E7" w14:textId="77777777" w:rsidTr="00E14929"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1B118" w14:textId="5173ACEE" w:rsidR="00914C57" w:rsidRPr="00C40ACB" w:rsidRDefault="00914C57" w:rsidP="00914C57">
                  <w:r w:rsidRPr="00C40ACB">
                    <w:t>1</w:t>
                  </w:r>
                  <w:r>
                    <w:t>(2/</w:t>
                  </w:r>
                  <w:r w:rsidR="002E2D3F">
                    <w:rPr>
                      <w:rFonts w:hint="eastAsia"/>
                    </w:rPr>
                    <w:t>25</w:t>
                  </w:r>
                  <w:r>
                    <w:t>)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3A961" w14:textId="13C56591" w:rsidR="00914C57" w:rsidRPr="00C40ACB" w:rsidRDefault="00914C57" w:rsidP="00914C57">
                  <w:r w:rsidRPr="00914C57">
                    <w:rPr>
                      <w:rFonts w:hint="eastAsia"/>
                    </w:rPr>
                    <w:t>行政訴訟審判權及管轄權</w:t>
                  </w:r>
                </w:p>
              </w:tc>
            </w:tr>
            <w:tr w:rsidR="00914C57" w14:paraId="66ED3638" w14:textId="77777777" w:rsidTr="00E14929"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91785" w14:textId="6770894D" w:rsidR="00914C57" w:rsidRPr="00C40ACB" w:rsidRDefault="00914C57" w:rsidP="00914C57">
                  <w:r w:rsidRPr="00C40ACB">
                    <w:t>2</w:t>
                  </w:r>
                  <w:r>
                    <w:t>(</w:t>
                  </w:r>
                  <w:r w:rsidR="002E2D3F">
                    <w:rPr>
                      <w:rFonts w:hint="eastAsia"/>
                    </w:rPr>
                    <w:t>3</w:t>
                  </w:r>
                  <w:r>
                    <w:t>/</w:t>
                  </w:r>
                  <w:r w:rsidR="002E2D3F">
                    <w:rPr>
                      <w:rFonts w:hint="eastAsia"/>
                    </w:rPr>
                    <w:t>4</w:t>
                  </w:r>
                  <w:r>
                    <w:t>)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7F560" w14:textId="1F085201" w:rsidR="00914C57" w:rsidRPr="00C40ACB" w:rsidRDefault="00914C57" w:rsidP="00914C57">
                  <w:r w:rsidRPr="00914C57">
                    <w:rPr>
                      <w:rFonts w:hint="eastAsia"/>
                    </w:rPr>
                    <w:t>行政訴訟之訴訟類型（</w:t>
                  </w:r>
                  <w:r w:rsidRPr="00914C57">
                    <w:rPr>
                      <w:rFonts w:hint="eastAsia"/>
                    </w:rPr>
                    <w:t>I</w:t>
                  </w:r>
                  <w:r w:rsidRPr="00914C57">
                    <w:rPr>
                      <w:rFonts w:hint="eastAsia"/>
                    </w:rPr>
                    <w:t>）</w:t>
                  </w:r>
                </w:p>
              </w:tc>
            </w:tr>
            <w:tr w:rsidR="00914C57" w14:paraId="590C13E6" w14:textId="77777777" w:rsidTr="00E14929"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5F416" w14:textId="12B0A131" w:rsidR="00914C57" w:rsidRPr="00C40ACB" w:rsidRDefault="00914C57" w:rsidP="00914C57">
                  <w:r w:rsidRPr="00C40ACB">
                    <w:t>3</w:t>
                  </w:r>
                  <w:r>
                    <w:t>(3/</w:t>
                  </w:r>
                  <w:r w:rsidR="002E2D3F">
                    <w:rPr>
                      <w:rFonts w:hint="eastAsia"/>
                    </w:rPr>
                    <w:t>11</w:t>
                  </w:r>
                  <w:r>
                    <w:t>)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1BF7D" w14:textId="5E07FA05" w:rsidR="00914C57" w:rsidRPr="00C40ACB" w:rsidRDefault="00914C57" w:rsidP="00914C57">
                  <w:r w:rsidRPr="00914C57">
                    <w:rPr>
                      <w:rFonts w:hint="eastAsia"/>
                    </w:rPr>
                    <w:t>行政訴訟之訴訟類型（</w:t>
                  </w:r>
                  <w:r w:rsidRPr="00914C57">
                    <w:rPr>
                      <w:rFonts w:hint="eastAsia"/>
                    </w:rPr>
                    <w:t>II</w:t>
                  </w:r>
                  <w:r w:rsidRPr="00914C57">
                    <w:rPr>
                      <w:rFonts w:hint="eastAsia"/>
                    </w:rPr>
                    <w:t>）</w:t>
                  </w:r>
                </w:p>
              </w:tc>
            </w:tr>
            <w:tr w:rsidR="00914C57" w14:paraId="4B1AAFAC" w14:textId="77777777" w:rsidTr="00E14929"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43133" w14:textId="39100E72" w:rsidR="00914C57" w:rsidRPr="00C40ACB" w:rsidRDefault="00914C57" w:rsidP="00914C57">
                  <w:r w:rsidRPr="00C40ACB">
                    <w:t>4</w:t>
                  </w:r>
                  <w:r>
                    <w:t>(3/</w:t>
                  </w:r>
                  <w:r w:rsidR="002E2D3F">
                    <w:rPr>
                      <w:rFonts w:hint="eastAsia"/>
                    </w:rPr>
                    <w:t>18</w:t>
                  </w:r>
                  <w:r>
                    <w:t>)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058C8" w14:textId="07677A58" w:rsidR="00914C57" w:rsidRPr="00C40ACB" w:rsidRDefault="00914C57" w:rsidP="00914C57">
                  <w:r w:rsidRPr="00914C57">
                    <w:rPr>
                      <w:rFonts w:hint="eastAsia"/>
                    </w:rPr>
                    <w:t>行政訴訟當事人（</w:t>
                  </w:r>
                  <w:r w:rsidRPr="00914C57">
                    <w:rPr>
                      <w:rFonts w:hint="eastAsia"/>
                    </w:rPr>
                    <w:t>I</w:t>
                  </w:r>
                  <w:r w:rsidRPr="00914C57">
                    <w:rPr>
                      <w:rFonts w:hint="eastAsia"/>
                    </w:rPr>
                    <w:t>）</w:t>
                  </w:r>
                </w:p>
              </w:tc>
            </w:tr>
            <w:tr w:rsidR="00914C57" w14:paraId="7D4DB7C9" w14:textId="77777777" w:rsidTr="00E14929"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22A1C" w14:textId="6797B88A" w:rsidR="00914C57" w:rsidRPr="00C40ACB" w:rsidRDefault="00914C57" w:rsidP="00914C57">
                  <w:r w:rsidRPr="00C40ACB">
                    <w:t>5</w:t>
                  </w:r>
                  <w:r>
                    <w:t>(3/</w:t>
                  </w:r>
                  <w:r w:rsidR="002E2D3F">
                    <w:rPr>
                      <w:rFonts w:hint="eastAsia"/>
                    </w:rPr>
                    <w:t>25</w:t>
                  </w:r>
                  <w:r>
                    <w:t>)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64FBB" w14:textId="7C0955E0" w:rsidR="00914C57" w:rsidRPr="00C40ACB" w:rsidRDefault="00914C57" w:rsidP="00914C57">
                  <w:r w:rsidRPr="00914C57">
                    <w:rPr>
                      <w:rFonts w:hint="eastAsia"/>
                    </w:rPr>
                    <w:t>行政訴訟當事人（</w:t>
                  </w:r>
                  <w:r w:rsidRPr="00914C57">
                    <w:rPr>
                      <w:rFonts w:hint="eastAsia"/>
                    </w:rPr>
                    <w:t>II</w:t>
                  </w:r>
                  <w:r w:rsidRPr="00914C57">
                    <w:rPr>
                      <w:rFonts w:hint="eastAsia"/>
                    </w:rPr>
                    <w:t>）</w:t>
                  </w:r>
                </w:p>
              </w:tc>
            </w:tr>
            <w:tr w:rsidR="00914C57" w14:paraId="7019D765" w14:textId="77777777" w:rsidTr="00E14929"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087CB" w14:textId="3F9F1EC6" w:rsidR="00914C57" w:rsidRPr="00C40ACB" w:rsidRDefault="00914C57" w:rsidP="00914C57">
                  <w:r w:rsidRPr="00C40ACB">
                    <w:t>6</w:t>
                  </w:r>
                  <w:r>
                    <w:t>(</w:t>
                  </w:r>
                  <w:r w:rsidR="002E2D3F">
                    <w:rPr>
                      <w:rFonts w:hint="eastAsia"/>
                    </w:rPr>
                    <w:t>4/1</w:t>
                  </w:r>
                  <w:r>
                    <w:t>)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62E45" w14:textId="3C11981F" w:rsidR="00914C57" w:rsidRPr="00C40ACB" w:rsidRDefault="002E2D3F" w:rsidP="00914C57">
                  <w:r w:rsidRPr="00914C57">
                    <w:rPr>
                      <w:rFonts w:hint="eastAsia"/>
                    </w:rPr>
                    <w:t>一般實體裁判要件</w:t>
                  </w:r>
                </w:p>
              </w:tc>
            </w:tr>
            <w:tr w:rsidR="00914C57" w14:paraId="499A0407" w14:textId="77777777" w:rsidTr="00E14929"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91EBA" w14:textId="17963A66" w:rsidR="00914C57" w:rsidRPr="00C40ACB" w:rsidRDefault="00914C57" w:rsidP="00914C57">
                  <w:r w:rsidRPr="00C40ACB">
                    <w:t>7</w:t>
                  </w:r>
                  <w:r>
                    <w:t>(4/</w:t>
                  </w:r>
                  <w:r w:rsidR="002E2D3F">
                    <w:rPr>
                      <w:rFonts w:hint="eastAsia"/>
                    </w:rPr>
                    <w:t>8</w:t>
                  </w:r>
                  <w:r>
                    <w:t>)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C81BD" w14:textId="2DE424E8" w:rsidR="00914C57" w:rsidRPr="00C40ACB" w:rsidRDefault="002E2D3F" w:rsidP="00914C57">
                  <w:pPr>
                    <w:rPr>
                      <w:rFonts w:ascii="新細明體" w:hAnsi="新細明體"/>
                    </w:rPr>
                  </w:pPr>
                  <w:r>
                    <w:rPr>
                      <w:rFonts w:ascii="新細明體" w:hAnsi="新細明體" w:hint="eastAsia"/>
                      <w:color w:val="FF0000"/>
                    </w:rPr>
                    <w:t>校際活動停課</w:t>
                  </w:r>
                </w:p>
              </w:tc>
            </w:tr>
            <w:tr w:rsidR="00914C57" w14:paraId="01588C4D" w14:textId="77777777" w:rsidTr="00E14929"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96E9D" w14:textId="5C12452F" w:rsidR="00914C57" w:rsidRPr="00C40ACB" w:rsidRDefault="00914C57" w:rsidP="00914C57">
                  <w:r w:rsidRPr="00C40ACB">
                    <w:t>8</w:t>
                  </w:r>
                  <w:r>
                    <w:t>(</w:t>
                  </w:r>
                  <w:r>
                    <w:rPr>
                      <w:rFonts w:hint="eastAsia"/>
                    </w:rPr>
                    <w:t>4/</w:t>
                  </w:r>
                  <w:r w:rsidR="002E2D3F">
                    <w:rPr>
                      <w:rFonts w:hint="eastAsia"/>
                    </w:rPr>
                    <w:t>15</w:t>
                  </w:r>
                  <w:r>
                    <w:t>)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5505A" w14:textId="1E654466" w:rsidR="00914C57" w:rsidRPr="00C40ACB" w:rsidRDefault="002E2D3F" w:rsidP="00914C57">
                  <w:r w:rsidRPr="00914C57">
                    <w:rPr>
                      <w:rFonts w:hint="eastAsia"/>
                    </w:rPr>
                    <w:t>個別實體裁判要件</w:t>
                  </w:r>
                </w:p>
              </w:tc>
            </w:tr>
            <w:tr w:rsidR="00914C57" w14:paraId="48719FD3" w14:textId="77777777" w:rsidTr="00E14929"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B2656" w14:textId="1F97CA4B" w:rsidR="00914C57" w:rsidRPr="00C40ACB" w:rsidRDefault="00914C57" w:rsidP="00914C57">
                  <w:r w:rsidRPr="00C40ACB">
                    <w:t>9</w:t>
                  </w:r>
                  <w:r>
                    <w:t>(4/</w:t>
                  </w:r>
                  <w:r w:rsidR="002E2D3F">
                    <w:rPr>
                      <w:rFonts w:hint="eastAsia"/>
                    </w:rPr>
                    <w:t>22</w:t>
                  </w:r>
                  <w:r>
                    <w:t>)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A8C34" w14:textId="5F6E8D8B" w:rsidR="00914C57" w:rsidRPr="00C40ACB" w:rsidRDefault="002E2D3F" w:rsidP="00914C57">
                  <w:r w:rsidRPr="00914C57">
                    <w:rPr>
                      <w:rFonts w:hint="eastAsia"/>
                    </w:rPr>
                    <w:t>※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期中考</w:t>
                  </w:r>
                </w:p>
              </w:tc>
            </w:tr>
            <w:tr w:rsidR="00914C57" w14:paraId="23CDDB67" w14:textId="77777777" w:rsidTr="00E14929"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D41EF" w14:textId="41F90467" w:rsidR="00914C57" w:rsidRPr="00C40ACB" w:rsidRDefault="00914C57" w:rsidP="00914C57">
                  <w:r w:rsidRPr="00C40ACB">
                    <w:t>10</w:t>
                  </w:r>
                  <w:r>
                    <w:t>(4/2</w:t>
                  </w:r>
                  <w:r w:rsidR="002E2D3F">
                    <w:rPr>
                      <w:rFonts w:hint="eastAsia"/>
                    </w:rPr>
                    <w:t>9</w:t>
                  </w:r>
                  <w:r>
                    <w:t>)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75752" w14:textId="62DB8A6C" w:rsidR="00914C57" w:rsidRPr="00C40ACB" w:rsidRDefault="002E2D3F" w:rsidP="00914C57">
                  <w:r w:rsidRPr="00914C57">
                    <w:rPr>
                      <w:rFonts w:hint="eastAsia"/>
                    </w:rPr>
                    <w:t>期中考檢討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裁判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和解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調解</w:t>
                  </w:r>
                </w:p>
              </w:tc>
            </w:tr>
            <w:tr w:rsidR="00914C57" w14:paraId="5191747F" w14:textId="77777777" w:rsidTr="00E14929"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6C693" w14:textId="4FDE6F89" w:rsidR="00914C57" w:rsidRPr="00C40ACB" w:rsidRDefault="00914C57" w:rsidP="00914C57">
                  <w:r w:rsidRPr="00C40ACB">
                    <w:t>11</w:t>
                  </w:r>
                  <w:r>
                    <w:t>(</w:t>
                  </w:r>
                  <w:r w:rsidR="002E2D3F">
                    <w:rPr>
                      <w:rFonts w:hint="eastAsia"/>
                    </w:rPr>
                    <w:t>5</w:t>
                  </w:r>
                  <w:r>
                    <w:t>/</w:t>
                  </w:r>
                  <w:r w:rsidR="002E2D3F">
                    <w:rPr>
                      <w:rFonts w:hint="eastAsia"/>
                    </w:rPr>
                    <w:t>6</w:t>
                  </w:r>
                  <w:r>
                    <w:t>)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CCC2C" w14:textId="1EC067E2" w:rsidR="00914C57" w:rsidRPr="00C40ACB" w:rsidRDefault="002E2D3F" w:rsidP="00914C57">
                  <w:r w:rsidRPr="00914C57">
                    <w:rPr>
                      <w:rFonts w:hint="eastAsia"/>
                    </w:rPr>
                    <w:t>簡易程序</w:t>
                  </w:r>
                </w:p>
              </w:tc>
            </w:tr>
            <w:tr w:rsidR="00914C57" w14:paraId="12F8F430" w14:textId="77777777" w:rsidTr="00E14929"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F1509" w14:textId="38A433F6" w:rsidR="00914C57" w:rsidRPr="00C40ACB" w:rsidRDefault="00914C57" w:rsidP="00914C57">
                  <w:r w:rsidRPr="00C40ACB">
                    <w:t>12</w:t>
                  </w:r>
                  <w:r>
                    <w:t>(5/</w:t>
                  </w:r>
                  <w:r w:rsidR="002E2D3F">
                    <w:rPr>
                      <w:rFonts w:hint="eastAsia"/>
                    </w:rPr>
                    <w:t>13</w:t>
                  </w:r>
                  <w:r>
                    <w:t>)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6DF80" w14:textId="29070EC5" w:rsidR="00914C57" w:rsidRPr="00C40ACB" w:rsidRDefault="00914C57" w:rsidP="00914C57">
                  <w:r w:rsidRPr="00914C57">
                    <w:rPr>
                      <w:rFonts w:hint="eastAsia"/>
                    </w:rPr>
                    <w:t>交通裁決程序</w:t>
                  </w:r>
                </w:p>
              </w:tc>
            </w:tr>
            <w:tr w:rsidR="00914C57" w14:paraId="377E9DA5" w14:textId="77777777" w:rsidTr="00E14929"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CA23C" w14:textId="779F0C0D" w:rsidR="00914C57" w:rsidRPr="00C40ACB" w:rsidRDefault="00914C57" w:rsidP="00914C57">
                  <w:r w:rsidRPr="00C40ACB">
                    <w:t>13</w:t>
                  </w:r>
                  <w:r>
                    <w:t>(5/</w:t>
                  </w:r>
                  <w:r w:rsidR="002E2D3F">
                    <w:rPr>
                      <w:rFonts w:hint="eastAsia"/>
                    </w:rPr>
                    <w:t>20</w:t>
                  </w:r>
                  <w:r>
                    <w:t>)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8DEF8" w14:textId="282CCB84" w:rsidR="00914C57" w:rsidRPr="00C40ACB" w:rsidRDefault="00914C57" w:rsidP="00914C57">
                  <w:r w:rsidRPr="00914C57">
                    <w:rPr>
                      <w:rFonts w:hint="eastAsia"/>
                    </w:rPr>
                    <w:t>收容聲請程序</w:t>
                  </w:r>
                  <w:r w:rsidRPr="00914C57">
                    <w:rPr>
                      <w:rFonts w:hint="eastAsia"/>
                    </w:rPr>
                    <w:t>/</w:t>
                  </w:r>
                  <w:r w:rsidRPr="00914C57">
                    <w:rPr>
                      <w:rFonts w:hint="eastAsia"/>
                    </w:rPr>
                    <w:t>都市計畫審查程序</w:t>
                  </w:r>
                </w:p>
              </w:tc>
            </w:tr>
            <w:tr w:rsidR="00914C57" w14:paraId="0782E405" w14:textId="77777777" w:rsidTr="00E14929"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29CB5" w14:textId="73384C6A" w:rsidR="00914C57" w:rsidRPr="00C40ACB" w:rsidRDefault="00914C57" w:rsidP="00914C57">
                  <w:r w:rsidRPr="00C40ACB">
                    <w:t>14</w:t>
                  </w:r>
                  <w:r>
                    <w:t>(5/2</w:t>
                  </w:r>
                  <w:r w:rsidR="002E2D3F">
                    <w:rPr>
                      <w:rFonts w:hint="eastAsia"/>
                    </w:rPr>
                    <w:t>7</w:t>
                  </w:r>
                  <w:r>
                    <w:t>)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29675" w14:textId="312D8645" w:rsidR="00914C57" w:rsidRPr="00C40ACB" w:rsidRDefault="00914C57" w:rsidP="00914C57">
                  <w:r w:rsidRPr="00914C57">
                    <w:rPr>
                      <w:rFonts w:hint="eastAsia"/>
                    </w:rPr>
                    <w:t>上訴程序</w:t>
                  </w:r>
                  <w:r w:rsidRPr="00914C57">
                    <w:rPr>
                      <w:rFonts w:hint="eastAsia"/>
                    </w:rPr>
                    <w:t>/</w:t>
                  </w:r>
                  <w:r w:rsidRPr="00914C57">
                    <w:rPr>
                      <w:rFonts w:hint="eastAsia"/>
                    </w:rPr>
                    <w:t>再審及重新審理</w:t>
                  </w:r>
                </w:p>
              </w:tc>
            </w:tr>
            <w:tr w:rsidR="00914C57" w14:paraId="6523B741" w14:textId="77777777" w:rsidTr="00E14929"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23B4E" w14:textId="04228C9F" w:rsidR="00914C57" w:rsidRPr="00C40ACB" w:rsidRDefault="00914C57" w:rsidP="00914C57">
                  <w:r w:rsidRPr="00C40ACB">
                    <w:t>15</w:t>
                  </w:r>
                  <w:r>
                    <w:t>(</w:t>
                  </w:r>
                  <w:r w:rsidR="002E2D3F">
                    <w:rPr>
                      <w:rFonts w:hint="eastAsia"/>
                    </w:rPr>
                    <w:t>6</w:t>
                  </w:r>
                  <w:r>
                    <w:t>/</w:t>
                  </w:r>
                  <w:r w:rsidR="002E2D3F">
                    <w:rPr>
                      <w:rFonts w:hint="eastAsia"/>
                    </w:rPr>
                    <w:t>3</w:t>
                  </w:r>
                  <w:r>
                    <w:t>)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9EE9D" w14:textId="07993C33" w:rsidR="00914C57" w:rsidRPr="00C40ACB" w:rsidRDefault="00914C57" w:rsidP="00914C57">
                  <w:r w:rsidRPr="00914C57">
                    <w:rPr>
                      <w:rFonts w:hint="eastAsia"/>
                    </w:rPr>
                    <w:t>保全程序</w:t>
                  </w:r>
                  <w:r w:rsidRPr="00914C57">
                    <w:t>/</w:t>
                  </w:r>
                  <w:r w:rsidRPr="00914C57">
                    <w:rPr>
                      <w:rFonts w:hint="eastAsia"/>
                    </w:rPr>
                    <w:t>強制執行</w:t>
                  </w:r>
                </w:p>
              </w:tc>
            </w:tr>
            <w:tr w:rsidR="00914C57" w14:paraId="7A933868" w14:textId="77777777" w:rsidTr="00E14929"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A17A0" w14:textId="20EB9806" w:rsidR="00914C57" w:rsidRPr="00C40ACB" w:rsidRDefault="00914C57" w:rsidP="00914C57">
                  <w:r w:rsidRPr="00C40ACB">
                    <w:t>16</w:t>
                  </w:r>
                  <w:r>
                    <w:t>(6/</w:t>
                  </w:r>
                  <w:r w:rsidR="002E2D3F">
                    <w:rPr>
                      <w:rFonts w:hint="eastAsia"/>
                    </w:rPr>
                    <w:t>10</w:t>
                  </w:r>
                  <w:r>
                    <w:t>)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914E4" w14:textId="66C49552" w:rsidR="00914C57" w:rsidRPr="00C40ACB" w:rsidRDefault="00914C57" w:rsidP="00914C57">
                  <w:r w:rsidRPr="00914C57">
                    <w:rPr>
                      <w:rFonts w:hint="eastAsia"/>
                      <w:bCs/>
                    </w:rPr>
                    <w:t>※</w:t>
                  </w:r>
                  <w:r>
                    <w:rPr>
                      <w:rFonts w:hint="eastAsia"/>
                      <w:bCs/>
                    </w:rPr>
                    <w:t xml:space="preserve"> </w:t>
                  </w:r>
                  <w:r w:rsidRPr="00C40ACB">
                    <w:rPr>
                      <w:rFonts w:hint="eastAsia"/>
                      <w:bCs/>
                    </w:rPr>
                    <w:t>期末考</w:t>
                  </w:r>
                </w:p>
              </w:tc>
            </w:tr>
            <w:tr w:rsidR="00914C57" w14:paraId="691722E2" w14:textId="77777777" w:rsidTr="00E14929"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7D5DA" w14:textId="26BF2C05" w:rsidR="00914C57" w:rsidRPr="00C40ACB" w:rsidRDefault="00914C57" w:rsidP="00914C57">
                  <w:r>
                    <w:rPr>
                      <w:rFonts w:hint="eastAsia"/>
                    </w:rPr>
                    <w:t>17</w:t>
                  </w:r>
                  <w:r>
                    <w:t>(</w:t>
                  </w:r>
                  <w:r>
                    <w:rPr>
                      <w:rFonts w:hint="eastAsia"/>
                    </w:rPr>
                    <w:t>6/1</w:t>
                  </w:r>
                  <w:r w:rsidR="002E2D3F">
                    <w:rPr>
                      <w:rFonts w:hint="eastAsia"/>
                    </w:rPr>
                    <w:t>7</w:t>
                  </w:r>
                  <w:r>
                    <w:t>)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417EF" w14:textId="77777777" w:rsidR="00914C57" w:rsidRPr="00C40ACB" w:rsidRDefault="00914C57" w:rsidP="00914C57">
                  <w:pPr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期末考檢討及成績確認</w:t>
                  </w:r>
                </w:p>
              </w:tc>
            </w:tr>
            <w:tr w:rsidR="00914C57" w14:paraId="096D5701" w14:textId="77777777" w:rsidTr="00E14929"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229FE" w14:textId="625A759D" w:rsidR="00914C57" w:rsidRDefault="00914C57" w:rsidP="00914C57">
                  <w:r>
                    <w:t>18(6/</w:t>
                  </w:r>
                  <w:r w:rsidR="002E2D3F">
                    <w:rPr>
                      <w:rFonts w:hint="eastAsia"/>
                    </w:rPr>
                    <w:t>24</w:t>
                  </w:r>
                  <w:r>
                    <w:t>)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1D2B5" w14:textId="2AE3B659" w:rsidR="00914C57" w:rsidRDefault="00914C57" w:rsidP="00914C57">
                  <w:pPr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自主學習</w:t>
                  </w:r>
                </w:p>
              </w:tc>
            </w:tr>
          </w:tbl>
          <w:p w14:paraId="42AF6E65" w14:textId="77777777" w:rsidR="00914C57" w:rsidRDefault="00914C57" w:rsidP="00914C57"/>
          <w:p w14:paraId="5F2AF8E6" w14:textId="77777777" w:rsidR="00914C57" w:rsidRDefault="00914C57" w:rsidP="00914C57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  <w:p w14:paraId="0EA0DBF1" w14:textId="454502AF" w:rsidR="00914C57" w:rsidRPr="00EC7545" w:rsidRDefault="00914C57" w:rsidP="00A1160F">
            <w:pPr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EC7545" w:rsidRPr="00EC7545" w14:paraId="7CF23FD5" w14:textId="77777777" w:rsidTr="005A49C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00DD006" w14:textId="77777777" w:rsidR="00EC7545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hint="eastAsia"/>
                <w:b/>
              </w:rPr>
              <w:t>核心能力</w:t>
            </w:r>
          </w:p>
        </w:tc>
      </w:tr>
      <w:tr w:rsidR="00EC7545" w:rsidRPr="00EC7545" w14:paraId="7D2DC7B7" w14:textId="77777777" w:rsidTr="00EC7545">
        <w:trPr>
          <w:trHeight w:val="4292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87BD6B" w14:textId="77777777" w:rsidR="00A1160F" w:rsidRDefault="00F00E24" w:rsidP="00A1160F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一、</w:t>
            </w:r>
            <w:r w:rsidR="00A1160F">
              <w:rPr>
                <w:rFonts w:ascii="微軟正黑體" w:eastAsia="微軟正黑體" w:hAnsi="微軟正黑體" w:hint="eastAsia"/>
              </w:rPr>
              <w:t>個案事實分析</w:t>
            </w:r>
            <w:r>
              <w:rPr>
                <w:rFonts w:ascii="微軟正黑體" w:eastAsia="微軟正黑體" w:hAnsi="微軟正黑體" w:hint="eastAsia"/>
              </w:rPr>
              <w:t>與爭點整理</w:t>
            </w:r>
            <w:r w:rsidR="00A1160F">
              <w:rPr>
                <w:rFonts w:ascii="微軟正黑體" w:eastAsia="微軟正黑體" w:hAnsi="微軟正黑體" w:hint="eastAsia"/>
              </w:rPr>
              <w:t>能力</w:t>
            </w:r>
          </w:p>
          <w:p w14:paraId="167AB992" w14:textId="1C59375F" w:rsidR="0084304C" w:rsidRPr="0084304C" w:rsidRDefault="00F00E24" w:rsidP="00A1160F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二、</w:t>
            </w:r>
            <w:r w:rsidR="00A1160F">
              <w:rPr>
                <w:rFonts w:ascii="微軟正黑體" w:eastAsia="微軟正黑體" w:hAnsi="微軟正黑體" w:hint="eastAsia"/>
              </w:rPr>
              <w:t>正確解釋適用法律之能力</w:t>
            </w:r>
          </w:p>
        </w:tc>
      </w:tr>
    </w:tbl>
    <w:p w14:paraId="6053A1BA" w14:textId="77777777" w:rsidR="0073547E" w:rsidRDefault="0073547E"/>
    <w:p w14:paraId="03704C4B" w14:textId="77777777" w:rsidR="00A309EE" w:rsidRDefault="00A309EE"/>
    <w:sectPr w:rsidR="00A309EE" w:rsidSect="00FF74CC">
      <w:headerReference w:type="default" r:id="rId7"/>
      <w:footerReference w:type="default" r:id="rId8"/>
      <w:pgSz w:w="11906" w:h="16838"/>
      <w:pgMar w:top="567" w:right="567" w:bottom="851" w:left="567" w:header="851" w:footer="2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FEAFA" w14:textId="77777777" w:rsidR="00AC7DE6" w:rsidRDefault="00AC7DE6" w:rsidP="00EC7545">
      <w:r>
        <w:separator/>
      </w:r>
    </w:p>
  </w:endnote>
  <w:endnote w:type="continuationSeparator" w:id="0">
    <w:p w14:paraId="190471A8" w14:textId="77777777" w:rsidR="00AC7DE6" w:rsidRDefault="00AC7DE6" w:rsidP="00EC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altName w:val="微軟正黑體"/>
    <w:panose1 w:val="020B0604020202020204"/>
    <w:charset w:val="88"/>
    <w:family w:val="auto"/>
    <w:pitch w:val="variable"/>
    <w:sig w:usb0="00000001" w:usb1="08080000" w:usb2="00000010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2E91" w14:textId="77777777" w:rsidR="00CF0850" w:rsidRPr="00CF0850" w:rsidRDefault="00CF0850">
    <w:pPr>
      <w:pStyle w:val="a5"/>
      <w:jc w:val="right"/>
      <w:rPr>
        <w:rFonts w:ascii="Arial Black" w:hAnsi="Arial Black"/>
      </w:rPr>
    </w:pPr>
    <w:r w:rsidRPr="00CF0850">
      <w:rPr>
        <w:rFonts w:ascii="Arial Black" w:hAnsi="Arial Black"/>
      </w:rPr>
      <w:fldChar w:fldCharType="begin"/>
    </w:r>
    <w:r w:rsidRPr="00CF0850">
      <w:rPr>
        <w:rFonts w:ascii="Arial Black" w:hAnsi="Arial Black"/>
      </w:rPr>
      <w:instrText>PAGE   \* MERGEFORMAT</w:instrText>
    </w:r>
    <w:r w:rsidRPr="00CF0850">
      <w:rPr>
        <w:rFonts w:ascii="Arial Black" w:hAnsi="Arial Black"/>
      </w:rPr>
      <w:fldChar w:fldCharType="separate"/>
    </w:r>
    <w:r w:rsidR="00C72A55" w:rsidRPr="00C72A55">
      <w:rPr>
        <w:rFonts w:ascii="Arial Black" w:hAnsi="Arial Black"/>
        <w:noProof/>
        <w:lang w:val="zh-TW"/>
      </w:rPr>
      <w:t>1</w:t>
    </w:r>
    <w:r w:rsidRPr="00CF0850">
      <w:rPr>
        <w:rFonts w:ascii="Arial Black" w:hAnsi="Arial Black"/>
      </w:rPr>
      <w:fldChar w:fldCharType="end"/>
    </w:r>
  </w:p>
  <w:p w14:paraId="16BA3E3B" w14:textId="77777777" w:rsidR="00CF0850" w:rsidRPr="00FF74CC" w:rsidRDefault="00FF74CC" w:rsidP="001B06AF">
    <w:pPr>
      <w:pStyle w:val="a5"/>
      <w:jc w:val="center"/>
      <w:rPr>
        <w:rFonts w:ascii="微軟正黑體" w:eastAsia="微軟正黑體" w:hAnsi="微軟正黑體"/>
      </w:rPr>
    </w:pPr>
    <w:r w:rsidRPr="00FF74CC">
      <w:rPr>
        <w:rFonts w:ascii="微軟正黑體" w:eastAsia="微軟正黑體" w:hAnsi="微軟正黑體" w:hint="eastAsia"/>
      </w:rPr>
      <w:t>請尊重智慧財產權，不得非法影印教師指定之教科書籍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F242" w14:textId="77777777" w:rsidR="00AC7DE6" w:rsidRDefault="00AC7DE6" w:rsidP="00EC7545">
      <w:r>
        <w:separator/>
      </w:r>
    </w:p>
  </w:footnote>
  <w:footnote w:type="continuationSeparator" w:id="0">
    <w:p w14:paraId="45A30BA4" w14:textId="77777777" w:rsidR="00AC7DE6" w:rsidRDefault="00AC7DE6" w:rsidP="00EC7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302C" w14:textId="77777777" w:rsidR="00FF74CC" w:rsidRDefault="00AA243F">
    <w:pPr>
      <w:pStyle w:val="a3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FF06EED" wp14:editId="55DC5EF3">
          <wp:simplePos x="0" y="0"/>
          <wp:positionH relativeFrom="column">
            <wp:posOffset>5214620</wp:posOffset>
          </wp:positionH>
          <wp:positionV relativeFrom="paragraph">
            <wp:posOffset>-356870</wp:posOffset>
          </wp:positionV>
          <wp:extent cx="1623060" cy="403860"/>
          <wp:effectExtent l="0" t="0" r="0" b="0"/>
          <wp:wrapSquare wrapText="bothSides"/>
          <wp:docPr id="3" name="圖片 3" descr="cc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c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6611A"/>
    <w:multiLevelType w:val="hybridMultilevel"/>
    <w:tmpl w:val="76946DFA"/>
    <w:lvl w:ilvl="0" w:tplc="48F40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8554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11"/>
    <w:rsid w:val="000249AE"/>
    <w:rsid w:val="00081A3E"/>
    <w:rsid w:val="000956F5"/>
    <w:rsid w:val="001632CC"/>
    <w:rsid w:val="001B06AF"/>
    <w:rsid w:val="001B2B08"/>
    <w:rsid w:val="001B32E4"/>
    <w:rsid w:val="00216C44"/>
    <w:rsid w:val="002C6EF0"/>
    <w:rsid w:val="002E2D3F"/>
    <w:rsid w:val="003166BB"/>
    <w:rsid w:val="00423D4D"/>
    <w:rsid w:val="004526A2"/>
    <w:rsid w:val="0045468D"/>
    <w:rsid w:val="00466946"/>
    <w:rsid w:val="00471611"/>
    <w:rsid w:val="004D37BC"/>
    <w:rsid w:val="005150C9"/>
    <w:rsid w:val="00576615"/>
    <w:rsid w:val="005A49C4"/>
    <w:rsid w:val="005A54D3"/>
    <w:rsid w:val="00606CA8"/>
    <w:rsid w:val="00675918"/>
    <w:rsid w:val="00705792"/>
    <w:rsid w:val="0073150A"/>
    <w:rsid w:val="0073547E"/>
    <w:rsid w:val="00736DF8"/>
    <w:rsid w:val="00770737"/>
    <w:rsid w:val="007842C7"/>
    <w:rsid w:val="008262B1"/>
    <w:rsid w:val="00836D57"/>
    <w:rsid w:val="0084304C"/>
    <w:rsid w:val="008960A4"/>
    <w:rsid w:val="009120E6"/>
    <w:rsid w:val="00914C57"/>
    <w:rsid w:val="0099268E"/>
    <w:rsid w:val="009C57FE"/>
    <w:rsid w:val="009D2159"/>
    <w:rsid w:val="00A1160F"/>
    <w:rsid w:val="00A309EE"/>
    <w:rsid w:val="00A97A2C"/>
    <w:rsid w:val="00AA243F"/>
    <w:rsid w:val="00AA5C80"/>
    <w:rsid w:val="00AC7DE6"/>
    <w:rsid w:val="00AD6AAB"/>
    <w:rsid w:val="00AE0521"/>
    <w:rsid w:val="00AE1C6A"/>
    <w:rsid w:val="00B56D15"/>
    <w:rsid w:val="00C01C37"/>
    <w:rsid w:val="00C27897"/>
    <w:rsid w:val="00C319FE"/>
    <w:rsid w:val="00C53754"/>
    <w:rsid w:val="00C72A55"/>
    <w:rsid w:val="00C871E3"/>
    <w:rsid w:val="00CE10EE"/>
    <w:rsid w:val="00CF0850"/>
    <w:rsid w:val="00D20819"/>
    <w:rsid w:val="00D27EF6"/>
    <w:rsid w:val="00D34B18"/>
    <w:rsid w:val="00E43A6B"/>
    <w:rsid w:val="00E472C6"/>
    <w:rsid w:val="00E6516B"/>
    <w:rsid w:val="00EC7545"/>
    <w:rsid w:val="00EF2248"/>
    <w:rsid w:val="00F00C36"/>
    <w:rsid w:val="00F00E24"/>
    <w:rsid w:val="00F638E9"/>
    <w:rsid w:val="00FB61A4"/>
    <w:rsid w:val="00FE5FF7"/>
    <w:rsid w:val="00FE6AF7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49723E"/>
  <w15:docId w15:val="{C27E6A71-8D10-D045-92BD-5625E909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0C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7545"/>
    <w:rPr>
      <w:kern w:val="2"/>
    </w:rPr>
  </w:style>
  <w:style w:type="paragraph" w:styleId="a5">
    <w:name w:val="footer"/>
    <w:basedOn w:val="a"/>
    <w:link w:val="a6"/>
    <w:uiPriority w:val="99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C754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184</Words>
  <Characters>1051</Characters>
  <Application>Microsoft Office Word</Application>
  <DocSecurity>0</DocSecurity>
  <Lines>8</Lines>
  <Paragraphs>2</Paragraphs>
  <ScaleCrop>false</ScaleCrop>
  <Company>CMT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creator>CANDY</dc:creator>
  <cp:lastModifiedBy>江嘉琪</cp:lastModifiedBy>
  <cp:revision>7</cp:revision>
  <cp:lastPrinted>2011-07-26T01:04:00Z</cp:lastPrinted>
  <dcterms:created xsi:type="dcterms:W3CDTF">2026-01-01T05:58:00Z</dcterms:created>
  <dcterms:modified xsi:type="dcterms:W3CDTF">2026-02-04T08:47:00Z</dcterms:modified>
</cp:coreProperties>
</file>