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699D8" w14:textId="77777777" w:rsidR="00E80843" w:rsidRPr="00E80843" w:rsidRDefault="00E80843" w:rsidP="00E80843">
      <w:pPr>
        <w:widowControl/>
        <w:spacing w:afterLines="50" w:after="180"/>
        <w:jc w:val="center"/>
        <w:rPr>
          <w:rFonts w:ascii="新細明體" w:eastAsia="新細明體" w:hAnsi="新細明體" w:cs="新細明體"/>
          <w:kern w:val="0"/>
          <w:sz w:val="44"/>
          <w:szCs w:val="44"/>
        </w:rPr>
      </w:pPr>
      <w:r w:rsidRPr="00E80843">
        <w:rPr>
          <w:rFonts w:ascii="新細明體" w:eastAsia="新細明體" w:hAnsi="新細明體" w:cs="新細明體" w:hint="eastAsia"/>
          <w:kern w:val="0"/>
          <w:sz w:val="44"/>
          <w:szCs w:val="44"/>
        </w:rPr>
        <w:t>國立</w:t>
      </w:r>
      <w:r w:rsidRPr="00E80843">
        <w:rPr>
          <w:rFonts w:ascii="新細明體" w:eastAsia="新細明體" w:hAnsi="新細明體" w:cs="新細明體"/>
          <w:kern w:val="0"/>
          <w:sz w:val="44"/>
          <w:szCs w:val="44"/>
        </w:rPr>
        <w:t>中正大學</w:t>
      </w:r>
      <w:r w:rsidRPr="00E80843">
        <w:rPr>
          <w:rFonts w:ascii="新細明體" w:eastAsia="新細明體" w:hAnsi="新細明體" w:cs="新細明體" w:hint="eastAsia"/>
          <w:kern w:val="0"/>
          <w:sz w:val="44"/>
          <w:szCs w:val="44"/>
        </w:rPr>
        <w:t>歷史系、所</w:t>
      </w:r>
      <w:r w:rsidRPr="00E80843">
        <w:rPr>
          <w:rFonts w:ascii="新細明體" w:eastAsia="新細明體" w:hAnsi="新細明體" w:cs="新細明體"/>
          <w:kern w:val="0"/>
          <w:sz w:val="44"/>
          <w:szCs w:val="44"/>
        </w:rPr>
        <w:t>課程大綱</w:t>
      </w:r>
    </w:p>
    <w:tbl>
      <w:tblPr>
        <w:tblW w:w="4890" w:type="pct"/>
        <w:tblCellSpacing w:w="0" w:type="dxa"/>
        <w:tblInd w:w="1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75"/>
        <w:gridCol w:w="6333"/>
      </w:tblGrid>
      <w:tr w:rsidR="00E80843" w:rsidRPr="00E80843" w14:paraId="29DF70A4" w14:textId="77777777" w:rsidTr="00440B53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38D75A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課程名稱(中文)</w:t>
            </w:r>
          </w:p>
          <w:p w14:paraId="62AA500A" w14:textId="77777777" w:rsidR="00E80843" w:rsidRPr="00E80843" w:rsidRDefault="00E80843" w:rsidP="00E80843">
            <w:pPr>
              <w:widowControl/>
              <w:ind w:firstLineChars="350" w:firstLine="8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（英文）</w:t>
            </w:r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CD8040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越南銘刻專題研究</w:t>
            </w:r>
          </w:p>
          <w:p w14:paraId="78BDF150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 Study on Vietnam Epigraphy</w:t>
            </w:r>
          </w:p>
        </w:tc>
      </w:tr>
      <w:tr w:rsidR="00E80843" w:rsidRPr="00E80843" w14:paraId="77EF5378" w14:textId="77777777" w:rsidTr="00440B53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F110AD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授課教師</w:t>
            </w:r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19B987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耿慧玲</w:t>
            </w:r>
            <w:proofErr w:type="gramEnd"/>
          </w:p>
        </w:tc>
      </w:tr>
      <w:tr w:rsidR="00E80843" w:rsidRPr="00E80843" w14:paraId="430616B6" w14:textId="77777777" w:rsidTr="00440B53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622439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先修科目或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先備能力 </w:t>
            </w:r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145B79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無</w:t>
            </w:r>
          </w:p>
        </w:tc>
      </w:tr>
      <w:tr w:rsidR="00E80843" w:rsidRPr="00E80843" w14:paraId="6044A1D3" w14:textId="77777777" w:rsidTr="00440B53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A21138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學分數</w:t>
            </w:r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7B67A9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</w:tr>
      <w:tr w:rsidR="00E80843" w:rsidRPr="00E80843" w14:paraId="766F66AB" w14:textId="77777777" w:rsidTr="00440B53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00F6FD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學士班課程屬性（請勾選）</w:t>
            </w:r>
          </w:p>
          <w:p w14:paraId="741031DB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研究所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課程免勾選</w:t>
            </w:r>
            <w:proofErr w:type="gramEnd"/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55989E" w14:textId="77777777" w:rsidR="00E80843" w:rsidRPr="00E80843" w:rsidRDefault="00E80843" w:rsidP="00E80843">
            <w:pPr>
              <w:widowControl/>
              <w:ind w:firstLineChars="50" w:firstLine="1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□必修  </w:t>
            </w:r>
          </w:p>
          <w:p w14:paraId="6ACCBB30" w14:textId="77777777" w:rsidR="00E80843" w:rsidRPr="00E80843" w:rsidRDefault="00E80843" w:rsidP="00E80843">
            <w:pPr>
              <w:widowControl/>
              <w:ind w:firstLineChars="50" w:firstLine="1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□選修:中國斷代史類  □選修:世界斷代史類  □選修:國別及區域史類</w:t>
            </w:r>
          </w:p>
          <w:p w14:paraId="4B361FD1" w14:textId="77777777" w:rsidR="00E80843" w:rsidRPr="00E80843" w:rsidRDefault="00E80843" w:rsidP="00E80843">
            <w:pPr>
              <w:widowControl/>
              <w:ind w:firstLineChars="50" w:firstLine="1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□選修: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專史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、專題    □選修:史料選讀.史學領域.應用史學類</w:t>
            </w:r>
          </w:p>
        </w:tc>
      </w:tr>
      <w:tr w:rsidR="00E80843" w:rsidRPr="00E80843" w14:paraId="4C436F45" w14:textId="77777777" w:rsidTr="00440B53">
        <w:trPr>
          <w:trHeight w:val="1062"/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C2B4D8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課程概述</w:t>
            </w:r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A08CBA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歷史的研究奠基於理論、方法與資料。書寫歷史不是對過去的再現，而是對過去的組織和理解。中國的金石記載方式影響到周邊的國家與民族，如朝鮮、日本與越南也有大量的漢式銘刻。本課程將在中國已經成熟的銘刻研究基礎下，對於越南現有銘刻的歷史發展及現存銘刻之研究情況進行講述，並引導學生對於越南銘刻所呈現的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漢越型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文化特徵，及如何運用具有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漢越型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文化特徵之越南銘刻進行越南歷史研究。</w:t>
            </w:r>
          </w:p>
        </w:tc>
      </w:tr>
      <w:tr w:rsidR="00E80843" w:rsidRPr="00E80843" w14:paraId="5CB15BD5" w14:textId="77777777" w:rsidTr="00440B53">
        <w:trPr>
          <w:trHeight w:val="936"/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1090A4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學習目標</w:t>
            </w:r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89D6F7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1.藉由分析越南金石銘刻探討漢學在越南的傳播與發展。</w:t>
            </w:r>
          </w:p>
          <w:p w14:paraId="2308B772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2.運用越南金石銘刻探討越南歷史與文化。</w:t>
            </w:r>
          </w:p>
          <w:p w14:paraId="2072519B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3.運用分類方式，協助同學能在課程中建立論文選題及進行學術研究。</w:t>
            </w:r>
          </w:p>
        </w:tc>
      </w:tr>
      <w:tr w:rsidR="00E80843" w:rsidRPr="00E80843" w14:paraId="58ECB6C0" w14:textId="77777777" w:rsidTr="00440B53">
        <w:trPr>
          <w:trHeight w:val="1219"/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1CE0E2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教科書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或</w:t>
            </w:r>
          </w:p>
          <w:p w14:paraId="3DEC0429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參考書目</w:t>
            </w:r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686C5E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耿慧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玲著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，《越南史論》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台北市：新文豐出版公司，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2004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14:paraId="1B1212F7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耿慧玲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等編輯，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1998.7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，《越南漢喃銘文彙編》第一集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--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北屬時期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至李朝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河內漢喃研究院、巴黎遠東學院出版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14:paraId="1F6E45C7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耿慧玲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（中）、黃文樓（越）等主編，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2002,5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，《越南漢喃銘文彙編》第二集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—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陳朝，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河內漢喃研究院、嘉義中正大學出版，新文豐出版公司發行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14:paraId="6477B809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河靜通訊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文化所，《河靜碑文》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河靜：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河靜通訊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文化所，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2007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5FDC1BD1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海防市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先朗縣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區黨委會，杜氏好主編，《海防先朗碑文》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河內：社會科學出版社，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2009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1A240602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國家研究中心，《河內昇龍漢喃銘刻》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河內：文學出版社，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2010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73072F79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越南社會科學院，《莫朝漢喃碑銘》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河內：社會科學出版社，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2014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75B5305C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丁克順，《陳朝碑文》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河內：民族文化出版社，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2016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430D3FEB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丁克順，《莫朝漢喃碑銘》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河內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: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社會科學出版社，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2017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6E59F602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丁克順，《越南佛教碑文》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河內：社會科學出版社，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2017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0C3F8A30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陳重金著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戴可來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譯，《越南通史》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北京：商務印書館，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1992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據西貢新越出版社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1954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年第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次修訂版《越南史略》翻譯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7CA516CB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陶維英著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，劉統文、子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銊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譯，《越南古代史》，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北京：商務印書館，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1976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64687543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陳荊和編校，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校合本《大越史記全書》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(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日本東京：東京大學東洋文化研究所附屬東洋學文獻，センター（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1984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－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1986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  <w:p w14:paraId="16676D93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潘清簡等編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，《欽定越史通鑒綱目》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臺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北，國立中央圖書館，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1969)</w:t>
            </w:r>
          </w:p>
          <w:p w14:paraId="18E358E7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呂士朋，《北屬時期的越南</w:t>
            </w:r>
            <w:r w:rsidRPr="00E80843">
              <w:rPr>
                <w:rFonts w:ascii="Times New Roman" w:eastAsia="新細明體" w:hAnsi="Times New Roman" w:cs="Times New Roman" w:hint="cs"/>
                <w:szCs w:val="24"/>
              </w:rPr>
              <w:t>―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中越關係史之一》（香港中文大學新亞研究所，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1964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）。</w:t>
            </w:r>
          </w:p>
          <w:p w14:paraId="64D647BE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張登桂等纂修《大南寔錄正編第一紀》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(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東京，慶應義塾大學語言文化研究所，友隣堂出版，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1963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)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14:paraId="0B8B3C36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潘清簡等纂修《大南寔錄正編第二紀》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(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東京，慶應義塾大學語言文化研究所，友隣堂出版，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1963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  <w:r w:rsidRPr="00E80843">
              <w:rPr>
                <w:rFonts w:ascii="Times New Roman" w:eastAsia="新細明體" w:hAnsi="Times New Roman" w:cs="Times New Roman"/>
                <w:szCs w:val="24"/>
              </w:rPr>
              <w:t>)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14:paraId="7791A494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18.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不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著撰人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，《越史略》，叢書集成初編，（北京，中華書局據守山閣叢書本排印，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1985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，北京新一版）。</w:t>
            </w:r>
          </w:p>
          <w:p w14:paraId="2963AE1D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19.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黎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崱著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、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武尚清點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校，《安南志略》，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北京：中華書局，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1995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  <w:proofErr w:type="gramEnd"/>
          </w:p>
          <w:p w14:paraId="701B5B2F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20.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鄧春榜《越史綱目節要》（越南河內，社會科學出版社，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2000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</w:p>
          <w:p w14:paraId="6486134E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21.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黎貴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惇著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，《見聞小錄》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越南漢喃研究院手抄本影印，書號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VCH02664)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14:paraId="069F93A5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22.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ab/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黎貴</w:t>
            </w:r>
            <w:proofErr w:type="gramStart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惇著</w:t>
            </w:r>
            <w:proofErr w:type="gramEnd"/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，《芸臺類語》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(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台北市：國立台灣大學出版中心，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2011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)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。</w:t>
            </w:r>
          </w:p>
          <w:p w14:paraId="32EFE188" w14:textId="77777777" w:rsidR="00E80843" w:rsidRPr="00E80843" w:rsidRDefault="00E80843" w:rsidP="00E80843">
            <w:pPr>
              <w:widowControl/>
              <w:numPr>
                <w:ilvl w:val="0"/>
                <w:numId w:val="1"/>
              </w:numPr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朱雲影，《中國文化對日韓越的影響》（廣西師範大學出版社，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2007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）。</w:t>
            </w:r>
          </w:p>
          <w:p w14:paraId="37ABE7E9" w14:textId="77777777" w:rsidR="00E80843" w:rsidRPr="00E80843" w:rsidRDefault="00E80843" w:rsidP="00E80843">
            <w:pPr>
              <w:widowControl/>
              <w:ind w:left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Times New Roman" w:eastAsia="新細明體" w:hAnsi="Times New Roman" w:cs="Times New Roman"/>
                <w:szCs w:val="24"/>
              </w:rPr>
              <w:tab/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（</w:t>
            </w:r>
            <w:r w:rsidRPr="00E80843">
              <w:rPr>
                <w:rFonts w:ascii="Times New Roman" w:eastAsia="新細明體" w:hAnsi="Times New Roman" w:cs="Times New Roman"/>
                <w:color w:val="FF0000"/>
                <w:szCs w:val="24"/>
              </w:rPr>
              <w:t>請尊重智慧財產權，不得非法影印教師指定之教科書籍</w:t>
            </w:r>
            <w:r w:rsidRPr="00E80843">
              <w:rPr>
                <w:rFonts w:ascii="Times New Roman" w:eastAsia="新細明體" w:hAnsi="Times New Roman" w:cs="Times New Roman" w:hint="eastAsia"/>
                <w:szCs w:val="24"/>
              </w:rPr>
              <w:t>）</w:t>
            </w:r>
          </w:p>
        </w:tc>
      </w:tr>
      <w:tr w:rsidR="00E80843" w:rsidRPr="00E80843" w14:paraId="3D284AA6" w14:textId="77777777" w:rsidTr="00440B53">
        <w:trPr>
          <w:trHeight w:val="1104"/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2BCD2D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lastRenderedPageBreak/>
              <w:t>核心能力指標設定</w:t>
            </w:r>
          </w:p>
          <w:p w14:paraId="076B00A2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(本課程能培養學生此項核心能力者請打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ˇ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，可複選，學士班課程請勾選學士班核心能力指標，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碩博合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開課程請同時勾選碩士班及博士班核心能力指標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8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03ECB1" w14:textId="77777777" w:rsidR="00E80843" w:rsidRPr="00E80843" w:rsidRDefault="00E80843" w:rsidP="00E80843">
            <w:pPr>
              <w:widowControl/>
              <w:spacing w:line="30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學士班</w:t>
            </w:r>
          </w:p>
          <w:p w14:paraId="449C11BA" w14:textId="77777777" w:rsidR="00E80843" w:rsidRPr="00E80843" w:rsidRDefault="00E80843" w:rsidP="00E808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/>
                <w:kern w:val="0"/>
                <w:szCs w:val="24"/>
              </w:rPr>
              <w:t>1.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歷史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思辯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的應用能力</w:t>
            </w:r>
          </w:p>
          <w:p w14:paraId="3260D4BA" w14:textId="77777777" w:rsidR="00E80843" w:rsidRPr="00E80843" w:rsidRDefault="00E80843" w:rsidP="00E808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/>
                <w:kern w:val="0"/>
                <w:szCs w:val="24"/>
              </w:rPr>
              <w:t>2.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文獻資料蒐集與解讀分析</w:t>
            </w:r>
          </w:p>
          <w:p w14:paraId="47CDBA56" w14:textId="77777777" w:rsidR="00E80843" w:rsidRPr="00E80843" w:rsidRDefault="00E80843" w:rsidP="00E808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3</w:t>
            </w:r>
            <w:r w:rsidRPr="00E80843">
              <w:rPr>
                <w:rFonts w:ascii="新細明體" w:eastAsia="新細明體" w:hAnsi="新細明體" w:cs="Times New Roman"/>
                <w:kern w:val="0"/>
                <w:szCs w:val="24"/>
              </w:rPr>
              <w:t>.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歷史寫作</w:t>
            </w:r>
          </w:p>
          <w:p w14:paraId="3A725C1F" w14:textId="77777777" w:rsidR="00E80843" w:rsidRPr="00E80843" w:rsidRDefault="00E80843" w:rsidP="00E80843">
            <w:pPr>
              <w:widowControl/>
              <w:spacing w:line="300" w:lineRule="exact"/>
              <w:ind w:firstLineChars="50" w:firstLine="1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4.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口述採訪與田野調查能力</w:t>
            </w:r>
          </w:p>
          <w:p w14:paraId="5044D3CC" w14:textId="77777777" w:rsidR="00E80843" w:rsidRPr="00E80843" w:rsidRDefault="00E80843" w:rsidP="00E808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5.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溝通與表達</w:t>
            </w:r>
          </w:p>
          <w:p w14:paraId="7B7E1E56" w14:textId="77777777" w:rsidR="00E80843" w:rsidRPr="00E80843" w:rsidRDefault="00E80843" w:rsidP="00E80843">
            <w:pPr>
              <w:widowControl/>
              <w:spacing w:line="300" w:lineRule="exact"/>
              <w:ind w:firstLineChars="50" w:firstLine="1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6.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跨域與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科技資源運用</w:t>
            </w:r>
          </w:p>
          <w:p w14:paraId="305EB24B" w14:textId="77777777" w:rsidR="00E80843" w:rsidRPr="00E80843" w:rsidRDefault="00E80843" w:rsidP="00E80843">
            <w:pPr>
              <w:widowControl/>
              <w:spacing w:line="3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碩士班</w:t>
            </w:r>
          </w:p>
          <w:p w14:paraId="3BEAB433" w14:textId="77777777" w:rsidR="00E80843" w:rsidRPr="00E80843" w:rsidRDefault="00E80843" w:rsidP="00E8084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■ </w:t>
            </w:r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1.具備史學領域之專業知識</w:t>
            </w:r>
          </w:p>
          <w:p w14:paraId="360FD0E9" w14:textId="77777777" w:rsidR="00E80843" w:rsidRPr="00E80843" w:rsidRDefault="00E80843" w:rsidP="00E80843">
            <w:pPr>
              <w:snapToGrid w:val="0"/>
              <w:spacing w:line="300" w:lineRule="exact"/>
              <w:ind w:firstLineChars="50" w:firstLine="120"/>
              <w:rPr>
                <w:rFonts w:ascii="新細明體" w:eastAsia="新細明體" w:hAnsi="新細明體" w:cs="Times New Roman"/>
                <w:sz w:val="26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■ </w:t>
            </w:r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2.具備獨立思考、理解、分析、研究及解決史學問題的基本能力</w:t>
            </w:r>
          </w:p>
          <w:p w14:paraId="17CE3FF5" w14:textId="77777777" w:rsidR="00E80843" w:rsidRPr="00E80843" w:rsidRDefault="00E80843" w:rsidP="00E80843">
            <w:pPr>
              <w:snapToGrid w:val="0"/>
              <w:spacing w:line="300" w:lineRule="exact"/>
              <w:ind w:firstLineChars="50" w:firstLine="120"/>
              <w:rPr>
                <w:rFonts w:ascii="新細明體" w:eastAsia="新細明體" w:hAnsi="新細明體" w:cs="Times New Roman"/>
                <w:sz w:val="26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3.具備優秀學術論文寫作、答辯的能力。</w:t>
            </w:r>
          </w:p>
          <w:p w14:paraId="5E784E27" w14:textId="77777777" w:rsidR="00E80843" w:rsidRPr="00E80843" w:rsidRDefault="00E80843" w:rsidP="00E80843">
            <w:pPr>
              <w:snapToGrid w:val="0"/>
              <w:spacing w:line="300" w:lineRule="exact"/>
              <w:ind w:firstLineChars="50" w:firstLine="12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■ </w:t>
            </w:r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4.培養自我持續學習的能力</w:t>
            </w:r>
          </w:p>
          <w:p w14:paraId="485B1831" w14:textId="77777777" w:rsidR="00E80843" w:rsidRPr="00E80843" w:rsidRDefault="00E80843" w:rsidP="00E80843">
            <w:pPr>
              <w:widowControl/>
              <w:spacing w:line="3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博士班</w:t>
            </w:r>
          </w:p>
          <w:p w14:paraId="69BBEA76" w14:textId="77777777" w:rsidR="00E80843" w:rsidRPr="00E80843" w:rsidRDefault="00E80843" w:rsidP="00E80843">
            <w:pPr>
              <w:snapToGrid w:val="0"/>
              <w:spacing w:line="300" w:lineRule="exact"/>
              <w:ind w:firstLineChars="50" w:firstLine="120"/>
              <w:rPr>
                <w:rFonts w:ascii="新細明體" w:eastAsia="新細明體" w:hAnsi="新細明體" w:cs="Times New Roman"/>
                <w:sz w:val="26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■</w:t>
            </w:r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1.具備史學之獨立設計研究問題及解決問題的能力</w:t>
            </w:r>
          </w:p>
          <w:p w14:paraId="691EA8D3" w14:textId="77777777" w:rsidR="00E80843" w:rsidRPr="00E80843" w:rsidRDefault="00E80843" w:rsidP="00E80843">
            <w:pPr>
              <w:snapToGrid w:val="0"/>
              <w:spacing w:line="300" w:lineRule="exact"/>
              <w:ind w:firstLineChars="50" w:firstLine="120"/>
              <w:rPr>
                <w:rFonts w:ascii="新細明體" w:eastAsia="新細明體" w:hAnsi="新細明體" w:cs="Times New Roman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2.具備中國中古史、明清史、</w:t>
            </w:r>
            <w:proofErr w:type="gramStart"/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台灣史或某一</w:t>
            </w:r>
            <w:proofErr w:type="gramEnd"/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領域之獨立研究能力</w:t>
            </w:r>
          </w:p>
          <w:p w14:paraId="583F9F70" w14:textId="77777777" w:rsidR="00E80843" w:rsidRPr="00E80843" w:rsidRDefault="00E80843" w:rsidP="00E80843">
            <w:pPr>
              <w:snapToGrid w:val="0"/>
              <w:spacing w:line="300" w:lineRule="exact"/>
              <w:ind w:firstLineChars="50" w:firstLine="120"/>
              <w:rPr>
                <w:rFonts w:ascii="新細明體" w:eastAsia="新細明體" w:hAnsi="新細明體" w:cs="Times New Roman"/>
                <w:sz w:val="26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 </w:t>
            </w:r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3.具備第二外國語解讀史學文獻的能力</w:t>
            </w:r>
          </w:p>
          <w:p w14:paraId="1BD45E09" w14:textId="77777777" w:rsidR="00E80843" w:rsidRPr="00E80843" w:rsidRDefault="00E80843" w:rsidP="00E80843">
            <w:pPr>
              <w:snapToGrid w:val="0"/>
              <w:spacing w:line="300" w:lineRule="exact"/>
              <w:ind w:firstLineChars="50" w:firstLine="120"/>
              <w:rPr>
                <w:rFonts w:ascii="Times New Roman" w:eastAsia="新細明體" w:hAnsi="Times New Roman" w:cs="Times New Roman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■ </w:t>
            </w:r>
            <w:r w:rsidRPr="00E80843">
              <w:rPr>
                <w:rFonts w:ascii="新細明體" w:eastAsia="新細明體" w:hAnsi="新細明體" w:cs="Times New Roman" w:hint="eastAsia"/>
                <w:sz w:val="26"/>
                <w:szCs w:val="24"/>
              </w:rPr>
              <w:t>4.具備至大專院校或學術研究單位從事教學、研究等工作能力</w:t>
            </w:r>
          </w:p>
        </w:tc>
      </w:tr>
    </w:tbl>
    <w:p w14:paraId="4DC491CE" w14:textId="77777777" w:rsidR="00E80843" w:rsidRPr="00E80843" w:rsidRDefault="00E80843" w:rsidP="00E80843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4874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81"/>
      </w:tblGrid>
      <w:tr w:rsidR="00E80843" w:rsidRPr="00E80843" w14:paraId="53206203" w14:textId="77777777" w:rsidTr="00440B53">
        <w:trPr>
          <w:trHeight w:val="377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1A5AF7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教學要點概述： </w:t>
            </w:r>
          </w:p>
        </w:tc>
      </w:tr>
      <w:tr w:rsidR="00E80843" w:rsidRPr="00E80843" w14:paraId="351692FC" w14:textId="77777777" w:rsidTr="00440B53">
        <w:trPr>
          <w:trHeight w:val="753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5CF458" w14:textId="143115B4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1. 教材編選：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7A922A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19.75pt;height:16.45pt" o:ole="">
                  <v:imagedata r:id="rId5" o:title=""/>
                </v:shape>
                <w:control r:id="rId6" w:name="HTMLCheckbox17" w:shapeid="_x0000_i1060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自編教材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5483795D">
                <v:shape id="_x0000_i1063" type="#_x0000_t75" style="width:19.75pt;height:16.45pt" o:ole="">
                  <v:imagedata r:id="rId7" o:title=""/>
                </v:shape>
                <w:control r:id="rId8" w:name="HTMLCheckbox16" w:shapeid="_x0000_i1063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教科書作者提供 </w:t>
            </w:r>
          </w:p>
        </w:tc>
      </w:tr>
      <w:tr w:rsidR="00E80843" w:rsidRPr="00E80843" w14:paraId="44EDC28B" w14:textId="77777777" w:rsidTr="00440B53">
        <w:trPr>
          <w:trHeight w:val="739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119E2C" w14:textId="68E7D0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2. 教學方法：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52D3C238">
                <v:shape id="_x0000_i1066" type="#_x0000_t75" style="width:19.75pt;height:16.45pt" o:ole="">
                  <v:imagedata r:id="rId5" o:title=""/>
                </v:shape>
                <w:control r:id="rId9" w:name="HTMLCheckbox15" w:shapeid="_x0000_i1066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投影片講述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20CECB97">
                <v:shape id="_x0000_i1069" type="#_x0000_t75" style="width:19.75pt;height:16.45pt" o:ole="">
                  <v:imagedata r:id="rId5" o:title=""/>
                </v:shape>
                <w:control r:id="rId10" w:name="HTMLCheckbox14" w:shapeid="_x0000_i1069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板書講述 </w:t>
            </w:r>
          </w:p>
        </w:tc>
      </w:tr>
      <w:tr w:rsidR="00E80843" w:rsidRPr="00E80843" w14:paraId="69CB5A09" w14:textId="77777777" w:rsidTr="00440B53">
        <w:trPr>
          <w:trHeight w:val="2217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AF5137" w14:textId="4BA37398" w:rsidR="00E80843" w:rsidRPr="00E80843" w:rsidRDefault="00E80843" w:rsidP="00BE49C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3. 評量方法：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38653340">
                <v:shape id="_x0000_i1113" type="#_x0000_t75" style="width:19.75pt;height:16.45pt" o:ole="">
                  <v:imagedata r:id="rId7" o:title=""/>
                </v:shape>
                <w:control r:id="rId11" w:name="HTMLCheckbox13" w:shapeid="_x0000_i1113"/>
              </w:objec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課堂討論</w:t>
            </w:r>
            <w:r w:rsidR="00FA0477">
              <w:rPr>
                <w:rFonts w:ascii="新細明體" w:eastAsia="新細明體" w:hAnsi="新細明體" w:cs="新細明體"/>
                <w:kern w:val="0"/>
                <w:szCs w:val="24"/>
              </w:rPr>
              <w:t>1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0%,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1D6BFE76">
                <v:shape id="_x0000_i1075" type="#_x0000_t75" style="width:19.75pt;height:16.45pt" o:ole="">
                  <v:imagedata r:id="rId7" o:title=""/>
                </v:shape>
                <w:control r:id="rId12" w:name="HTMLCheckbox12" w:shapeid="_x0000_i1075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小考 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%,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530DB109">
                <v:shape id="_x0000_i1078" type="#_x0000_t75" style="width:19.75pt;height:16.45pt" o:ole="">
                  <v:imagedata r:id="rId5" o:title=""/>
                </v:shape>
                <w:control r:id="rId13" w:name="HTMLCheckbox11" w:shapeid="_x0000_i1078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作業 </w:t>
            </w:r>
            <w:r w:rsidR="00661B05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0%,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4F4D7AA3">
                <v:shape id="_x0000_i1081" type="#_x0000_t75" style="width:19.75pt;height:16.45pt" o:ole="">
                  <v:imagedata r:id="rId7" o:title=""/>
                </v:shape>
                <w:control r:id="rId14" w:name="HTMLCheckbox10" w:shapeid="_x0000_i1081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程式實作 0%,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6A66AD48">
                <v:shape id="_x0000_i1084" type="#_x0000_t75" style="width:19.75pt;height:16.45pt" o:ole="">
                  <v:imagedata r:id="rId7" o:title=""/>
                </v:shape>
                <w:control r:id="rId15" w:name="HTMLCheckbox9" w:shapeid="_x0000_i1084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實習報告 0%,                        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00129CD8">
                <v:shape id="_x0000_i1087" type="#_x0000_t75" style="width:19.75pt;height:16.45pt" o:ole="">
                  <v:imagedata r:id="rId7" o:title=""/>
                </v:shape>
                <w:control r:id="rId16" w:name="HTMLCheckbox8" w:shapeid="_x0000_i1087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專案 0%,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6517BD58">
                <v:shape id="_x0000_i1090" type="#_x0000_t75" style="width:19.75pt;height:16.45pt" o:ole="">
                  <v:imagedata r:id="rId5" o:title=""/>
                </v:shape>
                <w:control r:id="rId17" w:name="HTMLCheckbox7" w:shapeid="_x0000_i1090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期中考</w:t>
            </w:r>
            <w:r w:rsidR="00FA0477">
              <w:rPr>
                <w:rFonts w:ascii="新細明體" w:eastAsia="新細明體" w:hAnsi="新細明體" w:cs="新細明體" w:hint="eastAsia"/>
                <w:kern w:val="0"/>
                <w:szCs w:val="24"/>
              </w:rPr>
              <w:t>核3</w:t>
            </w:r>
            <w:r w:rsidR="00FA0477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%,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5AC7BF9F">
                <v:shape id="_x0000_i1093" type="#_x0000_t75" style="width:19.75pt;height:16.45pt" o:ole="">
                  <v:imagedata r:id="rId7" o:title=""/>
                </v:shape>
                <w:control r:id="rId18" w:name="HTMLCheckbox6" w:shapeid="_x0000_i1093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期末考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%,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3C0F1865">
                <v:shape id="_x0000_i1096" type="#_x0000_t75" style="width:19.75pt;height:16.45pt" o:ole="">
                  <v:imagedata r:id="rId5" o:title=""/>
                </v:shape>
                <w:control r:id="rId19" w:name="HTMLCheckbox5" w:shapeid="_x0000_i1096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期末報告 40%,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2A27A82B">
                <v:shape id="_x0000_i1099" type="#_x0000_t75" style="width:19.75pt;height:16.45pt" o:ole="">
                  <v:imagedata r:id="rId7" o:title=""/>
                </v:shape>
                <w:control r:id="rId20" w:name="HTMLCheckbox4" w:shapeid="_x0000_i1099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其它 0% </w:t>
            </w:r>
          </w:p>
        </w:tc>
      </w:tr>
      <w:tr w:rsidR="00E80843" w:rsidRPr="00E80843" w14:paraId="634EB030" w14:textId="77777777" w:rsidTr="00440B53">
        <w:trPr>
          <w:trHeight w:val="753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49E7CF" w14:textId="445364D5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4. 教學資源：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4E6B4C6B">
                <v:shape id="_x0000_i1102" type="#_x0000_t75" style="width:19.75pt;height:16.45pt" o:ole="">
                  <v:imagedata r:id="rId7" o:title=""/>
                </v:shape>
                <w:control r:id="rId21" w:name="HTMLCheckbox3" w:shapeid="_x0000_i1102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課程網站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055F73B3">
                <v:shape id="_x0000_i1112" type="#_x0000_t75" style="width:19.75pt;height:16.45pt" o:ole="">
                  <v:imagedata r:id="rId5" o:title=""/>
                </v:shape>
                <w:control r:id="rId22" w:name="HTMLCheckbox2" w:shapeid="_x0000_i1112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教材電子檔供下載 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object w:dxaOrig="225" w:dyaOrig="225" w14:anchorId="39E650CD">
                <v:shape id="_x0000_i1108" type="#_x0000_t75" style="width:19.75pt;height:16.45pt" o:ole="">
                  <v:imagedata r:id="rId7" o:title=""/>
                </v:shape>
                <w:control r:id="rId23" w:name="HTMLCheckbox1" w:shapeid="_x0000_i1108"/>
              </w:objec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實習網站 </w:t>
            </w:r>
          </w:p>
        </w:tc>
      </w:tr>
      <w:tr w:rsidR="00E80843" w:rsidRPr="00E80843" w14:paraId="60F4E7D7" w14:textId="77777777" w:rsidTr="00440B53">
        <w:trPr>
          <w:trHeight w:val="377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C9FFEC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5. 教學相關配合事項： </w:t>
            </w:r>
          </w:p>
          <w:p w14:paraId="4C6BDC72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2E6F088F" w14:textId="77777777" w:rsidR="00E80843" w:rsidRPr="00E80843" w:rsidRDefault="00E80843" w:rsidP="00E80843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4887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03"/>
      </w:tblGrid>
      <w:tr w:rsidR="00E80843" w:rsidRPr="00E80843" w14:paraId="72E7EDEF" w14:textId="77777777" w:rsidTr="00440B53">
        <w:trPr>
          <w:trHeight w:val="377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A82D8A" w14:textId="77777777" w:rsidR="00E80843" w:rsidRPr="00E80843" w:rsidRDefault="00E80843" w:rsidP="00E808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課程進度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：（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須含每週課程進度說明</w:t>
            </w:r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）</w:t>
            </w:r>
          </w:p>
        </w:tc>
      </w:tr>
      <w:tr w:rsidR="00E80843" w:rsidRPr="00E80843" w14:paraId="1E19B1DE" w14:textId="77777777" w:rsidTr="00440B53">
        <w:trPr>
          <w:trHeight w:val="5402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69FCBC1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第一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：課程介紹--概說課程之教學目的、教學方式及內容</w:t>
            </w:r>
          </w:p>
          <w:p w14:paraId="7B589489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第二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：銘刻總論</w:t>
            </w:r>
            <w:proofErr w:type="gramStart"/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—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銘刻之定義、銘刻資料與文獻之異同與銘刻的研究方法(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</w:p>
          <w:p w14:paraId="10473B6A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第三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：銘刻總論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—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銘刻之定義、銘刻資料與文獻之異同與銘刻的研究方法(二)</w:t>
            </w:r>
          </w:p>
          <w:p w14:paraId="17BF1DDD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第四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：越南銘刻的歷史背景與中國與越南歷史概說(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</w:p>
          <w:p w14:paraId="19E95E49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第五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：越南銘刻的歷史背景與中國與越南歷史概說(二)</w:t>
            </w:r>
          </w:p>
          <w:p w14:paraId="28D2D66F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第六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：越南銘刻研究概況</w:t>
            </w:r>
          </w:p>
          <w:p w14:paraId="3B7937D7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第七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：越南銘刻之特色(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</w:p>
          <w:p w14:paraId="346012F1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第八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：越南銘刻之特色(二)</w:t>
            </w:r>
          </w:p>
          <w:p w14:paraId="64C3673D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第九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：期中考核</w:t>
            </w:r>
          </w:p>
          <w:p w14:paraId="375C7823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：銘刻中的越南政治與權力結構研究(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</w:p>
          <w:p w14:paraId="71799C8C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第十一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：銘刻中的越南政治與權力結構研究(二)</w:t>
            </w:r>
          </w:p>
          <w:p w14:paraId="61778BC9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第十二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：銘刻中的越南宗教研究(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  <w:proofErr w:type="gramStart"/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—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佛教與儒學</w:t>
            </w:r>
          </w:p>
          <w:p w14:paraId="423A91A2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第十三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：銘刻中的越南宗教研究(二)</w:t>
            </w:r>
            <w:proofErr w:type="gramStart"/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—</w:t>
            </w: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寄忌與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立後</w:t>
            </w:r>
          </w:p>
          <w:p w14:paraId="5BF1D81B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第十四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：銘刻中的人群結構研究(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一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)</w:t>
            </w:r>
            <w:proofErr w:type="gramStart"/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—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華人會館</w:t>
            </w:r>
          </w:p>
          <w:p w14:paraId="67FC5EFF" w14:textId="77777777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第十五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：銘刻中的人群結構研究(二)</w:t>
            </w:r>
            <w:proofErr w:type="gramStart"/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—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科舉與科舉世家</w:t>
            </w:r>
          </w:p>
          <w:p w14:paraId="57D538A6" w14:textId="4E500B22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第十六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：銘刻中的社會規範研究</w:t>
            </w:r>
            <w:proofErr w:type="gramStart"/>
            <w:r w:rsidRPr="00E80843">
              <w:rPr>
                <w:rFonts w:ascii="新細明體" w:eastAsia="新細明體" w:hAnsi="新細明體" w:cs="新細明體"/>
                <w:kern w:val="0"/>
                <w:szCs w:val="24"/>
              </w:rPr>
              <w:t>—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鄉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規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與村約</w:t>
            </w:r>
          </w:p>
          <w:p w14:paraId="29EB143E" w14:textId="4F672463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第十七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  <w:r w:rsidR="00D50866">
              <w:rPr>
                <w:rFonts w:ascii="新細明體" w:eastAsia="新細明體" w:hAnsi="新細明體" w:cs="新細明體" w:hint="eastAsia"/>
                <w:kern w:val="0"/>
                <w:szCs w:val="24"/>
              </w:rPr>
              <w:t>總結與自主學習</w:t>
            </w:r>
            <w:r w:rsidR="00C010BE" w:rsidRPr="00E80843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  <w:p w14:paraId="3A74637E" w14:textId="436C5735" w:rsidR="00E80843" w:rsidRPr="00E80843" w:rsidRDefault="00E80843" w:rsidP="00E80843">
            <w:pPr>
              <w:widowControl/>
              <w:spacing w:line="5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第十八</w:t>
            </w:r>
            <w:proofErr w:type="gramStart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週</w:t>
            </w:r>
            <w:proofErr w:type="gramEnd"/>
            <w:r w:rsidRPr="00E8084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：期末</w:t>
            </w:r>
            <w:r w:rsidR="00D50866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考核</w:t>
            </w:r>
          </w:p>
        </w:tc>
      </w:tr>
    </w:tbl>
    <w:p w14:paraId="3397DAC9" w14:textId="4032308C" w:rsidR="000C14E3" w:rsidRDefault="000C14E3" w:rsidP="00C012DA">
      <w:pPr>
        <w:jc w:val="center"/>
      </w:pPr>
    </w:p>
    <w:sectPr w:rsidR="000C14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822CF"/>
    <w:multiLevelType w:val="hybridMultilevel"/>
    <w:tmpl w:val="4770EF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665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43"/>
    <w:rsid w:val="000C14E3"/>
    <w:rsid w:val="00661B05"/>
    <w:rsid w:val="006F633D"/>
    <w:rsid w:val="00B4297D"/>
    <w:rsid w:val="00BE49CC"/>
    <w:rsid w:val="00C010BE"/>
    <w:rsid w:val="00C012DA"/>
    <w:rsid w:val="00D50866"/>
    <w:rsid w:val="00E80843"/>
    <w:rsid w:val="00F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1D533C47"/>
  <w15:chartTrackingRefBased/>
  <w15:docId w15:val="{2BCD1343-BD3E-4A55-88C4-E41F8972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</dc:creator>
  <cp:keywords/>
  <dc:description/>
  <cp:lastModifiedBy>USER</cp:lastModifiedBy>
  <cp:revision>2</cp:revision>
  <dcterms:created xsi:type="dcterms:W3CDTF">2025-12-24T13:10:00Z</dcterms:created>
  <dcterms:modified xsi:type="dcterms:W3CDTF">2025-12-24T13:10:00Z</dcterms:modified>
</cp:coreProperties>
</file>