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64"/>
        <w:gridCol w:w="3409"/>
        <w:gridCol w:w="31"/>
        <w:gridCol w:w="2235"/>
        <w:gridCol w:w="290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C873DF8" w:rsidR="002023EC" w:rsidRPr="001C052A" w:rsidRDefault="007D4903" w:rsidP="001B56F5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 w:rsidRPr="00854DD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lang w:eastAsia="zh-TW"/>
              </w:rPr>
              <w:t>2555151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4005663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C26B33">
              <w:rPr>
                <w:rFonts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57CDF64" w:rsidR="000B3E3B" w:rsidRPr="00AA5F4C" w:rsidRDefault="00C26B33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hint="eastAsia"/>
                <w:b/>
              </w:rPr>
              <w:t>▓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47DB7CA" w:rsidR="002023EC" w:rsidRPr="00C26B33" w:rsidRDefault="00C26B33" w:rsidP="00C26B33">
            <w:pPr>
              <w:spacing w:before="0" w:beforeAutospacing="0" w:line="320" w:lineRule="exact"/>
              <w:ind w:firstLine="2"/>
              <w:rPr>
                <w:rFonts w:ascii="微軟正黑體" w:eastAsia="微軟正黑體" w:hAnsi="微軟正黑體"/>
                <w:b/>
                <w:bCs/>
              </w:rPr>
            </w:pPr>
            <w:r w:rsidRPr="00C26B33">
              <w:rPr>
                <w:rFonts w:ascii="微軟正黑體" w:eastAsia="微軟正黑體" w:hAnsi="微軟正黑體"/>
                <w:b/>
                <w:bCs/>
              </w:rPr>
              <w:t>醫學</w:t>
            </w:r>
            <w:r w:rsidR="005C28B4" w:rsidRPr="005C28B4">
              <w:rPr>
                <w:rFonts w:ascii="微軟正黑體" w:eastAsia="微軟正黑體" w:hAnsi="微軟正黑體" w:hint="eastAsia"/>
                <w:b/>
                <w:bCs/>
              </w:rPr>
              <w:t>與研究</w:t>
            </w:r>
            <w:r w:rsidRPr="00C26B33">
              <w:rPr>
                <w:rFonts w:ascii="微軟正黑體" w:eastAsia="微軟正黑體" w:hAnsi="微軟正黑體"/>
                <w:b/>
                <w:bCs/>
              </w:rPr>
              <w:t>倫理</w:t>
            </w:r>
            <w:r w:rsidRPr="00C26B33">
              <w:rPr>
                <w:rFonts w:ascii="微軟正黑體" w:eastAsia="微軟正黑體" w:hAnsi="微軟正黑體"/>
                <w:b/>
                <w:bCs/>
              </w:rPr>
              <w:sym w:font="Symbol" w:char="F0BE"/>
            </w:r>
            <w:r w:rsidRPr="00C26B33">
              <w:rPr>
                <w:rFonts w:ascii="微軟正黑體" w:eastAsia="微軟正黑體" w:hAnsi="微軟正黑體"/>
                <w:b/>
                <w:bCs/>
              </w:rPr>
              <w:t>臨床</w:t>
            </w:r>
            <w:r w:rsidRPr="00C26B33">
              <w:rPr>
                <w:rFonts w:ascii="微軟正黑體" w:eastAsia="微軟正黑體" w:hAnsi="微軟正黑體" w:hint="eastAsia"/>
                <w:b/>
                <w:bCs/>
              </w:rPr>
              <w:t>醫療</w:t>
            </w:r>
            <w:r w:rsidRPr="00C26B33">
              <w:rPr>
                <w:rFonts w:ascii="微軟正黑體" w:eastAsia="微軟正黑體" w:hAnsi="微軟正黑體"/>
                <w:b/>
                <w:bCs/>
              </w:rPr>
              <w:t>、</w:t>
            </w:r>
            <w:r w:rsidRPr="00C26B33">
              <w:rPr>
                <w:rFonts w:ascii="微軟正黑體" w:eastAsia="微軟正黑體" w:hAnsi="微軟正黑體" w:hint="eastAsia"/>
                <w:b/>
                <w:bCs/>
              </w:rPr>
              <w:t>研究廉正</w:t>
            </w:r>
            <w:r w:rsidRPr="00C26B33">
              <w:rPr>
                <w:rFonts w:ascii="微軟正黑體" w:eastAsia="微軟正黑體" w:hAnsi="微軟正黑體"/>
                <w:b/>
                <w:bCs/>
              </w:rPr>
              <w:t>與</w:t>
            </w:r>
            <w:r w:rsidRPr="00C26B33">
              <w:rPr>
                <w:rFonts w:ascii="微軟正黑體" w:eastAsia="微軟正黑體" w:hAnsi="微軟正黑體" w:hint="eastAsia"/>
                <w:b/>
                <w:bCs/>
              </w:rPr>
              <w:t>研究參與者的保護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40535B63" w:rsidR="002023EC" w:rsidRPr="00F66AEE" w:rsidRDefault="003A4DF0" w:rsidP="00956FA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  <w:bookmarkStart w:id="0" w:name="_GoBack"/>
            <w:bookmarkEnd w:id="0"/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ED42214" w:rsidR="002023EC" w:rsidRPr="00B47CD4" w:rsidRDefault="00C26B33" w:rsidP="00C26B33">
            <w:pPr>
              <w:spacing w:before="0" w:beforeAutospacing="0" w:line="320" w:lineRule="exact"/>
              <w:ind w:firstLine="2"/>
              <w:rPr>
                <w:rFonts w:ascii="微軟正黑體" w:eastAsia="微軟正黑體" w:hAnsi="微軟正黑體"/>
                <w:b/>
                <w:bCs/>
              </w:rPr>
            </w:pPr>
            <w:r w:rsidRPr="00B47CD4">
              <w:rPr>
                <w:rFonts w:ascii="微軟正黑體" w:eastAsia="微軟正黑體" w:hAnsi="微軟正黑體"/>
                <w:b/>
                <w:bCs/>
              </w:rPr>
              <w:t xml:space="preserve">Medical </w:t>
            </w:r>
            <w:r w:rsidR="005C28B4">
              <w:rPr>
                <w:rFonts w:ascii="微軟正黑體" w:eastAsia="微軟正黑體" w:hAnsi="微軟正黑體"/>
                <w:b/>
                <w:bCs/>
              </w:rPr>
              <w:t>and Research E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t>thics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sym w:font="Symbol" w:char="F0BE"/>
            </w:r>
            <w:r w:rsidR="005C28B4">
              <w:rPr>
                <w:rFonts w:ascii="微軟正黑體" w:eastAsia="微軟正黑體" w:hAnsi="微軟正黑體"/>
                <w:b/>
                <w:bCs/>
              </w:rPr>
              <w:t>C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t xml:space="preserve">linical </w:t>
            </w:r>
            <w:r w:rsidR="005C28B4">
              <w:rPr>
                <w:rFonts w:ascii="微軟正黑體" w:eastAsia="微軟正黑體" w:hAnsi="微軟正黑體"/>
                <w:b/>
                <w:bCs/>
                <w:lang w:eastAsia="zh-TW"/>
              </w:rPr>
              <w:t>P</w:t>
            </w:r>
            <w:r w:rsidRPr="00B47CD4">
              <w:rPr>
                <w:rFonts w:ascii="微軟正黑體" w:eastAsia="微軟正黑體" w:hAnsi="微軟正黑體"/>
                <w:b/>
                <w:bCs/>
                <w:lang w:eastAsia="zh-TW"/>
              </w:rPr>
              <w:t>ractice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t xml:space="preserve">, </w:t>
            </w:r>
            <w:r w:rsidR="005C28B4">
              <w:rPr>
                <w:rFonts w:ascii="微軟正黑體" w:eastAsia="微軟正黑體" w:hAnsi="微軟正黑體"/>
                <w:b/>
                <w:bCs/>
              </w:rPr>
              <w:t>R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t xml:space="preserve">esearch </w:t>
            </w:r>
            <w:r w:rsidR="005C28B4">
              <w:rPr>
                <w:rFonts w:ascii="微軟正黑體" w:eastAsia="微軟正黑體" w:hAnsi="微軟正黑體"/>
                <w:b/>
                <w:bCs/>
              </w:rPr>
              <w:t>I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t xml:space="preserve">ntegrity, and </w:t>
            </w:r>
            <w:r w:rsidR="005C28B4">
              <w:rPr>
                <w:rFonts w:ascii="微軟正黑體" w:eastAsia="微軟正黑體" w:hAnsi="微軟正黑體"/>
                <w:b/>
                <w:bCs/>
              </w:rPr>
              <w:t>P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t xml:space="preserve">rotection of </w:t>
            </w:r>
            <w:r w:rsidR="005C28B4">
              <w:rPr>
                <w:rFonts w:ascii="微軟正黑體" w:eastAsia="微軟正黑體" w:hAnsi="微軟正黑體"/>
                <w:b/>
                <w:bCs/>
              </w:rPr>
              <w:t>R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t xml:space="preserve">esearch </w:t>
            </w:r>
            <w:r w:rsidR="005C28B4">
              <w:rPr>
                <w:rFonts w:ascii="微軟正黑體" w:eastAsia="微軟正黑體" w:hAnsi="微軟正黑體"/>
                <w:b/>
                <w:bCs/>
              </w:rPr>
              <w:t>P</w:t>
            </w:r>
            <w:r w:rsidRPr="00B47CD4">
              <w:rPr>
                <w:rFonts w:ascii="微軟正黑體" w:eastAsia="微軟正黑體" w:hAnsi="微軟正黑體"/>
                <w:b/>
                <w:bCs/>
              </w:rPr>
              <w:t>articipants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A8884DE" w:rsidR="002023EC" w:rsidRPr="00A5210C" w:rsidRDefault="007D4903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113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學年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/</w:t>
            </w:r>
            <w:r w:rsidR="00C26B33" w:rsidRPr="00C26B33">
              <w:rPr>
                <w:rFonts w:ascii="微軟正黑體" w:eastAsia="微軟正黑體" w:hAnsi="微軟正黑體" w:hint="eastAsia"/>
                <w:b/>
                <w:bCs/>
              </w:rPr>
              <w:t>下</w:t>
            </w:r>
            <w:r w:rsidR="00C26B33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5EA4C2B" w:rsidR="002023EC" w:rsidRPr="00C26B33" w:rsidRDefault="00C26B33" w:rsidP="002F18F8">
            <w:pPr>
              <w:spacing w:line="320" w:lineRule="exact"/>
              <w:ind w:firstLineChars="50" w:firstLine="120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C26B33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1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B16BE9D" w:rsidR="002023EC" w:rsidRPr="00A1264B" w:rsidRDefault="00A1264B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F6183">
              <w:rPr>
                <w:rFonts w:ascii="微軟正黑體" w:eastAsia="微軟正黑體" w:hAnsi="微軟正黑體" w:cs="Arial"/>
                <w:b/>
                <w:bCs/>
                <w:color w:val="000000" w:themeColor="text1"/>
                <w:szCs w:val="24"/>
                <w:shd w:val="clear" w:color="auto" w:fill="FFFFFF"/>
              </w:rPr>
              <w:t>生物醫學</w:t>
            </w:r>
            <w:r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8DD915F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C26B33">
              <w:rPr>
                <w:rFonts w:hint="eastAsia"/>
                <w:b/>
              </w:rPr>
              <w:t>▓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3677F16" w14:textId="69158180" w:rsidR="007D4903" w:rsidRDefault="007D4903" w:rsidP="007D4903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843DC8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星期一</w:t>
            </w:r>
            <w:r w:rsidRPr="000D0EAA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第1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0</w:t>
            </w:r>
            <w:r w:rsidRPr="000D0EAA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、1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1</w:t>
            </w:r>
            <w:r w:rsidRPr="000D0EAA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節</w:t>
            </w:r>
          </w:p>
          <w:p w14:paraId="72340DD2" w14:textId="74833858" w:rsidR="002023EC" w:rsidRPr="000D0EAA" w:rsidRDefault="007D4903" w:rsidP="007D4903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3425F8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>(隔周上課.每次2小時)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8E5AEEE" w:rsidR="002023EC" w:rsidRPr="007D4903" w:rsidRDefault="007D4903" w:rsidP="002F18F8">
            <w:pPr>
              <w:spacing w:line="320" w:lineRule="exact"/>
              <w:ind w:leftChars="100" w:left="240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D4903">
              <w:rPr>
                <w:rFonts w:ascii="微軟正黑體" w:eastAsia="微軟正黑體" w:hAnsi="微軟正黑體" w:hint="eastAsia"/>
                <w:sz w:val="32"/>
                <w:szCs w:val="32"/>
                <w:lang w:eastAsia="zh-TW"/>
              </w:rPr>
              <w:t>R228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55C23A3" w:rsidR="002023EC" w:rsidRPr="00C26B33" w:rsidRDefault="00C26B33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bCs/>
              </w:rPr>
            </w:pPr>
            <w:r w:rsidRPr="00C26B33">
              <w:rPr>
                <w:rFonts w:ascii="微軟正黑體" w:eastAsia="微軟正黑體" w:hAnsi="微軟正黑體" w:hint="eastAsia"/>
                <w:b/>
                <w:bCs/>
              </w:rPr>
              <w:t>陳祖裕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1A2B698" w:rsidR="00C26B33" w:rsidRPr="001C052A" w:rsidRDefault="00956FA5" w:rsidP="005F6183">
            <w:pPr>
              <w:spacing w:before="0" w:beforeAutospacing="0"/>
              <w:ind w:leftChars="0" w:left="0"/>
              <w:jc w:val="center"/>
              <w:rPr>
                <w:rFonts w:eastAsia="微軟正黑體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7"/>
                <w:szCs w:val="27"/>
                <w:shd w:val="clear" w:color="auto" w:fill="FFFFFF"/>
              </w:rPr>
              <w:t>cychanfly@gmail.com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03A6241" w:rsidR="002023EC" w:rsidRPr="00A5210C" w:rsidRDefault="005F6183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C26B33">
              <w:rPr>
                <w:rFonts w:eastAsia="微軟正黑體" w:hint="eastAsia"/>
                <w:b/>
                <w:bCs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AD84143" w:rsidR="002023EC" w:rsidRPr="001C052A" w:rsidRDefault="005F6183" w:rsidP="002F18F8">
            <w:pPr>
              <w:spacing w:line="320" w:lineRule="exact"/>
              <w:rPr>
                <w:rFonts w:eastAsia="微軟正黑體"/>
              </w:rPr>
            </w:pPr>
            <w:r w:rsidRPr="00C26B33">
              <w:rPr>
                <w:rFonts w:eastAsia="微軟正黑體" w:hint="eastAsia"/>
                <w:b/>
                <w:bCs/>
              </w:rPr>
              <w:t>無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2F471296" w:rsidR="002023EC" w:rsidRPr="00C26B33" w:rsidRDefault="00C26B33" w:rsidP="001B56F5">
            <w:pPr>
              <w:spacing w:before="0" w:beforeAutospacing="0" w:line="320" w:lineRule="exact"/>
              <w:rPr>
                <w:rFonts w:eastAsia="微軟正黑體"/>
                <w:b/>
                <w:bCs/>
              </w:rPr>
            </w:pPr>
            <w:r w:rsidRPr="00C26B33">
              <w:rPr>
                <w:rFonts w:eastAsia="微軟正黑體" w:hint="eastAsia"/>
                <w:b/>
                <w:bCs/>
              </w:rPr>
              <w:t>無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CBDD42" w14:textId="77777777" w:rsidR="005F6183" w:rsidRDefault="009B72D9" w:rsidP="00112E7D">
            <w:pPr>
              <w:spacing w:before="0" w:beforeAutospacing="0"/>
              <w:ind w:rightChars="103" w:right="247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本課程</w:t>
            </w:r>
            <w:r w:rsidR="00B47CD4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為提供</w:t>
            </w:r>
            <w:r w:rsidR="00B47CD4" w:rsidRPr="005F6183">
              <w:rPr>
                <w:rFonts w:ascii="微軟正黑體" w:eastAsia="微軟正黑體" w:hAnsi="微軟正黑體" w:cs="Arial"/>
                <w:b/>
                <w:bCs/>
                <w:color w:val="000000" w:themeColor="text1"/>
                <w:szCs w:val="24"/>
                <w:shd w:val="clear" w:color="auto" w:fill="FFFFFF"/>
              </w:rPr>
              <w:t>生物醫學科學</w:t>
            </w:r>
            <w:r w:rsidR="00B47CD4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研究所學生</w:t>
            </w:r>
            <w:r w:rsidR="00112E7D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於從事</w:t>
            </w:r>
            <w:r w:rsidR="00B47CD4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醫學相關研究時所需遵循的倫理</w:t>
            </w:r>
            <w:r w:rsidR="00112E7D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守則及</w:t>
            </w:r>
            <w:r w:rsidR="00B47CD4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必要的知識。</w:t>
            </w:r>
            <w:r w:rsidR="00112E7D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授課內容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涵蓋</w:t>
            </w:r>
            <w:r w:rsidR="00112E7D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三個部分：</w:t>
            </w:r>
          </w:p>
          <w:p w14:paraId="4E730BB6" w14:textId="77777777" w:rsidR="005F6183" w:rsidRDefault="00112E7D" w:rsidP="005F6183">
            <w:pPr>
              <w:spacing w:before="0" w:beforeAutospacing="0"/>
              <w:ind w:left="744" w:rightChars="103" w:right="247" w:hangingChars="176" w:hanging="422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(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lang w:eastAsia="zh-TW"/>
              </w:rPr>
              <w:t xml:space="preserve">1) </w:t>
            </w:r>
            <w:r w:rsidR="009B72D9"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醫學倫理</w:t>
            </w:r>
            <w:r w:rsidR="009B72D9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的</w:t>
            </w: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基礎：</w:t>
            </w:r>
            <w:r w:rsidR="009A693D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從事</w:t>
            </w:r>
            <w:r w:rsidR="009A693D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醫學相關研究之人員，宜對臨床醫療的倫理有基本的認識，本部分是</w:t>
            </w:r>
            <w:r w:rsidR="009A693D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以案例引導學生認知及思考臨床醫療的倫理原則、倫理抉擇的秘訣，以及常見的臨床倫理議題</w:t>
            </w:r>
            <w:r w:rsidR="005F6183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。</w:t>
            </w:r>
          </w:p>
          <w:p w14:paraId="0AE5F2B1" w14:textId="77777777" w:rsidR="005F6183" w:rsidRDefault="00112E7D" w:rsidP="005F6183">
            <w:pPr>
              <w:spacing w:before="0" w:beforeAutospacing="0"/>
              <w:ind w:left="744" w:rightChars="103" w:right="247" w:hangingChars="176" w:hanging="422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(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lang w:eastAsia="zh-TW"/>
              </w:rPr>
              <w:t xml:space="preserve">2) </w:t>
            </w:r>
            <w:r w:rsidR="009B72D9"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人體研究</w:t>
            </w:r>
            <w:r w:rsidR="009B72D9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參與者的保護</w:t>
            </w: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="009A693D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醫學研究常會使用人的檢體或資料，甚至採用介入方法從事診斷或治療，本部分是以案例引導</w:t>
            </w:r>
            <w:r w:rsidR="009A693D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學生認知及思考</w:t>
            </w:r>
            <w:r w:rsidR="005C28B4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人體研究</w:t>
            </w:r>
            <w:r w:rsidR="008360DF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倫理及</w:t>
            </w:r>
            <w:r w:rsidR="009A693D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如何保</w:t>
            </w:r>
            <w:r w:rsidR="008360DF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護</w:t>
            </w:r>
            <w:r w:rsidR="008360DF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研究</w:t>
            </w:r>
            <w:r w:rsidR="009A693D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參與者</w:t>
            </w:r>
            <w:r w:rsidR="008360DF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的安全與權益</w:t>
            </w:r>
            <w:r w:rsidR="005F6183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。</w:t>
            </w:r>
          </w:p>
          <w:p w14:paraId="414924B5" w14:textId="46CFFAAB" w:rsidR="002023EC" w:rsidRPr="00112E7D" w:rsidRDefault="00112E7D" w:rsidP="005F6183">
            <w:pPr>
              <w:spacing w:before="0" w:beforeAutospacing="0"/>
              <w:ind w:left="744" w:rightChars="103" w:right="247" w:hangingChars="176" w:hanging="422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(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lang w:eastAsia="zh-TW"/>
              </w:rPr>
              <w:t xml:space="preserve">3) </w:t>
            </w: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研究廉正</w:t>
            </w:r>
            <w:r w:rsid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/</w:t>
            </w:r>
            <w:r w:rsidR="005F6183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學術倫理</w:t>
            </w: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：</w:t>
            </w:r>
            <w:r w:rsidR="008360DF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這是所有研究者必須遵循的規範，</w:t>
            </w:r>
            <w:r w:rsidR="008360DF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本部分是以案例引導</w:t>
            </w:r>
            <w:r w:rsidR="008360DF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學生認知及思考</w:t>
            </w:r>
            <w:r w:rsidR="009B72D9"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  <w:shd w:val="clear" w:color="auto" w:fill="FFFFFF"/>
              </w:rPr>
              <w:t>學術研究的基本</w:t>
            </w:r>
            <w:r w:rsidR="009B72D9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倫理</w:t>
            </w:r>
            <w:r w:rsidR="009B72D9"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  <w:shd w:val="clear" w:color="auto" w:fill="FFFFFF"/>
              </w:rPr>
              <w:t>守</w:t>
            </w:r>
            <w:r w:rsidR="005F6183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則</w:t>
            </w:r>
            <w:r w:rsidR="009B72D9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。</w:t>
            </w:r>
          </w:p>
        </w:tc>
      </w:tr>
      <w:tr w:rsidR="002023EC" w:rsidRPr="001C052A" w14:paraId="4E1DA0BC" w14:textId="77777777" w:rsidTr="00956FA5">
        <w:trPr>
          <w:trHeight w:val="396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53C0D" w14:textId="77777777" w:rsidR="002023EC" w:rsidRPr="005F6183" w:rsidRDefault="00FB2299" w:rsidP="00FB2299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  <w:color w:val="000000" w:themeColor="text1"/>
                <w:lang w:eastAsia="zh-TW"/>
              </w:rPr>
            </w:pP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認知臨床醫療的倫理原則、倫理抉擇的秘訣，以及常見的臨床倫理議題。</w:t>
            </w:r>
          </w:p>
          <w:p w14:paraId="7D86DB15" w14:textId="77777777" w:rsidR="00FB2299" w:rsidRPr="005F6183" w:rsidRDefault="00FB2299" w:rsidP="00FB2299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  <w:color w:val="000000" w:themeColor="text1"/>
                <w:lang w:eastAsia="zh-TW"/>
              </w:rPr>
            </w:pP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認知人體研究倫理及如何保護</w:t>
            </w: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研究</w:t>
            </w:r>
            <w:r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參與者的安全與權益。</w:t>
            </w:r>
          </w:p>
          <w:p w14:paraId="6FE56341" w14:textId="72065E53" w:rsidR="00FB2299" w:rsidRPr="00FB2299" w:rsidRDefault="00FB2299" w:rsidP="00FB2299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  <w:lang w:eastAsia="zh-TW"/>
              </w:rPr>
            </w:pP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認知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  <w:shd w:val="clear" w:color="auto" w:fill="FFFFFF"/>
              </w:rPr>
              <w:t>學術研究的基本</w:t>
            </w: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倫理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  <w:shd w:val="clear" w:color="auto" w:fill="FFFFFF"/>
              </w:rPr>
              <w:t>守</w:t>
            </w:r>
            <w:r w:rsidR="005F6183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  <w:shd w:val="clear" w:color="auto" w:fill="FFFFFF"/>
              </w:rPr>
              <w:t>則</w:t>
            </w: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C5AC9B" w14:textId="76E92B98" w:rsidR="005F40F5" w:rsidRPr="005F6183" w:rsidRDefault="004D50CC" w:rsidP="00905FCD">
            <w:pPr>
              <w:pStyle w:val="a5"/>
              <w:adjustRightInd w:val="0"/>
              <w:snapToGrid w:val="0"/>
              <w:spacing w:before="0" w:beforeAutospacing="0" w:afterLines="50" w:after="120" w:line="400" w:lineRule="exact"/>
              <w:ind w:leftChars="0" w:left="324"/>
              <w:jc w:val="left"/>
              <w:rPr>
                <w:rFonts w:ascii="微軟正黑體" w:eastAsia="微軟正黑體" w:hAnsi="微軟正黑體"/>
                <w:b/>
                <w:bCs/>
                <w:color w:val="000000" w:themeColor="text1"/>
                <w:lang w:eastAsia="zh-TW"/>
              </w:rPr>
            </w:pPr>
            <w:r w:rsidRPr="004D50CC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1</w:t>
            </w:r>
            <w:r w:rsidRPr="004D50CC">
              <w:rPr>
                <w:rFonts w:ascii="微軟正黑體" w:eastAsia="微軟正黑體" w:hAnsi="微軟正黑體"/>
                <w:b/>
                <w:bCs/>
                <w:lang w:eastAsia="zh-TW"/>
              </w:rPr>
              <w:t>.</w:t>
            </w:r>
            <w:r w:rsidR="005F40F5">
              <w:rPr>
                <w:rFonts w:ascii="Arial" w:hAnsi="Arial" w:cs="Arial"/>
                <w:color w:val="666666"/>
                <w:sz w:val="20"/>
                <w:shd w:val="clear" w:color="auto" w:fill="FFFFFF"/>
              </w:rPr>
              <w:t xml:space="preserve"> </w:t>
            </w:r>
            <w:hyperlink r:id="rId8" w:history="1">
              <w:r w:rsidR="005F40F5" w:rsidRPr="005F6183">
                <w:rPr>
                  <w:rStyle w:val="ab"/>
                  <w:rFonts w:ascii="微軟正黑體" w:eastAsia="微軟正黑體" w:hAnsi="微軟正黑體" w:cs="Arial"/>
                  <w:b/>
                  <w:bCs/>
                  <w:color w:val="000000" w:themeColor="text1"/>
                  <w:szCs w:val="24"/>
                  <w:u w:val="none"/>
                  <w:shd w:val="clear" w:color="auto" w:fill="FFFFFF"/>
                </w:rPr>
                <w:t>Peter A. Singer</w:t>
              </w:r>
            </w:hyperlink>
            <w:r w:rsidR="005F40F5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著，</w:t>
            </w:r>
            <w:r w:rsidR="005F40F5"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蔡甫昌譯</w:t>
            </w:r>
            <w:r w:rsidR="005F40F5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。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臨床生命倫理學</w:t>
            </w:r>
            <w:r w:rsidR="005F40F5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，第三版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（20</w:t>
            </w:r>
            <w:r w:rsidR="005F40F5"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18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）</w:t>
            </w:r>
            <w:r w:rsidR="005F40F5"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lang w:eastAsia="zh-TW"/>
              </w:rPr>
              <w:t>。</w:t>
            </w:r>
          </w:p>
          <w:p w14:paraId="4F9FF576" w14:textId="77777777" w:rsidR="004D50CC" w:rsidRPr="005F6183" w:rsidRDefault="004D50CC" w:rsidP="00905FCD">
            <w:pPr>
              <w:pStyle w:val="a5"/>
              <w:adjustRightInd w:val="0"/>
              <w:snapToGrid w:val="0"/>
              <w:spacing w:before="0" w:beforeAutospacing="0" w:afterLines="50" w:after="120" w:line="400" w:lineRule="exact"/>
              <w:ind w:leftChars="129" w:left="586" w:hangingChars="115" w:hanging="276"/>
              <w:jc w:val="left"/>
              <w:rPr>
                <w:rFonts w:ascii="微軟正黑體" w:eastAsia="微軟正黑體" w:hAnsi="微軟正黑體" w:cs="Arial"/>
                <w:b/>
                <w:bCs/>
                <w:color w:val="000000" w:themeColor="text1"/>
                <w:szCs w:val="24"/>
                <w:lang w:eastAsia="zh-TW"/>
              </w:rPr>
            </w:pPr>
            <w:r w:rsidRPr="005F6183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  <w:lang w:eastAsia="zh-TW"/>
              </w:rPr>
              <w:t>2</w:t>
            </w: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  <w:lang w:eastAsia="zh-TW"/>
              </w:rPr>
              <w:t xml:space="preserve">. </w:t>
            </w:r>
            <w:r w:rsidR="005F40F5"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  <w:lang w:eastAsia="zh-TW"/>
              </w:rPr>
              <w:t xml:space="preserve">Bankert EA, Gordon BG, Hurley EA, Shriver SP. </w:t>
            </w:r>
            <w:r w:rsidR="005F40F5" w:rsidRPr="005F6183">
              <w:rPr>
                <w:rFonts w:ascii="微軟正黑體" w:eastAsia="微軟正黑體" w:hAnsi="微軟正黑體" w:cs="Arial"/>
                <w:b/>
                <w:bCs/>
                <w:color w:val="000000" w:themeColor="text1"/>
                <w:szCs w:val="24"/>
              </w:rPr>
              <w:t>Institutional Review Board: Management and Function: Management and Function 3</w:t>
            </w:r>
            <w:r w:rsidR="005F40F5" w:rsidRPr="005F6183">
              <w:rPr>
                <w:rFonts w:ascii="微軟正黑體" w:eastAsia="微軟正黑體" w:hAnsi="微軟正黑體" w:cs="Arial"/>
                <w:b/>
                <w:bCs/>
                <w:color w:val="000000" w:themeColor="text1"/>
                <w:szCs w:val="24"/>
                <w:vertAlign w:val="superscript"/>
              </w:rPr>
              <w:t>rd</w:t>
            </w:r>
            <w:r w:rsidR="005F40F5" w:rsidRPr="005F6183">
              <w:rPr>
                <w:rFonts w:ascii="微軟正黑體" w:eastAsia="微軟正黑體" w:hAnsi="微軟正黑體" w:cs="Arial"/>
                <w:b/>
                <w:bCs/>
                <w:color w:val="000000" w:themeColor="text1"/>
                <w:szCs w:val="24"/>
              </w:rPr>
              <w:t xml:space="preserve"> ed</w:t>
            </w:r>
            <w:r w:rsidR="005F40F5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</w:rPr>
              <w:t>（</w:t>
            </w:r>
            <w:r w:rsidR="005F40F5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lang w:eastAsia="zh-TW"/>
              </w:rPr>
              <w:t>2</w:t>
            </w:r>
            <w:r w:rsidR="005F40F5" w:rsidRPr="005F6183">
              <w:rPr>
                <w:rFonts w:ascii="微軟正黑體" w:eastAsia="微軟正黑體" w:hAnsi="微軟正黑體" w:cs="Arial"/>
                <w:b/>
                <w:bCs/>
                <w:color w:val="000000" w:themeColor="text1"/>
                <w:szCs w:val="24"/>
                <w:lang w:eastAsia="zh-TW"/>
              </w:rPr>
              <w:t>022</w:t>
            </w:r>
            <w:r w:rsidR="005F40F5" w:rsidRPr="005F61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Cs w:val="24"/>
                <w:lang w:eastAsia="zh-TW"/>
              </w:rPr>
              <w:t>）.</w:t>
            </w:r>
          </w:p>
          <w:p w14:paraId="7A562E0F" w14:textId="45414C74" w:rsidR="00112E7D" w:rsidRDefault="00112E7D" w:rsidP="00905FCD">
            <w:pPr>
              <w:pStyle w:val="a5"/>
              <w:adjustRightInd w:val="0"/>
              <w:snapToGrid w:val="0"/>
              <w:spacing w:before="0" w:beforeAutospacing="0" w:afterLines="50" w:after="120" w:line="400" w:lineRule="exact"/>
              <w:ind w:leftChars="129" w:left="586" w:hangingChars="115" w:hanging="276"/>
              <w:jc w:val="left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  <w:lang w:eastAsia="zh-TW"/>
              </w:rPr>
            </w:pPr>
            <w:r w:rsidRPr="005F6183"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  <w:lang w:eastAsia="zh-TW"/>
              </w:rPr>
              <w:t xml:space="preserve">3. Bioethics Topics. Department of Bioethics and Humanities, University of Washington. </w:t>
            </w:r>
            <w:hyperlink r:id="rId9" w:history="1">
              <w:r w:rsidR="005F6183" w:rsidRPr="003132E5">
                <w:rPr>
                  <w:rStyle w:val="ab"/>
                  <w:rFonts w:ascii="微軟正黑體" w:eastAsia="微軟正黑體" w:hAnsi="微軟正黑體"/>
                  <w:b/>
                  <w:bCs/>
                  <w:szCs w:val="24"/>
                  <w:lang w:eastAsia="zh-TW"/>
                </w:rPr>
                <w:t>https://depts.washington.edu/bhdept/ethics-medicine/bioethics-topics</w:t>
              </w:r>
            </w:hyperlink>
          </w:p>
          <w:p w14:paraId="60AA7F3B" w14:textId="001756EA" w:rsidR="005F6183" w:rsidRPr="00905FCD" w:rsidRDefault="005F6183" w:rsidP="00905FCD">
            <w:pPr>
              <w:pStyle w:val="a5"/>
              <w:adjustRightInd w:val="0"/>
              <w:snapToGrid w:val="0"/>
              <w:spacing w:before="0" w:beforeAutospacing="0" w:afterLines="50" w:after="120" w:line="400" w:lineRule="exact"/>
              <w:ind w:leftChars="129" w:left="586" w:hangingChars="115" w:hanging="276"/>
              <w:jc w:val="lef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  <w:lang w:eastAsia="zh-TW"/>
              </w:rPr>
              <w:t xml:space="preserve">4. </w:t>
            </w:r>
            <w:r w:rsidRPr="005F6183">
              <w:rPr>
                <w:rFonts w:ascii="微軟正黑體" w:eastAsia="微軟正黑體" w:hAnsi="微軟正黑體"/>
                <w:b/>
                <w:color w:val="000000" w:themeColor="text1"/>
              </w:rPr>
              <w:t>國家科學及技術委員會對研究人員學術倫理規範</w:t>
            </w:r>
            <w:r w:rsidRPr="005F618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。</w:t>
            </w:r>
            <w:hyperlink r:id="rId10" w:history="1">
              <w:r w:rsidR="00905FCD" w:rsidRPr="003132E5">
                <w:rPr>
                  <w:rStyle w:val="ab"/>
                  <w:rFonts w:ascii="微軟正黑體" w:eastAsia="微軟正黑體" w:hAnsi="微軟正黑體"/>
                  <w:b/>
                </w:rPr>
                <w:t>https://www.nstc.gov.tw/folksonomy/list/7e00ab5c-80ad-4115-b76f-6668b8ec5a7c?l=ch</w:t>
              </w:r>
            </w:hyperlink>
            <w:r w:rsidR="00905FCD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FC2E0B2" w:rsidR="002023EC" w:rsidRPr="00AA5F4C" w:rsidRDefault="00C26B3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7AD3E6B" w:rsidR="002023EC" w:rsidRPr="00AA5F4C" w:rsidRDefault="00C26B3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518D16CB" w:rsidR="002023EC" w:rsidRPr="00730AA7" w:rsidRDefault="00C26B33" w:rsidP="002F18F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BF2D66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4D50CC">
              <w:rPr>
                <w:rFonts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0D47BD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4D50CC">
              <w:rPr>
                <w:rFonts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0C1A74E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26B33">
              <w:rPr>
                <w:rFonts w:hint="eastAsia"/>
                <w:b/>
              </w:rPr>
              <w:t>▓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4D50CC">
            <w:pPr>
              <w:autoSpaceDE w:val="0"/>
              <w:autoSpaceDN w:val="0"/>
              <w:adjustRightInd w:val="0"/>
              <w:snapToGrid w:val="0"/>
              <w:ind w:leftChars="80" w:left="192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BD197B4" w:rsidR="002023EC" w:rsidRPr="00CC29AE" w:rsidRDefault="002023EC" w:rsidP="002F18F8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>Week 1</w:t>
            </w:r>
            <w:r w:rsidR="00BA3417">
              <w:rPr>
                <w:rFonts w:ascii="微軟正黑體" w:eastAsia="微軟正黑體" w:hAnsi="微軟正黑體"/>
                <w:b/>
                <w:bCs/>
              </w:rPr>
              <w:t xml:space="preserve"> (1) </w:t>
            </w:r>
            <w:r w:rsidR="002A3682" w:rsidRPr="002A3682">
              <w:rPr>
                <w:rFonts w:ascii="微軟正黑體" w:eastAsia="微軟正黑體" w:hAnsi="微軟正黑體" w:hint="eastAsia"/>
                <w:b/>
                <w:bCs/>
              </w:rPr>
              <w:t>緒論：倫理</w:t>
            </w:r>
            <w:r w:rsidR="00BA3417" w:rsidRPr="00BA3417">
              <w:rPr>
                <w:rFonts w:ascii="微軟正黑體" w:eastAsia="微軟正黑體" w:hAnsi="微軟正黑體" w:hint="eastAsia"/>
                <w:b/>
                <w:bCs/>
              </w:rPr>
              <w:t>之意涵、深度與迷思；</w:t>
            </w:r>
            <w:r w:rsidR="00BA3417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</w:t>
            </w:r>
            <w:r w:rsidR="00BA3417"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2) </w:t>
            </w:r>
            <w:r w:rsidR="00BA3417" w:rsidRPr="00BA3417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醫學及研究之「奇案」共賞。</w:t>
            </w:r>
            <w:r w:rsidR="00956FA5" w:rsidRPr="00956FA5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>[2/17]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4665614" w:rsidR="002023EC" w:rsidRPr="00CC29AE" w:rsidRDefault="002023EC" w:rsidP="002F18F8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>Week 2</w:t>
            </w:r>
            <w:r w:rsidR="00CC29AE"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A6177C">
              <w:rPr>
                <w:rFonts w:ascii="微軟正黑體" w:eastAsia="微軟正黑體" w:hAnsi="微軟正黑體"/>
                <w:b/>
                <w:bCs/>
              </w:rPr>
              <w:t xml:space="preserve">(1) </w:t>
            </w:r>
            <w:r w:rsidR="00A6177C" w:rsidRPr="00A6177C">
              <w:rPr>
                <w:rFonts w:ascii="微軟正黑體" w:eastAsia="微軟正黑體" w:hAnsi="微軟正黑體" w:hint="eastAsia"/>
                <w:b/>
                <w:bCs/>
              </w:rPr>
              <w:t>臨床醫學倫理之原則；</w:t>
            </w:r>
            <w:r w:rsidR="00A6177C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</w:t>
            </w:r>
            <w:r w:rsidR="00A6177C"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2) </w:t>
            </w:r>
            <w:r w:rsidR="00A6177C" w:rsidRPr="00A6177C">
              <w:rPr>
                <w:rFonts w:ascii="微軟正黑體" w:eastAsia="微軟正黑體" w:hAnsi="微軟正黑體" w:hint="eastAsia"/>
                <w:b/>
                <w:bCs/>
              </w:rPr>
              <w:t>臨床醫學倫理常見議題</w:t>
            </w:r>
            <w:r w:rsidR="00DA3CBF" w:rsidRPr="00DA3CBF">
              <w:rPr>
                <w:rFonts w:ascii="微軟正黑體" w:eastAsia="微軟正黑體" w:hAnsi="微軟正黑體" w:hint="eastAsia"/>
                <w:b/>
                <w:bCs/>
              </w:rPr>
              <w:t>及</w:t>
            </w:r>
            <w:r w:rsidR="00A6177C" w:rsidRPr="00A6177C">
              <w:rPr>
                <w:rFonts w:ascii="微軟正黑體" w:eastAsia="微軟正黑體" w:hAnsi="微軟正黑體" w:hint="eastAsia"/>
                <w:b/>
                <w:bCs/>
              </w:rPr>
              <w:t>案例討論。</w:t>
            </w:r>
            <w:r w:rsidR="00956FA5" w:rsidRPr="00956FA5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>[3/3]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7CCF259" w:rsidR="002023EC" w:rsidRPr="00CC29AE" w:rsidRDefault="002023EC" w:rsidP="002F18F8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 xml:space="preserve">Week 3 </w:t>
            </w:r>
            <w:r w:rsidR="00A6177C">
              <w:rPr>
                <w:rFonts w:ascii="微軟正黑體" w:eastAsia="微軟正黑體" w:hAnsi="微軟正黑體"/>
                <w:b/>
                <w:bCs/>
              </w:rPr>
              <w:t xml:space="preserve">(1) </w:t>
            </w:r>
            <w:r w:rsidR="00A6177C" w:rsidRPr="00A6177C">
              <w:rPr>
                <w:rFonts w:ascii="微軟正黑體" w:eastAsia="微軟正黑體" w:hAnsi="微軟正黑體" w:hint="eastAsia"/>
                <w:b/>
                <w:bCs/>
              </w:rPr>
              <w:t>臨床醫學倫理抉擇工具；</w:t>
            </w:r>
            <w:r w:rsidR="00A6177C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</w:t>
            </w:r>
            <w:r w:rsidR="00A6177C">
              <w:rPr>
                <w:rFonts w:ascii="微軟正黑體" w:eastAsia="微軟正黑體" w:hAnsi="微軟正黑體"/>
                <w:b/>
                <w:bCs/>
                <w:lang w:eastAsia="zh-TW"/>
              </w:rPr>
              <w:t>2) 4-Box Method</w:t>
            </w:r>
            <w:r w:rsidR="00A6177C" w:rsidRPr="00A6177C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實作。</w:t>
            </w:r>
            <w:r w:rsidR="00956FA5" w:rsidRPr="00956FA5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>[3/17]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0D81E30" w:rsidR="002023EC" w:rsidRPr="00CC29AE" w:rsidRDefault="002023EC" w:rsidP="002F18F8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 xml:space="preserve">Week 4 </w:t>
            </w:r>
            <w:r w:rsidR="00A6177C">
              <w:rPr>
                <w:rFonts w:ascii="微軟正黑體" w:eastAsia="微軟正黑體" w:hAnsi="微軟正黑體"/>
                <w:b/>
                <w:bCs/>
              </w:rPr>
              <w:t xml:space="preserve">(1) </w:t>
            </w:r>
            <w:r w:rsidR="009826B4" w:rsidRPr="009826B4">
              <w:rPr>
                <w:rFonts w:ascii="微軟正黑體" w:eastAsia="微軟正黑體" w:hAnsi="微軟正黑體" w:hint="eastAsia"/>
                <w:b/>
                <w:bCs/>
              </w:rPr>
              <w:t>人體</w:t>
            </w:r>
            <w:r w:rsidR="009826B4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/</w:t>
            </w:r>
            <w:r w:rsidR="009826B4" w:rsidRPr="009826B4">
              <w:rPr>
                <w:rFonts w:ascii="微軟正黑體" w:eastAsia="微軟正黑體" w:hAnsi="微軟正黑體" w:hint="eastAsia"/>
                <w:b/>
                <w:bCs/>
              </w:rPr>
              <w:t>類研究倫理的發展</w:t>
            </w:r>
            <w:r w:rsidR="009826B4" w:rsidRPr="00A6177C">
              <w:rPr>
                <w:rFonts w:ascii="微軟正黑體" w:eastAsia="微軟正黑體" w:hAnsi="微軟正黑體" w:hint="eastAsia"/>
                <w:b/>
                <w:bCs/>
              </w:rPr>
              <w:t>；</w:t>
            </w:r>
            <w:r w:rsidR="009826B4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</w:t>
            </w:r>
            <w:r w:rsidR="009826B4"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2) </w:t>
            </w:r>
            <w:r w:rsidR="009826B4" w:rsidRPr="009826B4">
              <w:rPr>
                <w:rFonts w:ascii="微軟正黑體" w:eastAsia="微軟正黑體" w:hAnsi="微軟正黑體"/>
                <w:b/>
                <w:bCs/>
                <w:lang w:eastAsia="zh-TW"/>
              </w:rPr>
              <w:t>受試者保護計畫</w:t>
            </w:r>
            <w:r w:rsidR="00956FA5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 </w:t>
            </w:r>
            <w:r w:rsidR="00956FA5" w:rsidRPr="00956FA5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>[3/31]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187CEB2" w:rsidR="002023EC" w:rsidRPr="00CC29AE" w:rsidRDefault="002023EC" w:rsidP="002F18F8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 xml:space="preserve">Week 5 </w:t>
            </w:r>
            <w:r w:rsidR="009826B4">
              <w:rPr>
                <w:rFonts w:ascii="微軟正黑體" w:eastAsia="微軟正黑體" w:hAnsi="微軟正黑體"/>
                <w:b/>
                <w:bCs/>
              </w:rPr>
              <w:t xml:space="preserve">(1) </w:t>
            </w:r>
            <w:r w:rsidR="009826B4" w:rsidRPr="009826B4">
              <w:rPr>
                <w:rFonts w:ascii="微軟正黑體" w:eastAsia="微軟正黑體" w:hAnsi="微軟正黑體" w:hint="eastAsia"/>
                <w:b/>
                <w:bCs/>
              </w:rPr>
              <w:t>人體</w:t>
            </w:r>
            <w:r w:rsidR="009826B4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/</w:t>
            </w:r>
            <w:r w:rsidR="009826B4" w:rsidRPr="009826B4">
              <w:rPr>
                <w:rFonts w:ascii="微軟正黑體" w:eastAsia="微軟正黑體" w:hAnsi="微軟正黑體" w:hint="eastAsia"/>
                <w:b/>
                <w:bCs/>
              </w:rPr>
              <w:t>類研究的利益衝突</w:t>
            </w:r>
            <w:r w:rsidR="009826B4" w:rsidRPr="00A6177C">
              <w:rPr>
                <w:rFonts w:ascii="微軟正黑體" w:eastAsia="微軟正黑體" w:hAnsi="微軟正黑體" w:hint="eastAsia"/>
                <w:b/>
                <w:bCs/>
              </w:rPr>
              <w:t>；</w:t>
            </w:r>
            <w:r w:rsidR="009826B4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</w:t>
            </w:r>
            <w:r w:rsidR="009826B4"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2) </w:t>
            </w:r>
            <w:r w:rsidR="009826B4" w:rsidRPr="009826B4">
              <w:rPr>
                <w:rFonts w:ascii="微軟正黑體" w:eastAsia="微軟正黑體" w:hAnsi="微軟正黑體"/>
                <w:b/>
                <w:bCs/>
                <w:lang w:eastAsia="zh-TW"/>
              </w:rPr>
              <w:t>IRB的角色與職責</w:t>
            </w:r>
            <w:r w:rsidR="00956FA5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 </w:t>
            </w:r>
            <w:r w:rsidR="00956FA5" w:rsidRPr="00956FA5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>[4/28]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D1F6CAE" w:rsidR="002023EC" w:rsidRPr="00CC29AE" w:rsidRDefault="002023EC" w:rsidP="002F18F8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 xml:space="preserve">Week 6 </w:t>
            </w:r>
            <w:r w:rsidR="009826B4">
              <w:rPr>
                <w:rFonts w:ascii="微軟正黑體" w:eastAsia="微軟正黑體" w:hAnsi="微軟正黑體"/>
                <w:b/>
                <w:bCs/>
              </w:rPr>
              <w:t xml:space="preserve">(1) </w:t>
            </w:r>
            <w:r w:rsidR="009826B4" w:rsidRPr="009826B4">
              <w:rPr>
                <w:rFonts w:ascii="微軟正黑體" w:eastAsia="微軟正黑體" w:hAnsi="微軟正黑體"/>
                <w:b/>
                <w:bCs/>
                <w:lang w:eastAsia="zh-TW"/>
              </w:rPr>
              <w:t>人</w:t>
            </w:r>
            <w:r w:rsidR="009826B4" w:rsidRPr="009826B4">
              <w:rPr>
                <w:rFonts w:ascii="微軟正黑體" w:eastAsia="微軟正黑體" w:hAnsi="微軟正黑體" w:hint="eastAsia"/>
                <w:b/>
                <w:bCs/>
              </w:rPr>
              <w:t>體</w:t>
            </w:r>
            <w:r w:rsidR="009826B4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/</w:t>
            </w:r>
            <w:r w:rsidR="009826B4" w:rsidRPr="009826B4">
              <w:rPr>
                <w:rFonts w:ascii="微軟正黑體" w:eastAsia="微軟正黑體" w:hAnsi="微軟正黑體" w:hint="eastAsia"/>
                <w:b/>
                <w:bCs/>
              </w:rPr>
              <w:t>類</w:t>
            </w:r>
            <w:r w:rsidR="009826B4" w:rsidRPr="009826B4">
              <w:rPr>
                <w:rFonts w:ascii="微軟正黑體" w:eastAsia="微軟正黑體" w:hAnsi="微軟正黑體"/>
                <w:b/>
                <w:bCs/>
                <w:lang w:eastAsia="zh-TW"/>
              </w:rPr>
              <w:t>研究之知情同意</w:t>
            </w:r>
            <w:r w:rsidR="009826B4" w:rsidRPr="00A6177C">
              <w:rPr>
                <w:rFonts w:ascii="微軟正黑體" w:eastAsia="微軟正黑體" w:hAnsi="微軟正黑體" w:hint="eastAsia"/>
                <w:b/>
                <w:bCs/>
              </w:rPr>
              <w:t>；</w:t>
            </w:r>
            <w:r w:rsidR="009826B4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</w:t>
            </w:r>
            <w:r w:rsidR="009826B4"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2) </w:t>
            </w:r>
            <w:r w:rsidR="009826B4" w:rsidRPr="009826B4">
              <w:rPr>
                <w:rFonts w:ascii="微軟正黑體" w:eastAsia="微軟正黑體" w:hAnsi="微軟正黑體" w:hint="eastAsia"/>
                <w:b/>
                <w:bCs/>
              </w:rPr>
              <w:t>研究計畫主持人</w:t>
            </w:r>
            <w:r w:rsidR="009826B4" w:rsidRPr="009826B4">
              <w:rPr>
                <w:rFonts w:ascii="微軟正黑體" w:eastAsia="微軟正黑體" w:hAnsi="微軟正黑體"/>
                <w:b/>
                <w:bCs/>
              </w:rPr>
              <w:t>在受試者保護計畫中的角色</w:t>
            </w:r>
            <w:r w:rsidR="00956FA5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 </w:t>
            </w:r>
            <w:r w:rsidR="00956FA5" w:rsidRPr="00956FA5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>[5/12]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21C4F55" w:rsidR="002023EC" w:rsidRPr="00CC29AE" w:rsidRDefault="002023EC" w:rsidP="00C704D2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>Week 7</w:t>
            </w:r>
            <w:r w:rsidR="00CC29AE"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9826B4">
              <w:rPr>
                <w:rFonts w:ascii="微軟正黑體" w:eastAsia="微軟正黑體" w:hAnsi="微軟正黑體"/>
                <w:b/>
                <w:bCs/>
              </w:rPr>
              <w:t xml:space="preserve">(1) </w:t>
            </w:r>
            <w:r w:rsidR="00DA3CBF" w:rsidRPr="00DA3CBF">
              <w:rPr>
                <w:rFonts w:ascii="微軟正黑體" w:eastAsia="微軟正黑體" w:hAnsi="微軟正黑體" w:hint="eastAsia"/>
                <w:b/>
                <w:bCs/>
              </w:rPr>
              <w:t>研究廉正與學術倫理</w:t>
            </w:r>
            <w:r w:rsidR="009826B4" w:rsidRPr="00A6177C">
              <w:rPr>
                <w:rFonts w:ascii="微軟正黑體" w:eastAsia="微軟正黑體" w:hAnsi="微軟正黑體" w:hint="eastAsia"/>
                <w:b/>
                <w:bCs/>
              </w:rPr>
              <w:t>；</w:t>
            </w:r>
            <w:r w:rsidR="009826B4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</w:t>
            </w:r>
            <w:r w:rsidR="009826B4">
              <w:rPr>
                <w:rFonts w:ascii="微軟正黑體" w:eastAsia="微軟正黑體" w:hAnsi="微軟正黑體"/>
                <w:b/>
                <w:bCs/>
                <w:lang w:eastAsia="zh-TW"/>
              </w:rPr>
              <w:t>2)</w:t>
            </w:r>
            <w:r w:rsidR="00DA3CBF"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 </w:t>
            </w:r>
            <w:r w:rsidR="00DA3CBF" w:rsidRPr="00DA3CBF">
              <w:rPr>
                <w:rFonts w:ascii="微軟正黑體" w:eastAsia="微軟正黑體" w:hAnsi="微軟正黑體" w:hint="eastAsia"/>
                <w:b/>
                <w:bCs/>
              </w:rPr>
              <w:t>學術倫理案</w:t>
            </w:r>
            <w:r w:rsidR="00DA3CBF" w:rsidRPr="00A6177C">
              <w:rPr>
                <w:rFonts w:ascii="微軟正黑體" w:eastAsia="微軟正黑體" w:hAnsi="微軟正黑體" w:hint="eastAsia"/>
                <w:b/>
                <w:bCs/>
              </w:rPr>
              <w:t>例討論</w:t>
            </w:r>
            <w:r w:rsidR="00DA3CBF" w:rsidRPr="00DA3CBF">
              <w:rPr>
                <w:rFonts w:ascii="微軟正黑體" w:eastAsia="微軟正黑體" w:hAnsi="微軟正黑體" w:hint="eastAsia"/>
                <w:b/>
                <w:bCs/>
              </w:rPr>
              <w:t>（一）</w:t>
            </w:r>
            <w:r w:rsidR="00956FA5" w:rsidRPr="00956FA5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>[5/26]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9D08A38" w:rsidR="002023EC" w:rsidRPr="00DA3CBF" w:rsidRDefault="002023EC" w:rsidP="002F18F8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 xml:space="preserve">Week 8 </w:t>
            </w:r>
            <w:r w:rsidR="009826B4">
              <w:rPr>
                <w:rFonts w:ascii="微軟正黑體" w:eastAsia="微軟正黑體" w:hAnsi="微軟正黑體"/>
                <w:b/>
                <w:bCs/>
              </w:rPr>
              <w:t xml:space="preserve">(1) </w:t>
            </w:r>
            <w:r w:rsidR="00DA3CBF" w:rsidRPr="00DA3CBF">
              <w:rPr>
                <w:rFonts w:ascii="微軟正黑體" w:eastAsia="微軟正黑體" w:hAnsi="微軟正黑體" w:hint="eastAsia"/>
                <w:b/>
                <w:bCs/>
              </w:rPr>
              <w:t>學術倫理案</w:t>
            </w:r>
            <w:r w:rsidR="00DA3CBF" w:rsidRPr="00A6177C">
              <w:rPr>
                <w:rFonts w:ascii="微軟正黑體" w:eastAsia="微軟正黑體" w:hAnsi="微軟正黑體" w:hint="eastAsia"/>
                <w:b/>
                <w:bCs/>
              </w:rPr>
              <w:t>例討論</w:t>
            </w:r>
            <w:r w:rsidR="00DA3CBF" w:rsidRPr="00DA3CBF">
              <w:rPr>
                <w:rFonts w:ascii="微軟正黑體" w:eastAsia="微軟正黑體" w:hAnsi="微軟正黑體" w:hint="eastAsia"/>
                <w:b/>
                <w:bCs/>
              </w:rPr>
              <w:t>（二）</w:t>
            </w:r>
            <w:r w:rsidR="009826B4" w:rsidRPr="00A6177C">
              <w:rPr>
                <w:rFonts w:ascii="微軟正黑體" w:eastAsia="微軟正黑體" w:hAnsi="微軟正黑體" w:hint="eastAsia"/>
                <w:b/>
                <w:bCs/>
              </w:rPr>
              <w:t>；</w:t>
            </w:r>
            <w:r w:rsidR="009826B4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</w:t>
            </w:r>
            <w:r w:rsidR="009826B4">
              <w:rPr>
                <w:rFonts w:ascii="微軟正黑體" w:eastAsia="微軟正黑體" w:hAnsi="微軟正黑體"/>
                <w:b/>
                <w:bCs/>
                <w:lang w:eastAsia="zh-TW"/>
              </w:rPr>
              <w:t>2)</w:t>
            </w:r>
            <w:r w:rsidR="00DA3CBF">
              <w:rPr>
                <w:rFonts w:ascii="微軟正黑體" w:eastAsia="微軟正黑體" w:hAnsi="微軟正黑體"/>
                <w:b/>
                <w:bCs/>
                <w:lang w:eastAsia="zh-TW"/>
              </w:rPr>
              <w:t xml:space="preserve"> </w:t>
            </w:r>
            <w:r w:rsidR="00DA3CBF" w:rsidRPr="00DA3CBF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課程總結</w:t>
            </w:r>
            <w:r w:rsidR="00DA3CBF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sym w:font="Symbol" w:char="F0BE"/>
            </w:r>
            <w:r w:rsidR="00DA3CBF" w:rsidRPr="00DA3CBF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反思與展望</w:t>
            </w:r>
            <w:r w:rsidR="00956FA5" w:rsidRPr="00956FA5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TW"/>
              </w:rPr>
              <w:t xml:space="preserve"> [6/9]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580371F" w:rsidR="002023EC" w:rsidRPr="00CC29A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微軟正黑體" w:eastAsia="微軟正黑體" w:hAnsi="微軟正黑體"/>
                <w:b/>
                <w:bCs/>
              </w:rPr>
            </w:pPr>
            <w:r w:rsidRPr="00CC29AE">
              <w:rPr>
                <w:rFonts w:ascii="微軟正黑體" w:eastAsia="微軟正黑體" w:hAnsi="微軟正黑體"/>
                <w:b/>
                <w:bCs/>
              </w:rPr>
              <w:t>Week 9</w:t>
            </w:r>
            <w:r w:rsidR="00CC29AE"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CC29AE" w:rsidRPr="00CC29AE">
              <w:rPr>
                <w:rFonts w:ascii="微軟正黑體" w:eastAsia="微軟正黑體" w:hAnsi="微軟正黑體" w:hint="eastAsia"/>
                <w:b/>
                <w:bCs/>
              </w:rPr>
              <w:t>期末考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905FCD">
        <w:trPr>
          <w:trHeight w:val="3941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pPr w:leftFromText="180" w:rightFromText="180" w:horzAnchor="margin" w:tblpY="-1158"/>
              <w:tblOverlap w:val="never"/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905FCD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905FCD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905FCD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35CA5673" w:rsidR="002D3E62" w:rsidRPr="006468A6" w:rsidRDefault="006468A6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具生物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學領域學理之專業知識。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203C1F26" w:rsidR="002D3E62" w:rsidRPr="00C26B33" w:rsidRDefault="00C26B33" w:rsidP="00905F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Cs w:val="24"/>
                    </w:rPr>
                  </w:pPr>
                  <w:r w:rsidRPr="00C26B33">
                    <w:rPr>
                      <w:rFonts w:ascii="微軟正黑體" w:eastAsia="微軟正黑體" w:hAnsi="微軟正黑體"/>
                      <w:szCs w:val="24"/>
                    </w:rPr>
                    <w:sym w:font="Wingdings" w:char="F0FC"/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905F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177" w:left="-425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905FCD"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B3342C4" w:rsidR="002D3E62" w:rsidRPr="006468A6" w:rsidRDefault="006468A6" w:rsidP="000D1005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具執行實驗及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解決生物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學相關問題之能力。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0CA13F0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20FAA085" w:rsidR="002D3E62" w:rsidRPr="00FF66D4" w:rsidRDefault="00C26B33" w:rsidP="00905F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39" w:left="-94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26B33">
                    <w:rPr>
                      <w:rFonts w:ascii="微軟正黑體" w:eastAsia="微軟正黑體" w:hAnsi="微軟正黑體"/>
                      <w:szCs w:val="24"/>
                    </w:rPr>
                    <w:sym w:font="Wingdings" w:char="F0FC"/>
                  </w:r>
                </w:p>
              </w:tc>
            </w:tr>
            <w:tr w:rsidR="003A6442" w:rsidRPr="00FF66D4" w14:paraId="5A8990EF" w14:textId="77777777" w:rsidTr="00905FCD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5C445F00" w:rsidR="003A6442" w:rsidRPr="006468A6" w:rsidRDefault="006468A6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撰寫生物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學專業論文之能力。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1B8E3204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49ECC6AA" w:rsidR="003A6442" w:rsidRPr="00FF66D4" w:rsidRDefault="00C26B33" w:rsidP="00905FC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39" w:left="-94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26B33">
                    <w:rPr>
                      <w:rFonts w:ascii="微軟正黑體" w:eastAsia="微軟正黑體" w:hAnsi="微軟正黑體"/>
                      <w:szCs w:val="24"/>
                    </w:rPr>
                    <w:sym w:font="Wingdings" w:char="F0FC"/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1360A" w14:textId="77777777" w:rsidR="008F5CCA" w:rsidRDefault="008F5CCA" w:rsidP="00E9068E">
      <w:pPr>
        <w:spacing w:before="0"/>
      </w:pPr>
      <w:r>
        <w:separator/>
      </w:r>
    </w:p>
  </w:endnote>
  <w:endnote w:type="continuationSeparator" w:id="0">
    <w:p w14:paraId="415B1E89" w14:textId="77777777" w:rsidR="008F5CCA" w:rsidRDefault="008F5CC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539D" w14:textId="77777777" w:rsidR="008F5CCA" w:rsidRDefault="008F5CCA" w:rsidP="00E9068E">
      <w:pPr>
        <w:spacing w:before="0"/>
      </w:pPr>
      <w:r>
        <w:separator/>
      </w:r>
    </w:p>
  </w:footnote>
  <w:footnote w:type="continuationSeparator" w:id="0">
    <w:p w14:paraId="50245BA1" w14:textId="77777777" w:rsidR="008F5CCA" w:rsidRDefault="008F5CC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3579E"/>
    <w:multiLevelType w:val="hybridMultilevel"/>
    <w:tmpl w:val="7A3231F0"/>
    <w:lvl w:ilvl="0" w:tplc="E5A20AAA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5F6149"/>
    <w:multiLevelType w:val="hybridMultilevel"/>
    <w:tmpl w:val="7B46A128"/>
    <w:lvl w:ilvl="0" w:tplc="0DF02D0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6" w15:restartNumberingAfterBreak="0">
    <w:nsid w:val="57047B46"/>
    <w:multiLevelType w:val="hybridMultilevel"/>
    <w:tmpl w:val="3D3C7032"/>
    <w:lvl w:ilvl="0" w:tplc="D3645C32">
      <w:start w:val="1"/>
      <w:numFmt w:val="decimal"/>
      <w:lvlText w:val="%1."/>
      <w:lvlJc w:val="left"/>
      <w:pPr>
        <w:ind w:left="682" w:hanging="360"/>
      </w:pPr>
      <w:rPr>
        <w:rFonts w:ascii="微軟正黑體" w:hAnsi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HK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6244B"/>
    <w:rsid w:val="0008209B"/>
    <w:rsid w:val="00097363"/>
    <w:rsid w:val="000A4CF7"/>
    <w:rsid w:val="000B2C15"/>
    <w:rsid w:val="000B3E3B"/>
    <w:rsid w:val="000B5D10"/>
    <w:rsid w:val="000C472E"/>
    <w:rsid w:val="000D0EAA"/>
    <w:rsid w:val="000D1005"/>
    <w:rsid w:val="000D7AC3"/>
    <w:rsid w:val="000E0C0F"/>
    <w:rsid w:val="000F085A"/>
    <w:rsid w:val="00112E7D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A3682"/>
    <w:rsid w:val="002D309E"/>
    <w:rsid w:val="002D3E62"/>
    <w:rsid w:val="002F18F8"/>
    <w:rsid w:val="002F2160"/>
    <w:rsid w:val="00315BF1"/>
    <w:rsid w:val="00322C52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3B49"/>
    <w:rsid w:val="004A22ED"/>
    <w:rsid w:val="004D40CB"/>
    <w:rsid w:val="004D50CC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28B4"/>
    <w:rsid w:val="005D00B8"/>
    <w:rsid w:val="005E3F7C"/>
    <w:rsid w:val="005E5E9E"/>
    <w:rsid w:val="005F259C"/>
    <w:rsid w:val="005F40F5"/>
    <w:rsid w:val="005F6183"/>
    <w:rsid w:val="006202DB"/>
    <w:rsid w:val="00622350"/>
    <w:rsid w:val="006468A6"/>
    <w:rsid w:val="00656E5E"/>
    <w:rsid w:val="006620EE"/>
    <w:rsid w:val="006827BB"/>
    <w:rsid w:val="006B376A"/>
    <w:rsid w:val="007607E9"/>
    <w:rsid w:val="00791206"/>
    <w:rsid w:val="007B34D7"/>
    <w:rsid w:val="007C04DC"/>
    <w:rsid w:val="007D4903"/>
    <w:rsid w:val="007D4DC5"/>
    <w:rsid w:val="007F645B"/>
    <w:rsid w:val="008324AE"/>
    <w:rsid w:val="008360DF"/>
    <w:rsid w:val="00843DC8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8F5CCA"/>
    <w:rsid w:val="00905FCD"/>
    <w:rsid w:val="009323A7"/>
    <w:rsid w:val="009533AF"/>
    <w:rsid w:val="00956FA5"/>
    <w:rsid w:val="0096101D"/>
    <w:rsid w:val="009636D0"/>
    <w:rsid w:val="00965BE9"/>
    <w:rsid w:val="00977AA8"/>
    <w:rsid w:val="009826B4"/>
    <w:rsid w:val="0099199D"/>
    <w:rsid w:val="009A17F2"/>
    <w:rsid w:val="009A693D"/>
    <w:rsid w:val="009B72D9"/>
    <w:rsid w:val="009E48E1"/>
    <w:rsid w:val="009F1228"/>
    <w:rsid w:val="009F53E0"/>
    <w:rsid w:val="00A005E5"/>
    <w:rsid w:val="00A1264B"/>
    <w:rsid w:val="00A336D5"/>
    <w:rsid w:val="00A41B7F"/>
    <w:rsid w:val="00A5210C"/>
    <w:rsid w:val="00A6177C"/>
    <w:rsid w:val="00A63746"/>
    <w:rsid w:val="00A642A3"/>
    <w:rsid w:val="00A92675"/>
    <w:rsid w:val="00A94058"/>
    <w:rsid w:val="00AA5F4C"/>
    <w:rsid w:val="00B23992"/>
    <w:rsid w:val="00B24227"/>
    <w:rsid w:val="00B3289C"/>
    <w:rsid w:val="00B41D5C"/>
    <w:rsid w:val="00B46395"/>
    <w:rsid w:val="00B47CD4"/>
    <w:rsid w:val="00BA3417"/>
    <w:rsid w:val="00BA3B3C"/>
    <w:rsid w:val="00BB3197"/>
    <w:rsid w:val="00BB7AC8"/>
    <w:rsid w:val="00C12D8D"/>
    <w:rsid w:val="00C26B33"/>
    <w:rsid w:val="00C41496"/>
    <w:rsid w:val="00C45345"/>
    <w:rsid w:val="00C453F1"/>
    <w:rsid w:val="00C55C6C"/>
    <w:rsid w:val="00C66749"/>
    <w:rsid w:val="00C704D2"/>
    <w:rsid w:val="00CC29AE"/>
    <w:rsid w:val="00CC4933"/>
    <w:rsid w:val="00CD55E1"/>
    <w:rsid w:val="00CE72FE"/>
    <w:rsid w:val="00CF50DF"/>
    <w:rsid w:val="00D3209B"/>
    <w:rsid w:val="00D346A1"/>
    <w:rsid w:val="00D60A18"/>
    <w:rsid w:val="00D72526"/>
    <w:rsid w:val="00D83835"/>
    <w:rsid w:val="00D83DB5"/>
    <w:rsid w:val="00DA3CBF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46A0D"/>
    <w:rsid w:val="00F66AEE"/>
    <w:rsid w:val="00F75052"/>
    <w:rsid w:val="00FA5F32"/>
    <w:rsid w:val="00FB2299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link w:val="10"/>
    <w:uiPriority w:val="9"/>
    <w:qFormat/>
    <w:rsid w:val="005F40F5"/>
    <w:pPr>
      <w:spacing w:after="100" w:afterAutospacing="1"/>
      <w:ind w:leftChars="0" w:left="0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F40F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a0"/>
    <w:rsid w:val="005F40F5"/>
  </w:style>
  <w:style w:type="character" w:customStyle="1" w:styleId="a-size-large">
    <w:name w:val="a-size-large"/>
    <w:basedOn w:val="a0"/>
    <w:rsid w:val="005F40F5"/>
  </w:style>
  <w:style w:type="character" w:styleId="ab">
    <w:name w:val="Hyperlink"/>
    <w:basedOn w:val="a0"/>
    <w:uiPriority w:val="99"/>
    <w:unhideWhenUsed/>
    <w:rsid w:val="005F4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Peter+A.+Singer/adv_author/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stc.gov.tw/folksonomy/list/7e00ab5c-80ad-4115-b76f-6668b8ec5a7c?l=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pts.washington.edu/bhdept/ethics-medicine/bioethics-topic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0423-9ED2-428B-9A37-A4F9FF18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2024-12-17T03:19:00Z</dcterms:created>
  <dcterms:modified xsi:type="dcterms:W3CDTF">2025-02-20T03:00:00Z</dcterms:modified>
</cp:coreProperties>
</file>