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70"/>
        <w:gridCol w:w="2111"/>
        <w:gridCol w:w="2988"/>
      </w:tblGrid>
      <w:tr w:rsidR="000F1858" w:rsidRPr="001C052A" w14:paraId="2CEA8368" w14:textId="77777777" w:rsidTr="000F1858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5ACF87" w14:textId="77777777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03AA14B9" w14:textId="29D82A10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  <w:lang w:eastAsia="zh-TW"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6F1A2746" w:rsidR="000F1858" w:rsidRPr="001C052A" w:rsidRDefault="000F1858" w:rsidP="000F1858">
            <w:pPr>
              <w:spacing w:before="0" w:beforeAutospacing="0" w:line="320" w:lineRule="exact"/>
              <w:ind w:firstLineChars="100" w:firstLine="28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>2205080 </w:t>
            </w:r>
          </w:p>
        </w:tc>
        <w:tc>
          <w:tcPr>
            <w:tcW w:w="978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0F1858" w:rsidRPr="001C052A" w:rsidRDefault="000F1858" w:rsidP="000F1858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0F1858" w:rsidRPr="001C052A" w:rsidRDefault="000F1858" w:rsidP="000F1858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1C46C9F" w:rsidR="000F1858" w:rsidRPr="00730AA7" w:rsidRDefault="000F1858" w:rsidP="000F1858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 xml:space="preserve">□是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否</w:t>
            </w:r>
          </w:p>
        </w:tc>
      </w:tr>
      <w:tr w:rsidR="00D92F2A" w14:paraId="68016A7F" w14:textId="77777777" w:rsidTr="00C513B9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44ACE9" w14:textId="77777777" w:rsidR="00D92F2A" w:rsidRDefault="00D92F2A" w:rsidP="00C513B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52AA45E1" w14:textId="77777777" w:rsidR="00D92F2A" w:rsidRPr="0074142F" w:rsidRDefault="00D92F2A" w:rsidP="00C513B9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479D68" w14:textId="77777777" w:rsidR="00D92F2A" w:rsidRDefault="00D92F2A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7B6E825C" w14:textId="77777777" w:rsidR="00D92F2A" w:rsidRDefault="00D92F2A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598BEC9F" w14:textId="77777777" w:rsidR="00D92F2A" w:rsidRPr="00051F86" w:rsidRDefault="00D92F2A" w:rsidP="00C513B9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0F1858" w:rsidRPr="001C052A" w14:paraId="69F99CC7" w14:textId="77777777" w:rsidTr="000F1858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8D81C77" w14:textId="64D26E3E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3759CEF3" w:rsidR="000F1858" w:rsidRPr="001C052A" w:rsidRDefault="000F1858" w:rsidP="000F1858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相對論</w:t>
            </w:r>
          </w:p>
        </w:tc>
      </w:tr>
      <w:tr w:rsidR="000F1858" w:rsidRPr="00B836C3" w14:paraId="30021486" w14:textId="77777777" w:rsidTr="000F1858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DC36D5" w14:textId="77777777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37F5F747" w14:textId="56308250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35A1D2E2" w:rsidR="000F1858" w:rsidRPr="001C052A" w:rsidRDefault="000F1858" w:rsidP="000F1858">
            <w:pPr>
              <w:spacing w:before="0" w:beforeAutospacing="0" w:line="320" w:lineRule="exact"/>
              <w:ind w:firstLineChars="100" w:firstLine="28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  <w:sz w:val="28"/>
                <w:szCs w:val="28"/>
              </w:rPr>
              <w:t>Relativity</w:t>
            </w:r>
          </w:p>
        </w:tc>
      </w:tr>
      <w:tr w:rsidR="000F1858" w:rsidRPr="001C052A" w14:paraId="585712CF" w14:textId="77777777" w:rsidTr="000F1858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04177F" w14:textId="77777777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3E7EFE7E" w14:textId="1E063436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115C5AB6" w:rsidR="000F1858" w:rsidRPr="001C052A" w:rsidRDefault="000F1858" w:rsidP="000F1858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新細明體" w:hAnsi="新細明體"/>
                <w:color w:val="000000"/>
              </w:rPr>
              <w:t>11</w:t>
            </w:r>
            <w:r w:rsidR="00DC65FA">
              <w:rPr>
                <w:rFonts w:ascii="新細明體" w:hAnsi="新細明體" w:hint="eastAsia"/>
                <w:color w:val="000000"/>
                <w:lang w:eastAsia="zh-TW"/>
              </w:rPr>
              <w:t>4</w:t>
            </w:r>
            <w:r>
              <w:rPr>
                <w:rFonts w:ascii="新細明體" w:hAnsi="新細明體"/>
                <w:color w:val="000000"/>
              </w:rPr>
              <w:t>學年度第2學期</w:t>
            </w:r>
          </w:p>
        </w:tc>
        <w:tc>
          <w:tcPr>
            <w:tcW w:w="98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46"/>
            </w:tblGrid>
            <w:tr w:rsidR="000F1858" w:rsidRPr="001C052A" w14:paraId="109C4F24" w14:textId="77777777" w:rsidTr="00027DEF">
              <w:trPr>
                <w:trHeight w:val="309"/>
              </w:trPr>
              <w:tc>
                <w:tcPr>
                  <w:tcW w:w="2058" w:type="dxa"/>
                </w:tcPr>
                <w:p w14:paraId="4C576EFC" w14:textId="77777777" w:rsidR="000F1858" w:rsidRPr="001C052A" w:rsidRDefault="000F1858" w:rsidP="000F1858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5149A06D" w14:textId="77777777" w:rsidR="000F1858" w:rsidRPr="001C052A" w:rsidRDefault="000F1858" w:rsidP="000F1858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0F1858" w:rsidRPr="001C052A" w:rsidRDefault="000F1858" w:rsidP="000F1858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A4D5225" w:rsidR="000F1858" w:rsidRPr="001C052A" w:rsidRDefault="000F1858" w:rsidP="000F185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0F1858" w:rsidRPr="001C052A" w14:paraId="028A81B4" w14:textId="77777777" w:rsidTr="000F1858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0DC39F" w14:textId="77777777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7E52D09A" w14:textId="7E1699F4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3FD8895" w:rsidR="000F1858" w:rsidRPr="001C052A" w:rsidRDefault="000F1858" w:rsidP="000F1858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98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2AAF441" w14:textId="77777777" w:rsidR="000F1858" w:rsidRPr="00C659A2" w:rsidRDefault="000F1858" w:rsidP="000F185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736907F9" w:rsidR="000F1858" w:rsidRPr="001B56F5" w:rsidRDefault="000F1858" w:rsidP="000F185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5E7F836" w14:textId="77777777" w:rsidR="000F1858" w:rsidRPr="0083117F" w:rsidRDefault="000F1858" w:rsidP="000F1858">
            <w:pPr>
              <w:pStyle w:val="Web"/>
              <w:spacing w:before="0" w:beforeAutospacing="0" w:after="0" w:afterAutospacing="0"/>
              <w:ind w:left="404"/>
              <w:jc w:val="both"/>
              <w:rPr>
                <w:rFonts w:asciiTheme="minorEastAsia" w:eastAsiaTheme="minorEastAsia" w:hAnsiTheme="minorEastAsia"/>
              </w:rPr>
            </w:pPr>
            <w:r w:rsidRPr="00C659A2">
              <w:t xml:space="preserve">□必修 </w:t>
            </w:r>
            <w:r w:rsidRPr="0083117F">
              <w:rPr>
                <w:rFonts w:asciiTheme="minorEastAsia" w:eastAsiaTheme="minorEastAsia" w:hAnsiTheme="minorEastAsia" w:hint="eastAsia"/>
              </w:rPr>
              <w:t>C</w:t>
            </w:r>
            <w:r w:rsidRPr="0083117F">
              <w:rPr>
                <w:rFonts w:asciiTheme="minorEastAsia" w:eastAsiaTheme="minorEastAsia" w:hAnsiTheme="minorEastAsia" w:cs="Calibri"/>
                <w:b/>
                <w:bCs/>
              </w:rPr>
              <w:t>ompulsory</w:t>
            </w:r>
          </w:p>
          <w:p w14:paraId="1569450B" w14:textId="1F2A06FC" w:rsidR="000F1858" w:rsidRPr="00730AA7" w:rsidRDefault="000F1858" w:rsidP="000F185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新細明體" w:hAnsi="新細明體"/>
              </w:rPr>
              <w:t xml:space="preserve">選修 </w:t>
            </w:r>
            <w:r w:rsidRPr="0083117F">
              <w:rPr>
                <w:rFonts w:hint="eastAsia"/>
                <w:lang w:eastAsia="zh-TW"/>
              </w:rPr>
              <w:t>E</w:t>
            </w:r>
            <w:r w:rsidRPr="0083117F">
              <w:rPr>
                <w:rFonts w:cs="Calibri"/>
                <w:b/>
                <w:bCs/>
              </w:rPr>
              <w:t>lective</w:t>
            </w:r>
          </w:p>
        </w:tc>
      </w:tr>
      <w:tr w:rsidR="000F1858" w:rsidRPr="001C052A" w14:paraId="3B83ECC7" w14:textId="77777777" w:rsidTr="000F1858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1D14C2" w14:textId="77777777" w:rsidR="000F1858" w:rsidRPr="009A29DC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56A3C191" w14:textId="2AB23EB4" w:rsidR="000F1858" w:rsidRPr="009A29DC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C3A4B7D" w:rsidR="000F1858" w:rsidRDefault="00F850B1" w:rsidP="000F1858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星期二</w:t>
            </w:r>
            <w:r>
              <w:rPr>
                <w:rFonts w:eastAsia="微軟正黑體" w:hint="eastAsia"/>
                <w:lang w:eastAsia="zh-TW"/>
              </w:rPr>
              <w:t>(E)</w:t>
            </w:r>
            <w:r>
              <w:rPr>
                <w:rFonts w:eastAsia="微軟正黑體" w:hint="eastAsia"/>
                <w:lang w:eastAsia="zh-TW"/>
              </w:rPr>
              <w:t>、星期四</w:t>
            </w:r>
            <w:r>
              <w:rPr>
                <w:rFonts w:eastAsia="微軟正黑體" w:hint="eastAsia"/>
                <w:lang w:eastAsia="zh-TW"/>
              </w:rPr>
              <w:t>(E)</w:t>
            </w:r>
          </w:p>
        </w:tc>
        <w:tc>
          <w:tcPr>
            <w:tcW w:w="98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4EECB12" w14:textId="77777777" w:rsidR="000F1858" w:rsidRDefault="000F1858" w:rsidP="000F185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67F141DC" w:rsidR="000F1858" w:rsidRPr="001C052A" w:rsidRDefault="000F1858" w:rsidP="000F185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49BECBB5" w:rsidR="000F1858" w:rsidRDefault="00F850B1" w:rsidP="000F185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物理館</w:t>
            </w:r>
            <w:r w:rsidR="00E856B8">
              <w:rPr>
                <w:rFonts w:eastAsia="微軟正黑體" w:hint="eastAsia"/>
                <w:lang w:eastAsia="zh-TW"/>
              </w:rPr>
              <w:t>106</w:t>
            </w:r>
          </w:p>
        </w:tc>
      </w:tr>
      <w:tr w:rsidR="000F1858" w:rsidRPr="001C052A" w14:paraId="326474A0" w14:textId="77777777" w:rsidTr="000F1858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1C4C45" w14:textId="77777777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0330CCB5" w14:textId="3FA6B47B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8796ECE" w:rsidR="000F1858" w:rsidRPr="001C052A" w:rsidRDefault="000F1858" w:rsidP="000F1858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杜明憲</w:t>
            </w:r>
          </w:p>
        </w:tc>
        <w:tc>
          <w:tcPr>
            <w:tcW w:w="98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45FD0EC" w14:textId="77777777" w:rsidR="000F1858" w:rsidRDefault="000F1858" w:rsidP="000F185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6ADEB2BE" w:rsidR="000F1858" w:rsidRPr="001C052A" w:rsidRDefault="000F1858" w:rsidP="000F185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38887E08" w:rsidR="000F1858" w:rsidRPr="001C052A" w:rsidRDefault="000F1858" w:rsidP="000F1858">
            <w:pPr>
              <w:spacing w:line="320" w:lineRule="exact"/>
              <w:rPr>
                <w:rFonts w:eastAsia="微軟正黑體"/>
              </w:rPr>
            </w:pPr>
            <w:hyperlink r:id="rId8" w:tooltip="phymhtu@ccu.edu.tw" w:history="1">
              <w:r>
                <w:rPr>
                  <w:rStyle w:val="ab"/>
                  <w:rFonts w:ascii="微軟正黑體" w:eastAsia="微軟正黑體" w:hAnsi="微軟正黑體" w:hint="eastAsia"/>
                  <w:shd w:val="clear" w:color="auto" w:fill="E6F0FF"/>
                </w:rPr>
                <w:t>phymhtu@ccu.edu.tw</w:t>
              </w:r>
            </w:hyperlink>
          </w:p>
        </w:tc>
      </w:tr>
      <w:tr w:rsidR="000F1858" w:rsidRPr="001C052A" w14:paraId="52671300" w14:textId="77777777" w:rsidTr="000F1858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669C1C" w14:textId="77777777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1E0219A7" w14:textId="707FDEAC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6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0F1858" w:rsidRPr="001C052A" w:rsidRDefault="000F1858" w:rsidP="000F1858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981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D4CC8B0" w14:textId="77777777" w:rsidR="000F1858" w:rsidRPr="001C052A" w:rsidRDefault="000F1858" w:rsidP="000F185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45BBE12D" w:rsidR="000F1858" w:rsidRPr="001C052A" w:rsidRDefault="000F1858" w:rsidP="000F1858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0F1858" w:rsidRPr="001C052A" w:rsidRDefault="000F1858" w:rsidP="000F1858">
            <w:pPr>
              <w:spacing w:line="320" w:lineRule="exact"/>
              <w:rPr>
                <w:rFonts w:eastAsia="微軟正黑體"/>
              </w:rPr>
            </w:pPr>
          </w:p>
        </w:tc>
      </w:tr>
      <w:tr w:rsidR="000F1858" w:rsidRPr="001C052A" w14:paraId="1855F7A7" w14:textId="77777777" w:rsidTr="000F1858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8E5A1A" w14:textId="77777777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14238DC3" w14:textId="77777777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57A23DE5" w14:textId="33021E20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0F1858" w:rsidRPr="001C052A" w:rsidRDefault="000F1858" w:rsidP="000F1858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0F1858" w:rsidRPr="001C052A" w:rsidRDefault="000F1858" w:rsidP="000F1858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0F1858" w:rsidRPr="001C052A" w14:paraId="2E121AC8" w14:textId="77777777" w:rsidTr="000F1858">
        <w:trPr>
          <w:trHeight w:val="1306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34A7283" w14:textId="77777777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1630EF3C" w14:textId="0A17F0F9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A24DED7" w14:textId="77777777" w:rsidR="000F1858" w:rsidRPr="00161B2C" w:rsidRDefault="000F1858" w:rsidP="000F1858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161B2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1.狹義相對論。</w:t>
            </w:r>
          </w:p>
          <w:p w14:paraId="414924B5" w14:textId="540F7C91" w:rsidR="000F1858" w:rsidRPr="00161B2C" w:rsidRDefault="000F1858" w:rsidP="000F1858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 w:rsidRPr="00161B2C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2.廣義相對論。</w:t>
            </w:r>
          </w:p>
        </w:tc>
      </w:tr>
      <w:tr w:rsidR="000F1858" w:rsidRPr="001C052A" w14:paraId="4E1DA0BC" w14:textId="77777777" w:rsidTr="000F1858">
        <w:trPr>
          <w:trHeight w:val="1503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842ACA" w14:textId="77777777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學習目標</w:t>
            </w:r>
          </w:p>
          <w:p w14:paraId="07BB8781" w14:textId="106A7947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5BAE2202" w:rsidR="000F1858" w:rsidRPr="002718CF" w:rsidRDefault="000F1858" w:rsidP="000F1858">
            <w:pPr>
              <w:spacing w:before="0" w:beforeAutospacing="0"/>
              <w:ind w:leftChars="0" w:left="0"/>
              <w:rPr>
                <w:rFonts w:eastAsia="微軟正黑體"/>
              </w:rPr>
            </w:pPr>
            <w:r>
              <w:rPr>
                <w:rFonts w:ascii="新細明體" w:hAnsi="新細明體"/>
                <w:color w:val="000000"/>
              </w:rPr>
              <w:t>物理系的畢業生都應</w:t>
            </w:r>
            <w:r w:rsidR="002725B8">
              <w:rPr>
                <w:rFonts w:ascii="新細明體" w:hAnsi="新細明體" w:hint="eastAsia"/>
                <w:color w:val="000000"/>
              </w:rPr>
              <w:t>了解</w:t>
            </w:r>
            <w:r>
              <w:rPr>
                <w:rFonts w:ascii="新細明體" w:hAnsi="新細明體"/>
                <w:color w:val="000000"/>
              </w:rPr>
              <w:t>愛因斯坦的廣義相對論，那是被公認為人類迄今所建立的最精確、最美麗、最富創造力的引力理論，也是留給21世紀繼續探索並把它應用於現實世界的重要工具。本課程希望能帶領學生習得此基礎的知識，以為將來更進一步研究之用。</w:t>
            </w:r>
          </w:p>
        </w:tc>
      </w:tr>
      <w:tr w:rsidR="000F1858" w:rsidRPr="001C052A" w14:paraId="07DFDDA4" w14:textId="77777777" w:rsidTr="000F1858">
        <w:trPr>
          <w:trHeight w:val="1192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BB4FDD" w14:textId="77777777" w:rsidR="000F1858" w:rsidRPr="001C052A" w:rsidRDefault="000F1858" w:rsidP="00C04E0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72C3DA12" w14:textId="2FF3BE88" w:rsidR="000F1858" w:rsidRPr="001C052A" w:rsidRDefault="000F1858" w:rsidP="00C04E0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 xml:space="preserve">nd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603A2D" w14:textId="70B303AC" w:rsidR="000F1858" w:rsidRPr="00161B2C" w:rsidRDefault="000F1858" w:rsidP="000F1858">
            <w:pPr>
              <w:pStyle w:val="Web"/>
              <w:spacing w:before="120" w:beforeAutospacing="0" w:after="0" w:afterAutospacing="0"/>
              <w:textAlignment w:val="baseline"/>
              <w:rPr>
                <w:color w:val="000000"/>
              </w:rPr>
            </w:pPr>
            <w:r w:rsidRPr="00161B2C">
              <w:rPr>
                <w:rFonts w:ascii="Times New Roman" w:hAnsi="Times New Roman" w:cs="Times New Roman"/>
                <w:color w:val="000000"/>
              </w:rPr>
              <w:t>1.</w:t>
            </w:r>
            <w:r w:rsidR="00010E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61B2C">
              <w:rPr>
                <w:rFonts w:ascii="Times New Roman" w:hAnsi="Times New Roman" w:cs="Times New Roman"/>
                <w:color w:val="000000"/>
              </w:rPr>
              <w:t xml:space="preserve">Ray </w:t>
            </w:r>
            <w:proofErr w:type="spellStart"/>
            <w:r w:rsidRPr="00161B2C">
              <w:rPr>
                <w:rFonts w:ascii="Times New Roman" w:hAnsi="Times New Roman" w:cs="Times New Roman"/>
                <w:color w:val="000000"/>
              </w:rPr>
              <w:t>D’Inverno</w:t>
            </w:r>
            <w:proofErr w:type="spellEnd"/>
            <w:r w:rsidRPr="00161B2C">
              <w:rPr>
                <w:rFonts w:ascii="Times New Roman" w:hAnsi="Times New Roman" w:cs="Times New Roman"/>
                <w:color w:val="000000"/>
              </w:rPr>
              <w:t>, Introducing Einstein’s Relativity</w:t>
            </w:r>
            <w:r w:rsidR="00080695">
              <w:rPr>
                <w:rFonts w:ascii="Times New Roman" w:hAnsi="Times New Roman" w:cs="Times New Roman"/>
                <w:color w:val="000000"/>
              </w:rPr>
              <w:t xml:space="preserve"> (Oxford Univ. press)</w:t>
            </w:r>
          </w:p>
          <w:p w14:paraId="09A36C61" w14:textId="741DF6B7" w:rsidR="000F1858" w:rsidRDefault="000F1858" w:rsidP="000F1858">
            <w:pPr>
              <w:pStyle w:val="Web"/>
              <w:spacing w:before="120" w:beforeAutospacing="0" w:after="0" w:afterAutospacing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161B2C">
              <w:rPr>
                <w:rFonts w:ascii="Times New Roman" w:hAnsi="Times New Roman" w:cs="Times New Roman"/>
                <w:color w:val="000000"/>
              </w:rPr>
              <w:t>2.</w:t>
            </w:r>
            <w:r w:rsidR="00010E4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61B2C">
              <w:rPr>
                <w:rFonts w:ascii="Times New Roman" w:hAnsi="Times New Roman" w:cs="Times New Roman"/>
                <w:color w:val="000000"/>
              </w:rPr>
              <w:t>T. Zee, Einstein gravity in a nutshell</w:t>
            </w:r>
            <w:r w:rsidR="00080695">
              <w:rPr>
                <w:rFonts w:ascii="Times New Roman" w:hAnsi="Times New Roman" w:cs="Times New Roman"/>
                <w:color w:val="000000"/>
              </w:rPr>
              <w:t xml:space="preserve"> (Princeton Univ. Press)</w:t>
            </w:r>
          </w:p>
          <w:p w14:paraId="60AA7F3B" w14:textId="0B6B5271" w:rsidR="00173BB9" w:rsidRPr="00161B2C" w:rsidRDefault="00173BB9" w:rsidP="000F1858">
            <w:pPr>
              <w:pStyle w:val="Web"/>
              <w:spacing w:before="12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="00010E40"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D.Tong</w:t>
            </w:r>
            <w:proofErr w:type="spellEnd"/>
            <w:proofErr w:type="gramEnd"/>
            <w:r>
              <w:rPr>
                <w:color w:val="000000"/>
              </w:rPr>
              <w:t xml:space="preserve"> Lecture note</w:t>
            </w:r>
            <w:r w:rsidR="00080695">
              <w:rPr>
                <w:color w:val="000000"/>
              </w:rPr>
              <w:t xml:space="preserve"> (Cambridge)</w:t>
            </w:r>
          </w:p>
        </w:tc>
      </w:tr>
    </w:tbl>
    <w:p w14:paraId="0EB60B2B" w14:textId="77777777" w:rsidR="001B56F5" w:rsidRPr="001C052A" w:rsidRDefault="001B56F5" w:rsidP="002718CF">
      <w:pPr>
        <w:spacing w:line="320" w:lineRule="exact"/>
        <w:ind w:leftChars="0" w:left="0"/>
        <w:jc w:val="left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0F1858" w:rsidRPr="001C052A" w14:paraId="68A248FE" w14:textId="77777777" w:rsidTr="000F1858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3E50A8" w14:textId="2C1C875A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27A8FFEF" w:rsidR="000F1858" w:rsidRPr="001C052A" w:rsidRDefault="000F1858" w:rsidP="000F1858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23E296FE" w:rsidR="000F1858" w:rsidRDefault="000F1858" w:rsidP="000F185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自製簡報(ppt)</w:t>
            </w:r>
            <w:r>
              <w:rPr>
                <w:rFonts w:ascii="新細明體" w:hAnsi="新細明體" w:hint="eastAsia"/>
                <w:lang w:eastAsia="zh-TW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課程講義</w:t>
            </w:r>
            <w:r>
              <w:rPr>
                <w:rFonts w:ascii="新細明體" w:hAnsi="新細明體" w:hint="eastAsia"/>
                <w:lang w:eastAsia="zh-TW"/>
              </w:rPr>
              <w:t xml:space="preserve">        </w:t>
            </w:r>
            <w:r w:rsidRPr="00730AA7">
              <w:rPr>
                <w:rFonts w:ascii="新細明體" w:hAnsi="新細明體"/>
              </w:rPr>
              <w:t>□自編</w:t>
            </w:r>
            <w:r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4E2AAB86" w:rsidR="000F1858" w:rsidRPr="00730AA7" w:rsidRDefault="000F1858" w:rsidP="000F1858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其他</w:t>
            </w:r>
            <w:r>
              <w:rPr>
                <w:rFonts w:ascii="新細明體" w:hAnsi="新細明體" w:hint="eastAsia"/>
                <w:lang w:eastAsia="zh-TW"/>
              </w:rPr>
              <w:t>(</w:t>
            </w:r>
            <w:r>
              <w:rPr>
                <w:rFonts w:ascii="新細明體" w:hAnsi="新細明體"/>
                <w:color w:val="000000"/>
              </w:rPr>
              <w:t>教科書作者提供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>)</w:t>
            </w:r>
          </w:p>
        </w:tc>
      </w:tr>
      <w:tr w:rsidR="000F1858" w:rsidRPr="001C052A" w14:paraId="285EAB32" w14:textId="77777777" w:rsidTr="000F1858">
        <w:trPr>
          <w:trHeight w:val="1111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E8212B" w14:textId="77777777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教學方法</w:t>
            </w:r>
          </w:p>
          <w:p w14:paraId="3A714D9D" w14:textId="504D4B1F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9259305" w:rsidR="000F1858" w:rsidRPr="00730AA7" w:rsidRDefault="000F1858" w:rsidP="000F185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□</w: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77777777" w:rsidR="000F1858" w:rsidRPr="00730AA7" w:rsidRDefault="000F1858" w:rsidP="000F185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□個案研究      □其他</w:t>
            </w:r>
          </w:p>
        </w:tc>
      </w:tr>
      <w:tr w:rsidR="000F1858" w:rsidRPr="001C052A" w14:paraId="7A7DFB0B" w14:textId="77777777" w:rsidTr="000F1858">
        <w:trPr>
          <w:trHeight w:val="17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D0AE94" w14:textId="77777777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75C62A0C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52BE8769" w:rsidR="000F1858" w:rsidRPr="00730AA7" w:rsidRDefault="000F1858" w:rsidP="000F185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期中考</w:t>
            </w:r>
            <w:r w:rsidR="002E011F">
              <w:rPr>
                <w:rFonts w:ascii="新細明體" w:hAnsi="新細明體"/>
                <w:lang w:eastAsia="zh-TW"/>
              </w:rPr>
              <w:t>5</w:t>
            </w:r>
            <w:r>
              <w:rPr>
                <w:rFonts w:ascii="新細明體" w:hAnsi="新細明體" w:hint="eastAsia"/>
                <w:color w:val="000000"/>
                <w:lang w:eastAsia="zh-TW"/>
              </w:rPr>
              <w:t>0</w:t>
            </w:r>
            <w:r>
              <w:rPr>
                <w:rFonts w:ascii="新細明體" w:hAnsi="新細明體"/>
                <w:color w:val="000000"/>
              </w:rPr>
              <w:t>%</w:t>
            </w:r>
            <w:r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期末考</w:t>
            </w:r>
            <w:r w:rsidR="002E011F">
              <w:rPr>
                <w:rFonts w:ascii="新細明體" w:hAnsi="新細明體"/>
              </w:rPr>
              <w:t>5</w:t>
            </w:r>
            <w:r>
              <w:rPr>
                <w:rFonts w:ascii="新細明體" w:hAnsi="新細明體"/>
                <w:color w:val="000000"/>
              </w:rPr>
              <w:t>0%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 w:rsidR="00173BB9"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隨堂測驗</w:t>
            </w:r>
            <w:r>
              <w:rPr>
                <w:rFonts w:ascii="新細明體" w:hAnsi="新細明體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隨堂作業</w:t>
            </w:r>
          </w:p>
          <w:p w14:paraId="5A2DBC43" w14:textId="270AFF7D" w:rsidR="000F1858" w:rsidRDefault="002E011F" w:rsidP="000F185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="000F1858">
              <w:rPr>
                <w:rFonts w:ascii="新細明體" w:hAnsi="新細明體" w:hint="eastAsia"/>
              </w:rPr>
              <w:t>課後作業</w:t>
            </w:r>
            <w:r w:rsidR="000F1858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/>
              </w:rPr>
              <w:t xml:space="preserve"> </w:t>
            </w:r>
            <w:r w:rsidR="000F1858" w:rsidRPr="00730AA7">
              <w:rPr>
                <w:rFonts w:ascii="新細明體" w:hAnsi="新細明體"/>
              </w:rPr>
              <w:t>□期</w:t>
            </w:r>
            <w:r w:rsidR="000F1858">
              <w:rPr>
                <w:rFonts w:ascii="新細明體" w:hAnsi="新細明體" w:hint="eastAsia"/>
              </w:rPr>
              <w:t>中</w:t>
            </w:r>
            <w:r w:rsidR="000F1858" w:rsidRPr="00730AA7">
              <w:rPr>
                <w:rFonts w:ascii="新細明體" w:hAnsi="新細明體"/>
              </w:rPr>
              <w:t xml:space="preserve">報告 </w:t>
            </w:r>
            <w:r w:rsidR="000F1858">
              <w:rPr>
                <w:rFonts w:ascii="新細明體" w:hAnsi="新細明體" w:hint="eastAsia"/>
                <w:lang w:eastAsia="zh-TW"/>
              </w:rPr>
              <w:t xml:space="preserve">    </w:t>
            </w:r>
            <w:r w:rsidR="000F1858" w:rsidRPr="00730AA7">
              <w:rPr>
                <w:rFonts w:ascii="新細明體" w:hAnsi="新細明體"/>
              </w:rPr>
              <w:t>□期</w:t>
            </w:r>
            <w:r w:rsidR="000F1858">
              <w:rPr>
                <w:rFonts w:ascii="新細明體" w:hAnsi="新細明體" w:hint="eastAsia"/>
              </w:rPr>
              <w:t>末報告</w:t>
            </w:r>
            <w:r w:rsidR="000F1858" w:rsidRPr="00730AA7">
              <w:rPr>
                <w:rFonts w:ascii="新細明體" w:hAnsi="新細明體"/>
              </w:rPr>
              <w:t xml:space="preserve"> </w:t>
            </w:r>
            <w:r w:rsidR="000F1858">
              <w:rPr>
                <w:rFonts w:ascii="新細明體" w:hAnsi="新細明體"/>
              </w:rPr>
              <w:t xml:space="preserve">  </w:t>
            </w:r>
            <w:r w:rsidR="000F1858" w:rsidRPr="00730AA7">
              <w:rPr>
                <w:rFonts w:ascii="新細明體" w:hAnsi="新細明體"/>
              </w:rPr>
              <w:t xml:space="preserve"> □</w:t>
            </w:r>
            <w:r w:rsidR="000F1858">
              <w:rPr>
                <w:rFonts w:ascii="新細明體" w:hAnsi="新細明體" w:hint="eastAsia"/>
              </w:rPr>
              <w:t>專題報告</w:t>
            </w:r>
          </w:p>
          <w:p w14:paraId="24AC2115" w14:textId="1C10786D" w:rsidR="000F1858" w:rsidRPr="006F176E" w:rsidRDefault="000F1858" w:rsidP="000F185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   </w:t>
            </w:r>
            <w:r w:rsidRPr="00730AA7">
              <w:rPr>
                <w:rFonts w:ascii="新細明體" w:hAnsi="新細明體"/>
              </w:rPr>
              <w:t>□其他</w:t>
            </w:r>
          </w:p>
        </w:tc>
      </w:tr>
      <w:tr w:rsidR="000F1858" w:rsidRPr="001C052A" w14:paraId="4D1A228C" w14:textId="77777777" w:rsidTr="000F1858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D16530" w14:textId="77777777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3123A294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2771D6F3" w:rsidR="000F1858" w:rsidRPr="00730AA7" w:rsidRDefault="000F1858" w:rsidP="000F1858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課程網站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DA0099">
              <w:rPr>
                <w:rFonts w:ascii="新細明體" w:hAnsi="新細明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 w:rsidRPr="00DA0099">
              <w:rPr>
                <w:rFonts w:ascii="新細明體" w:hAnsi="新細明體"/>
              </w:rPr>
              <w:t>實習網站</w:t>
            </w:r>
          </w:p>
        </w:tc>
      </w:tr>
      <w:tr w:rsidR="000F1858" w:rsidRPr="00251E57" w14:paraId="340E655D" w14:textId="77777777" w:rsidTr="00027DEF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B8DE219" w14:textId="77777777" w:rsidR="000F1858" w:rsidRPr="001C052A" w:rsidRDefault="000F1858" w:rsidP="00027DE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0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1D27AFA0" w14:textId="77777777" w:rsidR="000F1858" w:rsidRPr="001C052A" w:rsidRDefault="000F1858" w:rsidP="00027DEF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proofErr w:type="gramStart"/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</w:t>
            </w:r>
            <w:proofErr w:type="gramEnd"/>
            <w:r w:rsidRPr="001C052A">
              <w:rPr>
                <w:rFonts w:eastAsia="微軟正黑體"/>
                <w:b/>
              </w:rPr>
              <w:t xml:space="preserve">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895F19" w14:textId="77777777" w:rsidR="000F1858" w:rsidRPr="00730AA7" w:rsidRDefault="000F1858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9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0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2F1210FC" w14:textId="77777777" w:rsidR="000F1858" w:rsidRPr="00730AA7" w:rsidRDefault="000F1858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1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2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63225149" w14:textId="77777777" w:rsidR="000F1858" w:rsidRPr="00730AA7" w:rsidRDefault="000F1858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3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4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36955123" w14:textId="77777777" w:rsidR="000F1858" w:rsidRPr="00730AA7" w:rsidRDefault="000F1858" w:rsidP="00027DEF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6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1956699C" w14:textId="77777777" w:rsidR="000F1858" w:rsidRPr="00730AA7" w:rsidRDefault="000F1858" w:rsidP="00027DEF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7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8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231E3A80" w14:textId="77777777" w:rsidR="000F1858" w:rsidRPr="00730AA7" w:rsidRDefault="000F1858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9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0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59B6F626" w14:textId="77777777" w:rsidR="000F1858" w:rsidRPr="00730AA7" w:rsidRDefault="000F1858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1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2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5B0DEBBE" w14:textId="77777777" w:rsidR="000F1858" w:rsidRPr="00730AA7" w:rsidRDefault="000F1858" w:rsidP="00027DEF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3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4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4019ACFE" w14:textId="77777777" w:rsidR="000F1858" w:rsidRPr="001C052A" w:rsidRDefault="000F1858" w:rsidP="00027DEF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5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0"/>
      <w:tr w:rsidR="000F1858" w:rsidRPr="001C052A" w14:paraId="324CD86F" w14:textId="77777777" w:rsidTr="000F1858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F3C1D4" w14:textId="77777777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7D5FA632" w14:textId="77777777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5977D79B" w:rsidR="000F1858" w:rsidRPr="001C052A" w:rsidRDefault="000F1858" w:rsidP="000F185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4AB4167" w:rsidR="000F1858" w:rsidRPr="007311F5" w:rsidRDefault="000F1858" w:rsidP="000F1858">
            <w:pPr>
              <w:pStyle w:val="Web"/>
              <w:spacing w:before="0" w:beforeAutospacing="0" w:after="0" w:afterAutospacing="0"/>
              <w:jc w:val="both"/>
            </w:pP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520D35C" w14:textId="77777777" w:rsidR="003B646F" w:rsidRPr="001C052A" w:rsidRDefault="003B646F" w:rsidP="003B646F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7759270B" w:rsidR="002023EC" w:rsidRPr="001C052A" w:rsidRDefault="003B646F" w:rsidP="003B646F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2023EC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4E7EA65B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</w:t>
            </w:r>
            <w:r w:rsidR="00A67FA4" w:rsidRPr="00A67FA4">
              <w:rPr>
                <w:rFonts w:ascii="新細明體" w:hAnsi="新細明體"/>
                <w:color w:val="000000"/>
              </w:rPr>
              <w:t>狹義相對論。</w:t>
            </w:r>
          </w:p>
        </w:tc>
      </w:tr>
      <w:tr w:rsidR="002023EC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61C6C219" w:rsidR="002023EC" w:rsidRPr="00A17751" w:rsidRDefault="002023EC" w:rsidP="00A17751">
            <w:pPr>
              <w:pStyle w:val="Web"/>
              <w:spacing w:before="0" w:beforeAutospacing="0" w:after="0" w:afterAutospacing="0"/>
            </w:pPr>
            <w:r>
              <w:rPr>
                <w:rFonts w:eastAsia="微軟正黑體"/>
              </w:rPr>
              <w:t>Week 2</w:t>
            </w:r>
            <w:r w:rsidR="00A67FA4" w:rsidRPr="00A67FA4">
              <w:rPr>
                <w:color w:val="000000"/>
              </w:rPr>
              <w:t>狹義相對論。</w:t>
            </w:r>
          </w:p>
        </w:tc>
      </w:tr>
      <w:tr w:rsidR="002023EC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2BD28293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3</w:t>
            </w:r>
            <w:r w:rsidR="00A67FA4" w:rsidRPr="00A67FA4">
              <w:rPr>
                <w:rFonts w:ascii="新細明體" w:hAnsi="新細明體"/>
                <w:color w:val="000000"/>
              </w:rPr>
              <w:t>狹義相對論。</w:t>
            </w:r>
          </w:p>
        </w:tc>
      </w:tr>
      <w:tr w:rsidR="002023EC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7133D02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4</w:t>
            </w:r>
            <w:r w:rsidR="00A67FA4" w:rsidRPr="00A67FA4">
              <w:rPr>
                <w:rFonts w:ascii="新細明體" w:hAnsi="新細明體"/>
                <w:color w:val="000000"/>
              </w:rPr>
              <w:t>狹義相對論。</w:t>
            </w:r>
          </w:p>
        </w:tc>
      </w:tr>
      <w:tr w:rsidR="002023EC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576D3FEC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5</w:t>
            </w:r>
            <w:r w:rsidR="00A67FA4" w:rsidRPr="00A67FA4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廣義相對論。</w:t>
            </w:r>
          </w:p>
        </w:tc>
      </w:tr>
      <w:tr w:rsidR="002023EC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79B4CFE9" w:rsidR="002023EC" w:rsidRPr="00A67FA4" w:rsidRDefault="002023EC" w:rsidP="00A67FA4">
            <w:pPr>
              <w:pStyle w:val="Web"/>
              <w:spacing w:before="0" w:beforeAutospacing="0" w:after="0" w:afterAutospacing="0"/>
              <w:rPr>
                <w:rFonts w:eastAsia="微軟正黑體"/>
              </w:rPr>
            </w:pPr>
            <w:r>
              <w:rPr>
                <w:rFonts w:eastAsia="微軟正黑體"/>
              </w:rPr>
              <w:t>Week 6</w:t>
            </w:r>
            <w:r w:rsidR="00A67FA4" w:rsidRPr="00A67FA4">
              <w:rPr>
                <w:color w:val="000000"/>
              </w:rPr>
              <w:t>廣義相對論。</w:t>
            </w:r>
          </w:p>
        </w:tc>
      </w:tr>
      <w:tr w:rsidR="002023EC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1CC830E" w:rsidR="002023EC" w:rsidRPr="001C052A" w:rsidRDefault="002023EC" w:rsidP="00C704D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7</w:t>
            </w:r>
            <w:r w:rsidR="00A67FA4" w:rsidRPr="00A67FA4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廣義相對論。</w:t>
            </w:r>
          </w:p>
        </w:tc>
      </w:tr>
      <w:tr w:rsidR="002023EC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3CB7051E" w:rsidR="002023EC" w:rsidRPr="00072354" w:rsidRDefault="002023EC" w:rsidP="00072354">
            <w:pPr>
              <w:spacing w:line="320" w:lineRule="exact"/>
              <w:ind w:leftChars="0" w:left="0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>
              <w:rPr>
                <w:rFonts w:eastAsia="微軟正黑體"/>
              </w:rPr>
              <w:t>Week 8</w:t>
            </w:r>
            <w:r w:rsidR="00A67FA4" w:rsidRPr="00A67FA4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廣義相對論。</w:t>
            </w:r>
          </w:p>
        </w:tc>
      </w:tr>
      <w:tr w:rsidR="002023EC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6BF8371B" w:rsidR="002023EC" w:rsidRPr="001C052A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9</w:t>
            </w:r>
            <w:r w:rsidR="00511B64">
              <w:rPr>
                <w:rFonts w:eastAsia="微軟正黑體"/>
              </w:rPr>
              <w:t xml:space="preserve"> Midterm</w:t>
            </w:r>
          </w:p>
        </w:tc>
      </w:tr>
      <w:tr w:rsidR="002023EC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E78F56F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10</w:t>
            </w:r>
            <w:r w:rsidR="00A67FA4" w:rsidRPr="00A67FA4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廣義相對論。</w:t>
            </w:r>
          </w:p>
        </w:tc>
      </w:tr>
      <w:tr w:rsidR="002023EC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C270886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11</w:t>
            </w:r>
            <w:r w:rsidR="00A67FA4" w:rsidRPr="00A67FA4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廣義相對論。</w:t>
            </w:r>
          </w:p>
        </w:tc>
      </w:tr>
      <w:tr w:rsidR="002023EC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7F4003BB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lastRenderedPageBreak/>
              <w:t>Week 12</w:t>
            </w:r>
            <w:r w:rsidR="00A67FA4" w:rsidRPr="00A67FA4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廣義相對論。</w:t>
            </w:r>
          </w:p>
        </w:tc>
      </w:tr>
      <w:tr w:rsidR="002023EC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758BC98B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 w:hint="eastAsia"/>
                <w:lang w:eastAsia="zh-TW"/>
              </w:rPr>
            </w:pPr>
            <w:r>
              <w:rPr>
                <w:rFonts w:eastAsia="微軟正黑體"/>
              </w:rPr>
              <w:t>Week 13</w:t>
            </w:r>
            <w:r w:rsidR="00511B64">
              <w:rPr>
                <w:rFonts w:eastAsia="微軟正黑體"/>
              </w:rPr>
              <w:t xml:space="preserve"> </w:t>
            </w:r>
            <w:r w:rsidR="00511B64">
              <w:rPr>
                <w:rFonts w:eastAsia="微軟正黑體" w:hint="eastAsia"/>
                <w:lang w:eastAsia="zh-TW"/>
              </w:rPr>
              <w:t>黑洞解</w:t>
            </w:r>
          </w:p>
        </w:tc>
      </w:tr>
      <w:tr w:rsidR="002023EC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4BD4E8F0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14</w:t>
            </w:r>
            <w:r w:rsidR="00511B64">
              <w:rPr>
                <w:rFonts w:eastAsia="微軟正黑體" w:hint="eastAsia"/>
                <w:lang w:eastAsia="zh-TW"/>
              </w:rPr>
              <w:t>黑洞解</w:t>
            </w:r>
            <w:r w:rsidR="00A67FA4" w:rsidRPr="00A67FA4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。</w:t>
            </w:r>
          </w:p>
        </w:tc>
      </w:tr>
      <w:tr w:rsidR="002023EC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3B29FBFC" w:rsidR="002023EC" w:rsidRPr="00511B64" w:rsidRDefault="002023EC" w:rsidP="00411A41">
            <w:pPr>
              <w:spacing w:line="320" w:lineRule="exact"/>
              <w:ind w:leftChars="0" w:left="0"/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</w:pPr>
            <w:r>
              <w:rPr>
                <w:rFonts w:eastAsia="微軟正黑體"/>
              </w:rPr>
              <w:t>Week 15</w:t>
            </w:r>
            <w:r w:rsidR="00511B64">
              <w:rPr>
                <w:rFonts w:eastAsia="微軟正黑體" w:hint="eastAsia"/>
                <w:lang w:eastAsia="zh-TW"/>
              </w:rPr>
              <w:t>黑洞解</w:t>
            </w:r>
            <w:r w:rsidR="00A67FA4" w:rsidRPr="00A67FA4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。</w:t>
            </w:r>
          </w:p>
        </w:tc>
      </w:tr>
      <w:tr w:rsidR="002023EC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93BA083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</w:t>
            </w:r>
            <w:r>
              <w:rPr>
                <w:rFonts w:eastAsia="微軟正黑體" w:hint="eastAsia"/>
                <w:lang w:eastAsia="zh-TW"/>
              </w:rPr>
              <w:t>16</w:t>
            </w:r>
            <w:r w:rsidR="00511B64">
              <w:rPr>
                <w:rFonts w:eastAsia="微軟正黑體" w:hint="eastAsia"/>
                <w:lang w:eastAsia="zh-TW"/>
              </w:rPr>
              <w:t>重力波</w:t>
            </w:r>
            <w:r w:rsidR="00A67FA4" w:rsidRPr="00A67FA4">
              <w:rPr>
                <w:rFonts w:ascii="新細明體" w:eastAsia="新細明體" w:hAnsi="新細明體" w:cs="新細明體"/>
                <w:color w:val="000000"/>
                <w:szCs w:val="24"/>
                <w:lang w:eastAsia="zh-TW"/>
              </w:rPr>
              <w:t>。</w:t>
            </w:r>
          </w:p>
        </w:tc>
      </w:tr>
      <w:tr w:rsidR="002023EC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51F3668E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Week 17</w:t>
            </w:r>
            <w:r w:rsidR="00511B64">
              <w:rPr>
                <w:rFonts w:eastAsia="微軟正黑體" w:hint="eastAsia"/>
                <w:lang w:eastAsia="zh-TW"/>
              </w:rPr>
              <w:t>重力波</w:t>
            </w:r>
          </w:p>
        </w:tc>
      </w:tr>
      <w:tr w:rsidR="002023EC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54F04FA6" w:rsidR="002023EC" w:rsidRPr="001C052A" w:rsidRDefault="002023EC" w:rsidP="00411A41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 xml:space="preserve">Week 18 </w:t>
            </w:r>
            <w:r w:rsidR="00511B64">
              <w:rPr>
                <w:rFonts w:eastAsia="微軟正黑體"/>
              </w:rPr>
              <w:t>Final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E5A1300" w14:textId="77777777" w:rsidR="003B646F" w:rsidRPr="001C052A" w:rsidRDefault="003B646F" w:rsidP="003B646F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核心能力</w:t>
            </w:r>
          </w:p>
          <w:p w14:paraId="26E0422F" w14:textId="6097F031" w:rsidR="002023EC" w:rsidRPr="001C052A" w:rsidRDefault="003B646F" w:rsidP="003B646F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ore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647F3E">
              <w:rPr>
                <w:rFonts w:eastAsia="微軟正黑體"/>
                <w:b/>
                <w:lang w:eastAsia="zh-TW"/>
              </w:rPr>
              <w:t>ompetencies</w:t>
            </w:r>
          </w:p>
        </w:tc>
      </w:tr>
      <w:tr w:rsidR="002023EC" w:rsidRPr="001C052A" w14:paraId="6A0986BA" w14:textId="77777777" w:rsidTr="00A67FA4">
        <w:trPr>
          <w:trHeight w:val="779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1E7A3E" w14:paraId="276B7CED" w14:textId="77777777" w:rsidTr="00DB72BF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63DBDD6D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04CA9896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6B4C5AE0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6B473FE7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1E7A3E" w14:paraId="5C0D929C" w14:textId="77777777" w:rsidTr="00DB72BF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61A45B40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794D8734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2E48D7BE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3B89659F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210C572F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179786B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1E7A3E" w14:paraId="0068E366" w14:textId="77777777" w:rsidTr="001E7A3E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FBE60B0" w14:textId="77777777" w:rsidR="001E7A3E" w:rsidRDefault="001E7A3E" w:rsidP="001E7A3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158FF6A3" w14:textId="77777777" w:rsidR="001E7A3E" w:rsidRDefault="001E7A3E" w:rsidP="001E7A3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4EF5959E" w14:textId="77777777" w:rsidR="001E7A3E" w:rsidRDefault="001E7A3E" w:rsidP="001E7A3E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E79B666" w14:textId="77777777" w:rsidR="001E7A3E" w:rsidRDefault="001E7A3E" w:rsidP="001E7A3E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具備物理領域之專業知識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5E574563" w14:textId="1253DEBE" w:rsidR="001E7A3E" w:rsidRDefault="00173BB9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550DDB1A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0F9B631E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5736343D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57EE6CB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1E7A3E" w14:paraId="2C52271A" w14:textId="77777777" w:rsidTr="001E7A3E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52E877E0" w14:textId="77777777" w:rsidR="001E7A3E" w:rsidRDefault="001E7A3E" w:rsidP="001E7A3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3B4BB294" w14:textId="77777777" w:rsidR="001E7A3E" w:rsidRDefault="001E7A3E" w:rsidP="001E7A3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具備策劃及執行物理及相關領域</w:t>
                  </w:r>
                </w:p>
                <w:p w14:paraId="620EB6B3" w14:textId="77777777" w:rsidR="001E7A3E" w:rsidRDefault="001E7A3E" w:rsidP="001E7A3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專題研究之能力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983D02F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0D68F24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23E196A" w14:textId="07544680" w:rsidR="001E7A3E" w:rsidRDefault="00173BB9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61E055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CE8069A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1E7A3E" w14:paraId="56FA0C75" w14:textId="77777777" w:rsidTr="001E7A3E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66B2CC29" w14:textId="77777777" w:rsidR="001E7A3E" w:rsidRDefault="001E7A3E" w:rsidP="001E7A3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744F382D" w14:textId="77777777" w:rsidR="001E7A3E" w:rsidRDefault="001E7A3E" w:rsidP="001E7A3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具備撰寫物理專業論文之能力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E2B1D25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709E596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B9A0D4" w14:textId="472148C8" w:rsidR="001E7A3E" w:rsidRDefault="00173BB9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95BD03D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2508B3A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1E7A3E" w14:paraId="1C116B5A" w14:textId="77777777" w:rsidTr="001E7A3E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51BCBCEB" w14:textId="77777777" w:rsidR="001E7A3E" w:rsidRDefault="001E7A3E" w:rsidP="001E7A3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50A86A19" w14:textId="77777777" w:rsidR="001E7A3E" w:rsidRDefault="001E7A3E" w:rsidP="001E7A3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具備邏輯推理及獨立思考解決相</w:t>
                  </w:r>
                </w:p>
                <w:p w14:paraId="67FB1C0B" w14:textId="77777777" w:rsidR="001E7A3E" w:rsidRDefault="001E7A3E" w:rsidP="001E7A3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</w:t>
                  </w:r>
                  <w:r w:rsidRPr="00532E0C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關問題之能力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6FBF78" w14:textId="62F207E8" w:rsidR="001E7A3E" w:rsidRDefault="00173BB9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5112089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D19D53F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16DBE7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EFF1D3B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1E7A3E" w14:paraId="347733EA" w14:textId="77777777" w:rsidTr="001E7A3E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vAlign w:val="center"/>
                </w:tcPr>
                <w:p w14:paraId="63502C8B" w14:textId="77777777" w:rsidR="001E7A3E" w:rsidRDefault="001E7A3E" w:rsidP="001E7A3E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</w:tcPr>
                <w:p w14:paraId="15C9A9F7" w14:textId="77777777" w:rsidR="001E7A3E" w:rsidRDefault="001E7A3E" w:rsidP="001E7A3E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748A178F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70B6B6F1" w14:textId="7A2634A8" w:rsidR="001E7A3E" w:rsidRDefault="00173BB9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 w:rsidRPr="005A4631">
                    <w:rPr>
                      <w:rFonts w:ascii="微軟正黑體" w:eastAsia="微軟正黑體" w:hAnsi="微軟正黑體"/>
                      <w:b/>
                      <w:sz w:val="20"/>
                    </w:rPr>
                    <w:sym w:font="Symbol" w:char="F0D6"/>
                  </w: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C952E44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721CC423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49D5FF6" w14:textId="77777777" w:rsidR="001E7A3E" w:rsidRDefault="001E7A3E" w:rsidP="001E7A3E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2F5EBE92" w:rsidR="007311F5" w:rsidRPr="001E7A3E" w:rsidRDefault="007311F5" w:rsidP="007311F5">
            <w:pPr>
              <w:spacing w:before="0" w:beforeAutospacing="0"/>
              <w:ind w:leftChars="0" w:left="0"/>
              <w:jc w:val="left"/>
              <w:rPr>
                <w:rFonts w:eastAsia="微軟正黑體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1F21" w14:textId="77777777" w:rsidR="008F56EC" w:rsidRDefault="008F56EC" w:rsidP="00E9068E">
      <w:pPr>
        <w:spacing w:before="0"/>
      </w:pPr>
      <w:r>
        <w:separator/>
      </w:r>
    </w:p>
  </w:endnote>
  <w:endnote w:type="continuationSeparator" w:id="0">
    <w:p w14:paraId="6511F836" w14:textId="77777777" w:rsidR="008F56EC" w:rsidRDefault="008F56EC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59D48" w14:textId="77777777" w:rsidR="008F56EC" w:rsidRDefault="008F56EC" w:rsidP="00E9068E">
      <w:pPr>
        <w:spacing w:before="0"/>
      </w:pPr>
      <w:r>
        <w:separator/>
      </w:r>
    </w:p>
  </w:footnote>
  <w:footnote w:type="continuationSeparator" w:id="0">
    <w:p w14:paraId="6511FD95" w14:textId="77777777" w:rsidR="008F56EC" w:rsidRDefault="008F56EC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823739"/>
    <w:multiLevelType w:val="multilevel"/>
    <w:tmpl w:val="A4F25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D5D6542"/>
    <w:multiLevelType w:val="multilevel"/>
    <w:tmpl w:val="C3CC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6C6C99"/>
    <w:multiLevelType w:val="multilevel"/>
    <w:tmpl w:val="0F78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8276247">
    <w:abstractNumId w:val="5"/>
  </w:num>
  <w:num w:numId="2" w16cid:durableId="1416630596">
    <w:abstractNumId w:val="2"/>
  </w:num>
  <w:num w:numId="3" w16cid:durableId="144515043">
    <w:abstractNumId w:val="4"/>
  </w:num>
  <w:num w:numId="4" w16cid:durableId="1172450846">
    <w:abstractNumId w:val="3"/>
  </w:num>
  <w:num w:numId="5" w16cid:durableId="87240025">
    <w:abstractNumId w:val="0"/>
  </w:num>
  <w:num w:numId="6" w16cid:durableId="1646083050">
    <w:abstractNumId w:val="7"/>
  </w:num>
  <w:num w:numId="7" w16cid:durableId="927540485">
    <w:abstractNumId w:val="1"/>
  </w:num>
  <w:num w:numId="8" w16cid:durableId="1511213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0E40"/>
    <w:rsid w:val="00031690"/>
    <w:rsid w:val="000503A8"/>
    <w:rsid w:val="00072354"/>
    <w:rsid w:val="0007415C"/>
    <w:rsid w:val="00080695"/>
    <w:rsid w:val="0008209B"/>
    <w:rsid w:val="00083A7A"/>
    <w:rsid w:val="000A4CF7"/>
    <w:rsid w:val="000B5D10"/>
    <w:rsid w:val="000C472E"/>
    <w:rsid w:val="000D15D1"/>
    <w:rsid w:val="000D7AC3"/>
    <w:rsid w:val="000F085A"/>
    <w:rsid w:val="000F1858"/>
    <w:rsid w:val="001424D0"/>
    <w:rsid w:val="00156A09"/>
    <w:rsid w:val="00161B2C"/>
    <w:rsid w:val="00173BB9"/>
    <w:rsid w:val="00185033"/>
    <w:rsid w:val="001A3D56"/>
    <w:rsid w:val="001B416E"/>
    <w:rsid w:val="001B56F5"/>
    <w:rsid w:val="001D03F8"/>
    <w:rsid w:val="001D3110"/>
    <w:rsid w:val="001E2DE7"/>
    <w:rsid w:val="001E41B1"/>
    <w:rsid w:val="001E7A3E"/>
    <w:rsid w:val="002023EC"/>
    <w:rsid w:val="00210E36"/>
    <w:rsid w:val="00213958"/>
    <w:rsid w:val="00214F43"/>
    <w:rsid w:val="00231368"/>
    <w:rsid w:val="00231672"/>
    <w:rsid w:val="002353F2"/>
    <w:rsid w:val="0023567E"/>
    <w:rsid w:val="00242C9E"/>
    <w:rsid w:val="00262E65"/>
    <w:rsid w:val="00265C6C"/>
    <w:rsid w:val="00266059"/>
    <w:rsid w:val="002712DA"/>
    <w:rsid w:val="002718CF"/>
    <w:rsid w:val="002725B8"/>
    <w:rsid w:val="00275662"/>
    <w:rsid w:val="00286DDE"/>
    <w:rsid w:val="002D309E"/>
    <w:rsid w:val="002E011F"/>
    <w:rsid w:val="00315BF1"/>
    <w:rsid w:val="00342694"/>
    <w:rsid w:val="003866FE"/>
    <w:rsid w:val="00392623"/>
    <w:rsid w:val="003A2A12"/>
    <w:rsid w:val="003B04CD"/>
    <w:rsid w:val="003B2943"/>
    <w:rsid w:val="003B646F"/>
    <w:rsid w:val="003C19DC"/>
    <w:rsid w:val="003E0932"/>
    <w:rsid w:val="003E77B8"/>
    <w:rsid w:val="003E7C8A"/>
    <w:rsid w:val="003F0401"/>
    <w:rsid w:val="004255C4"/>
    <w:rsid w:val="004424E7"/>
    <w:rsid w:val="004A22ED"/>
    <w:rsid w:val="004B1268"/>
    <w:rsid w:val="004F4DFA"/>
    <w:rsid w:val="004F517A"/>
    <w:rsid w:val="00505EBF"/>
    <w:rsid w:val="00511B64"/>
    <w:rsid w:val="005363DA"/>
    <w:rsid w:val="005478D7"/>
    <w:rsid w:val="00550E2B"/>
    <w:rsid w:val="00554B7B"/>
    <w:rsid w:val="00560E79"/>
    <w:rsid w:val="00563CB8"/>
    <w:rsid w:val="005A47C9"/>
    <w:rsid w:val="005D00B8"/>
    <w:rsid w:val="005E5E9E"/>
    <w:rsid w:val="006202DB"/>
    <w:rsid w:val="00626ACD"/>
    <w:rsid w:val="0065745F"/>
    <w:rsid w:val="006620EE"/>
    <w:rsid w:val="006749F5"/>
    <w:rsid w:val="006827BB"/>
    <w:rsid w:val="006861F1"/>
    <w:rsid w:val="006B376A"/>
    <w:rsid w:val="006D11E4"/>
    <w:rsid w:val="006D2DBA"/>
    <w:rsid w:val="006F585B"/>
    <w:rsid w:val="00714CBE"/>
    <w:rsid w:val="007311F5"/>
    <w:rsid w:val="00753EE9"/>
    <w:rsid w:val="007607E9"/>
    <w:rsid w:val="007C04DC"/>
    <w:rsid w:val="007D4DC5"/>
    <w:rsid w:val="007F645B"/>
    <w:rsid w:val="00801E9F"/>
    <w:rsid w:val="00820424"/>
    <w:rsid w:val="008324AE"/>
    <w:rsid w:val="008675FE"/>
    <w:rsid w:val="008758A6"/>
    <w:rsid w:val="008A4FA4"/>
    <w:rsid w:val="008A5A3D"/>
    <w:rsid w:val="008D29F6"/>
    <w:rsid w:val="008D5B4B"/>
    <w:rsid w:val="008E29D9"/>
    <w:rsid w:val="008F28CD"/>
    <w:rsid w:val="008F2E1B"/>
    <w:rsid w:val="008F56EC"/>
    <w:rsid w:val="009323A7"/>
    <w:rsid w:val="00940A08"/>
    <w:rsid w:val="009533AF"/>
    <w:rsid w:val="009636D0"/>
    <w:rsid w:val="00965BE9"/>
    <w:rsid w:val="0099199D"/>
    <w:rsid w:val="009A17F2"/>
    <w:rsid w:val="009F1228"/>
    <w:rsid w:val="009F53E0"/>
    <w:rsid w:val="00A17751"/>
    <w:rsid w:val="00A336D5"/>
    <w:rsid w:val="00A41B7F"/>
    <w:rsid w:val="00A63746"/>
    <w:rsid w:val="00A642A3"/>
    <w:rsid w:val="00A67FA4"/>
    <w:rsid w:val="00A77276"/>
    <w:rsid w:val="00A92675"/>
    <w:rsid w:val="00A93E69"/>
    <w:rsid w:val="00A94058"/>
    <w:rsid w:val="00AB4DC7"/>
    <w:rsid w:val="00AF0EA7"/>
    <w:rsid w:val="00B15089"/>
    <w:rsid w:val="00B23992"/>
    <w:rsid w:val="00B3289C"/>
    <w:rsid w:val="00B34133"/>
    <w:rsid w:val="00B341BD"/>
    <w:rsid w:val="00B41D5C"/>
    <w:rsid w:val="00B46395"/>
    <w:rsid w:val="00BA3B3C"/>
    <w:rsid w:val="00BB3197"/>
    <w:rsid w:val="00BB7AC8"/>
    <w:rsid w:val="00C04E0E"/>
    <w:rsid w:val="00C12D8D"/>
    <w:rsid w:val="00C219A1"/>
    <w:rsid w:val="00C41496"/>
    <w:rsid w:val="00C453F1"/>
    <w:rsid w:val="00C66749"/>
    <w:rsid w:val="00C704D2"/>
    <w:rsid w:val="00CC2368"/>
    <w:rsid w:val="00CC4933"/>
    <w:rsid w:val="00CE72FE"/>
    <w:rsid w:val="00D11591"/>
    <w:rsid w:val="00D15EB5"/>
    <w:rsid w:val="00D346A1"/>
    <w:rsid w:val="00D60A18"/>
    <w:rsid w:val="00D72526"/>
    <w:rsid w:val="00D83835"/>
    <w:rsid w:val="00D83DB5"/>
    <w:rsid w:val="00D92F2A"/>
    <w:rsid w:val="00DC65FA"/>
    <w:rsid w:val="00DD4F0C"/>
    <w:rsid w:val="00DE18A3"/>
    <w:rsid w:val="00DF48AC"/>
    <w:rsid w:val="00E15F38"/>
    <w:rsid w:val="00E33446"/>
    <w:rsid w:val="00E70A19"/>
    <w:rsid w:val="00E856B8"/>
    <w:rsid w:val="00E9068E"/>
    <w:rsid w:val="00EC360C"/>
    <w:rsid w:val="00EC60D9"/>
    <w:rsid w:val="00F06765"/>
    <w:rsid w:val="00F215AE"/>
    <w:rsid w:val="00F22674"/>
    <w:rsid w:val="00F345EA"/>
    <w:rsid w:val="00F55CB4"/>
    <w:rsid w:val="00F75052"/>
    <w:rsid w:val="00F850B1"/>
    <w:rsid w:val="00F95DD9"/>
    <w:rsid w:val="00FC3432"/>
    <w:rsid w:val="00FC707F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265C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995">
          <w:marLeft w:val="-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6538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3258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2063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9150">
          <w:marLeft w:val="-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8407">
          <w:marLeft w:val="-1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154">
          <w:marLeft w:val="-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ymhtu@ccu.edu.tw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hyperlink" Target="https://futurecity.cw.com.tw/article/18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CD2FC-C8A6-4FC2-898E-29E21D72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3</cp:revision>
  <cp:lastPrinted>2023-06-26T09:36:00Z</cp:lastPrinted>
  <dcterms:created xsi:type="dcterms:W3CDTF">2025-12-19T16:56:00Z</dcterms:created>
  <dcterms:modified xsi:type="dcterms:W3CDTF">2025-12-19T16:58:00Z</dcterms:modified>
</cp:coreProperties>
</file>