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93216D" w:rsidRPr="001C052A" w14:paraId="2CEA8368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530052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742FA16F" w14:textId="3E4025F4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EA7E05D" w:rsidR="0093216D" w:rsidRPr="001C052A" w:rsidRDefault="0093216D" w:rsidP="0093216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2205958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93216D" w:rsidRPr="001C052A" w:rsidRDefault="0093216D" w:rsidP="0093216D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93216D" w:rsidRPr="001C052A" w:rsidRDefault="0093216D" w:rsidP="0093216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8A3B617" w:rsidR="0093216D" w:rsidRPr="00730AA7" w:rsidRDefault="0093216D" w:rsidP="0093216D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是      □否</w:t>
            </w:r>
          </w:p>
        </w:tc>
      </w:tr>
      <w:tr w:rsidR="0030774A" w14:paraId="7E0C38F4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0C82" w14:textId="77777777" w:rsidR="0030774A" w:rsidRDefault="0030774A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3B5A903F" w14:textId="77777777" w:rsidR="0030774A" w:rsidRPr="0074142F" w:rsidRDefault="0030774A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5CA37F" w14:textId="77777777" w:rsidR="0030774A" w:rsidRDefault="0030774A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28F8F41D" w14:textId="77777777" w:rsidR="0030774A" w:rsidRDefault="0030774A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1B9C01E" w14:textId="77777777" w:rsidR="0030774A" w:rsidRPr="00051F86" w:rsidRDefault="0030774A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93216D" w:rsidRPr="001C052A" w14:paraId="69F99CC7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8CC2B9" w14:textId="3DFCC52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AA5FD76" w:rsidR="0093216D" w:rsidRPr="001C052A" w:rsidRDefault="0093216D" w:rsidP="0093216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082D9B">
              <w:rPr>
                <w:color w:val="000000" w:themeColor="text1"/>
                <w:szCs w:val="28"/>
              </w:rPr>
              <w:t>專題：奈米光電</w:t>
            </w:r>
          </w:p>
        </w:tc>
      </w:tr>
      <w:tr w:rsidR="0093216D" w:rsidRPr="00B836C3" w14:paraId="30021486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2435E6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0DD7436F" w14:textId="79346C0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E77CC8F" w:rsidR="0093216D" w:rsidRPr="001C052A" w:rsidRDefault="0093216D" w:rsidP="0093216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Special topics: </w:t>
            </w:r>
            <w:proofErr w:type="spellStart"/>
            <w:r>
              <w:rPr>
                <w:rFonts w:ascii="PMingLiu" w:hAnsi="PMingLiu"/>
                <w:color w:val="000000"/>
              </w:rPr>
              <w:t>Nanophotonics</w:t>
            </w:r>
            <w:proofErr w:type="spellEnd"/>
          </w:p>
        </w:tc>
      </w:tr>
      <w:tr w:rsidR="0093216D" w:rsidRPr="001C052A" w14:paraId="585712CF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14093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17A6DDBE" w14:textId="75B7474D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00CBFC5" w:rsidR="0093216D" w:rsidRPr="001C052A" w:rsidRDefault="0093216D" w:rsidP="0093216D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E07525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93216D" w:rsidRPr="001C052A" w14:paraId="3D36A324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82EB5EA" w14:textId="77777777" w:rsidR="0093216D" w:rsidRPr="001C052A" w:rsidRDefault="0093216D" w:rsidP="0093216D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7305B67C" w14:textId="77777777" w:rsidR="0093216D" w:rsidRPr="001C052A" w:rsidRDefault="0093216D" w:rsidP="0093216D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93216D" w:rsidRPr="001C052A" w:rsidRDefault="0093216D" w:rsidP="0093216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EA71322" w:rsidR="0093216D" w:rsidRPr="001C052A" w:rsidRDefault="00BA0F40" w:rsidP="0093216D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93216D" w:rsidRPr="001C052A" w14:paraId="028A81B4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375793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3BD220C9" w14:textId="4D276CF5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93216D" w:rsidRPr="001C052A" w:rsidRDefault="0093216D" w:rsidP="0093216D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7BA9BA2" w14:textId="77777777" w:rsidR="0093216D" w:rsidRPr="00C659A2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CF16068" w:rsidR="0093216D" w:rsidRPr="001B56F5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87FA5BA" w14:textId="77777777" w:rsidR="0093216D" w:rsidRPr="0083117F" w:rsidRDefault="0093216D" w:rsidP="0093216D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405C6BC" w:rsidR="0093216D" w:rsidRPr="00730AA7" w:rsidRDefault="0093216D" w:rsidP="0093216D">
            <w:pPr>
              <w:spacing w:line="320" w:lineRule="exact"/>
              <w:ind w:leftChars="171" w:left="410" w:firstLineChars="37" w:firstLine="89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93216D" w:rsidRPr="001C052A" w14:paraId="3B83ECC7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8BC293" w14:textId="77777777" w:rsidR="0093216D" w:rsidRPr="009A29DC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524C5794" w14:textId="18B47DDC" w:rsidR="0093216D" w:rsidRPr="009A29DC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A73B956" w:rsidR="0093216D" w:rsidRDefault="0093216D" w:rsidP="0093216D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Pr="005E2D76">
              <w:rPr>
                <w:rFonts w:eastAsia="微軟正黑體"/>
              </w:rPr>
              <w:t>Monday</w:t>
            </w:r>
            <w:r>
              <w:rPr>
                <w:rFonts w:eastAsia="微軟正黑體"/>
              </w:rPr>
              <w:t>(8</w:t>
            </w:r>
            <w:r>
              <w:rPr>
                <w:rFonts w:eastAsia="微軟正黑體" w:hint="eastAsia"/>
              </w:rPr>
              <w:t>、</w:t>
            </w:r>
            <w:r>
              <w:rPr>
                <w:rFonts w:eastAsia="微軟正黑體"/>
              </w:rPr>
              <w:t>9</w:t>
            </w:r>
            <w:r>
              <w:rPr>
                <w:rFonts w:eastAsia="微軟正黑體" w:hint="eastAsia"/>
              </w:rPr>
              <w:t>、</w:t>
            </w:r>
            <w:r>
              <w:rPr>
                <w:rFonts w:eastAsia="微軟正黑體"/>
                <w:lang w:eastAsia="zh-TW"/>
              </w:rPr>
              <w:t>10</w:t>
            </w:r>
            <w:r>
              <w:rPr>
                <w:rFonts w:eastAsia="微軟正黑體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8CD8A26" w14:textId="77777777" w:rsidR="0093216D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039C8B1" w:rsidR="0093216D" w:rsidRPr="001C052A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21EF6B4" w:rsidR="0093216D" w:rsidRDefault="0093216D" w:rsidP="0093216D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5E2D76">
              <w:rPr>
                <w:rFonts w:eastAsia="微軟正黑體"/>
              </w:rPr>
              <w:t xml:space="preserve">Physics </w:t>
            </w:r>
            <w:r>
              <w:rPr>
                <w:rFonts w:eastAsia="微軟正黑體" w:hint="eastAsia"/>
                <w:lang w:eastAsia="zh-TW"/>
              </w:rPr>
              <w:t>R</w:t>
            </w:r>
            <w:r>
              <w:rPr>
                <w:rFonts w:eastAsia="微軟正黑體"/>
              </w:rPr>
              <w:t>303</w:t>
            </w:r>
          </w:p>
        </w:tc>
      </w:tr>
      <w:tr w:rsidR="0093216D" w:rsidRPr="001C052A" w14:paraId="326474A0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D2F85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0E82D56E" w14:textId="2F24EFE9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01FFF0B" w:rsidR="0093216D" w:rsidRPr="001C052A" w:rsidRDefault="0093216D" w:rsidP="0093216D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Chia-Chen Hsu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0B706F4" w14:textId="77777777" w:rsidR="0093216D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4892A105" w:rsidR="0093216D" w:rsidRPr="001C052A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26F91C6" w:rsidR="0093216D" w:rsidRPr="001C052A" w:rsidRDefault="00D1553E" w:rsidP="0093216D">
            <w:pPr>
              <w:spacing w:line="320" w:lineRule="exact"/>
              <w:rPr>
                <w:rFonts w:eastAsia="微軟正黑體"/>
              </w:rPr>
            </w:pPr>
            <w:hyperlink r:id="rId8" w:tooltip="phycch@ccu.edu.tw" w:history="1">
              <w:r w:rsidR="0093216D">
                <w:rPr>
                  <w:rStyle w:val="ab"/>
                  <w:rFonts w:ascii="微軟正黑體" w:eastAsia="微軟正黑體" w:hAnsi="微軟正黑體" w:hint="eastAsia"/>
                  <w:sz w:val="20"/>
                </w:rPr>
                <w:t>phycch@ccu.edu.tw</w:t>
              </w:r>
            </w:hyperlink>
          </w:p>
        </w:tc>
      </w:tr>
      <w:tr w:rsidR="0093216D" w:rsidRPr="001C052A" w14:paraId="52671300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49B61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320A9A95" w14:textId="2C99BAFF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87BCD01" w:rsidR="0093216D" w:rsidRPr="001C052A" w:rsidRDefault="0093216D" w:rsidP="0093216D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1A13BFC" w14:textId="77777777" w:rsidR="0093216D" w:rsidRPr="001C052A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3187051E" w:rsidR="0093216D" w:rsidRPr="001C052A" w:rsidRDefault="0093216D" w:rsidP="0093216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57CCF852" w:rsidR="0093216D" w:rsidRPr="001C052A" w:rsidRDefault="0093216D" w:rsidP="0093216D">
            <w:pPr>
              <w:spacing w:line="320" w:lineRule="exact"/>
              <w:rPr>
                <w:rFonts w:eastAsia="微軟正黑體"/>
              </w:rPr>
            </w:pPr>
          </w:p>
        </w:tc>
      </w:tr>
      <w:tr w:rsidR="0093216D" w:rsidRPr="001C052A" w14:paraId="1855F7A7" w14:textId="77777777" w:rsidTr="0093216D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A78B8D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56A15B91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32FFC687" w14:textId="07429E20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3A35E833" w:rsidR="0093216D" w:rsidRPr="001C052A" w:rsidRDefault="00BA0F40" w:rsidP="0093216D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光學</w:t>
            </w:r>
          </w:p>
          <w:p w14:paraId="5F4FED78" w14:textId="77777777" w:rsidR="0093216D" w:rsidRPr="001C052A" w:rsidRDefault="0093216D" w:rsidP="0093216D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93216D" w:rsidRPr="001C052A" w14:paraId="2E121AC8" w14:textId="77777777" w:rsidTr="0093216D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B8D9F0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5E9CF46" w14:textId="4B8D9B63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576B3" w14:textId="77777777" w:rsidR="0093216D" w:rsidRPr="00082D9B" w:rsidRDefault="0093216D" w:rsidP="0093216D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proofErr w:type="spellStart"/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Nanophotonics</w:t>
            </w:r>
            <w:proofErr w:type="spellEnd"/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is where photonics merges with </w:t>
            </w:r>
            <w:proofErr w:type="spellStart"/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nonoscience</w:t>
            </w:r>
            <w:proofErr w:type="spellEnd"/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and nanotechnology, and where spatial confinement considerably modifies light propagation and light-mater interactions. This course will introduce basic phenomena, principles, experimental advances, and potential impact of </w:t>
            </w:r>
            <w:proofErr w:type="spellStart"/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nanophotonics</w:t>
            </w:r>
            <w:proofErr w:type="spellEnd"/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. The course will highlight practical issues, material properties, device feasibility of materials with nanostructured feature. The following topics will be discussed in this course.    </w:t>
            </w:r>
          </w:p>
          <w:p w14:paraId="6227B81F" w14:textId="77777777" w:rsidR="0093216D" w:rsidRPr="00082D9B" w:rsidRDefault="0093216D" w:rsidP="0093216D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  <w:p w14:paraId="28CF6A49" w14:textId="77777777" w:rsidR="0093216D" w:rsidRPr="00082D9B" w:rsidRDefault="0093216D" w:rsidP="0093216D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1. 1. Introduction</w:t>
            </w:r>
          </w:p>
          <w:p w14:paraId="382D3103" w14:textId="6A0FE783" w:rsidR="0093216D" w:rsidRPr="00082D9B" w:rsidRDefault="0093216D" w:rsidP="00AC4528">
            <w:pPr>
              <w:spacing w:before="0" w:beforeAutospacing="0"/>
              <w:ind w:leftChars="0" w:left="480" w:hangingChars="200" w:hanging="48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 </w:t>
            </w:r>
            <w:r w:rsidR="00AC4528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  </w:t>
            </w: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 </w:t>
            </w: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Nanoengineering and sciences, </w:t>
            </w:r>
            <w:proofErr w:type="spellStart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Nanophotonics</w:t>
            </w:r>
            <w:proofErr w:type="spellEnd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 materials, Nanofabrication, Nano characterization, Market and applications.</w:t>
            </w:r>
          </w:p>
          <w:p w14:paraId="38BE064C" w14:textId="77777777" w:rsidR="0093216D" w:rsidRPr="00082D9B" w:rsidRDefault="0093216D" w:rsidP="0093216D">
            <w:pPr>
              <w:numPr>
                <w:ilvl w:val="0"/>
                <w:numId w:val="7"/>
              </w:numPr>
              <w:spacing w:before="0" w:beforeAutospacing="0"/>
              <w:ind w:leftChars="0" w:left="0"/>
              <w:jc w:val="left"/>
              <w:textAlignment w:val="baseline"/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Foundations of </w:t>
            </w:r>
            <w:proofErr w:type="spellStart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nanophotonics</w:t>
            </w:r>
            <w:proofErr w:type="spellEnd"/>
          </w:p>
          <w:p w14:paraId="6D047304" w14:textId="7D88B42C" w:rsidR="0093216D" w:rsidRPr="00082D9B" w:rsidRDefault="0093216D" w:rsidP="00AC4528">
            <w:pPr>
              <w:spacing w:before="0" w:beforeAutospacing="0"/>
              <w:ind w:leftChars="0" w:left="220" w:hangingChars="100" w:hanging="22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   </w:t>
            </w:r>
            <w:r w:rsid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Photons and electrons, Confinements of electron and photons, Tunneling, Localization effects, Cooperative effects, Nanoscale optical interactions, Surface plasma resonance.</w:t>
            </w:r>
          </w:p>
          <w:p w14:paraId="5EBD3F63" w14:textId="77777777" w:rsidR="0093216D" w:rsidRPr="00082D9B" w:rsidRDefault="0093216D" w:rsidP="0093216D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3.  </w:t>
            </w: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Quantum confinement materials </w:t>
            </w:r>
          </w:p>
          <w:p w14:paraId="1D359833" w14:textId="0141CC6E" w:rsidR="0093216D" w:rsidRPr="00082D9B" w:rsidRDefault="0093216D" w:rsidP="0093216D">
            <w:pPr>
              <w:spacing w:before="0" w:beforeAutospacing="0"/>
              <w:ind w:leftChars="0" w:left="0" w:hanging="36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  </w:t>
            </w:r>
            <w:r w:rsidR="00AC4528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   </w:t>
            </w: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 </w:t>
            </w: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Quantum wells, Quantum wires, Quantum dots, Manifestations of quantum confinement,</w:t>
            </w:r>
          </w:p>
          <w:p w14:paraId="2C1CB133" w14:textId="77777777" w:rsidR="0093216D" w:rsidRPr="00082D9B" w:rsidRDefault="0093216D" w:rsidP="0093216D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4.  </w:t>
            </w: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Photonic crystals fundamentals </w:t>
            </w:r>
          </w:p>
          <w:p w14:paraId="63C6AEBE" w14:textId="0062C10D" w:rsidR="0093216D" w:rsidRPr="00082D9B" w:rsidRDefault="0093216D" w:rsidP="00AC4528">
            <w:pPr>
              <w:spacing w:before="0" w:beforeAutospacing="0"/>
              <w:ind w:leftChars="0" w:left="480" w:hangingChars="200" w:hanging="48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   </w:t>
            </w:r>
            <w:r w:rsidR="00AC4528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</w:t>
            </w: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Photonic crystals, Opal and inverse opal structures, One dimensional photonic</w:t>
            </w:r>
            <w:r w:rsid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 </w:t>
            </w: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crystal,</w:t>
            </w:r>
            <w:r w:rsid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 </w:t>
            </w: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Photonic bandgap, Two- and three-dimensional photonic crystals, Properties of photonic crystals and their applications, Defects in photonic crystals  </w:t>
            </w:r>
          </w:p>
          <w:p w14:paraId="582A9839" w14:textId="5D13CBE9" w:rsidR="0093216D" w:rsidRPr="00082D9B" w:rsidRDefault="0093216D" w:rsidP="0093216D">
            <w:pPr>
              <w:spacing w:before="0" w:beforeAutospacing="0"/>
              <w:ind w:leftChars="0" w:left="0" w:hanging="33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5.  </w:t>
            </w:r>
            <w:r w:rsid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5. </w:t>
            </w: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Nonlinear optics with photonic crystals</w:t>
            </w:r>
          </w:p>
          <w:p w14:paraId="751E9D71" w14:textId="28B7FBDA" w:rsidR="0093216D" w:rsidRPr="00082D9B" w:rsidRDefault="0093216D" w:rsidP="0093216D">
            <w:pPr>
              <w:spacing w:before="0" w:beforeAutospacing="0"/>
              <w:ind w:leftChars="0" w:left="0" w:hanging="36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   </w:t>
            </w:r>
            <w:r w:rsidR="00AC4528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  </w:t>
            </w: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Nonlinear effects, Composite materials for nonlinear optics, Photonic bandgap nonlinear enhancements,</w:t>
            </w:r>
          </w:p>
          <w:p w14:paraId="328AF6FB" w14:textId="77777777" w:rsidR="0093216D" w:rsidRPr="00082D9B" w:rsidRDefault="0093216D" w:rsidP="0093216D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6.  </w:t>
            </w: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Photonic crystals slab waveguides </w:t>
            </w:r>
          </w:p>
          <w:p w14:paraId="1831C9A3" w14:textId="5E815A7C" w:rsidR="0093216D" w:rsidRPr="00082D9B" w:rsidRDefault="0093216D" w:rsidP="0093216D">
            <w:pPr>
              <w:spacing w:before="0" w:beforeAutospacing="0"/>
              <w:ind w:leftChars="0" w:left="0" w:hanging="36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   </w:t>
            </w:r>
            <w:proofErr w:type="gramStart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2</w:t>
            </w:r>
            <w:r w:rsid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  2</w:t>
            </w:r>
            <w:proofErr w:type="gramEnd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D rods slab, 2D air membrane slab, microcavity and defects  </w:t>
            </w:r>
          </w:p>
          <w:p w14:paraId="49112C82" w14:textId="134DB178" w:rsidR="0093216D" w:rsidRPr="00082D9B" w:rsidRDefault="0093216D" w:rsidP="0093216D">
            <w:pPr>
              <w:spacing w:before="0" w:beforeAutospacing="0"/>
              <w:ind w:leftChars="0" w:left="0" w:hanging="36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lastRenderedPageBreak/>
              <w:t xml:space="preserve">7. </w:t>
            </w:r>
            <w:r w:rsidR="00AC4528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f7. Fabrication of photonic crystal.</w:t>
            </w:r>
          </w:p>
          <w:p w14:paraId="32E55D35" w14:textId="0C92DDB9" w:rsidR="0093216D" w:rsidRPr="00082D9B" w:rsidRDefault="0093216D" w:rsidP="00AC4528">
            <w:pPr>
              <w:spacing w:before="0" w:beforeAutospacing="0"/>
              <w:ind w:leftChars="0" w:left="240" w:hangingChars="100" w:hanging="24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   </w:t>
            </w:r>
            <w:r w:rsid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T</w:t>
            </w: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op down techniques, Photo-lithography technique, E-beam lithography technique, </w:t>
            </w:r>
            <w:proofErr w:type="gramStart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Two</w:t>
            </w:r>
            <w:proofErr w:type="gramEnd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 photon lithography technique, Holography lithography technique, Bottom up techniques, Self-assembling of </w:t>
            </w:r>
            <w:proofErr w:type="spellStart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nano</w:t>
            </w:r>
            <w:proofErr w:type="spellEnd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 colloids, Self-assembling of block copolymers</w:t>
            </w:r>
          </w:p>
          <w:p w14:paraId="243575E6" w14:textId="33D12EF9" w:rsidR="0093216D" w:rsidRPr="00AC4528" w:rsidRDefault="0093216D" w:rsidP="00AC4528">
            <w:pPr>
              <w:pStyle w:val="a5"/>
              <w:numPr>
                <w:ilvl w:val="0"/>
                <w:numId w:val="10"/>
              </w:numPr>
              <w:spacing w:before="0" w:beforeAutospacing="0"/>
              <w:ind w:leftChars="0"/>
              <w:jc w:val="left"/>
              <w:textAlignment w:val="baseline"/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</w:pPr>
            <w:r w:rsidRPr="00AC4528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Photonic crystal fiber</w:t>
            </w:r>
          </w:p>
          <w:p w14:paraId="31F8C283" w14:textId="77777777" w:rsidR="0093216D" w:rsidRPr="00082D9B" w:rsidRDefault="0093216D" w:rsidP="0093216D">
            <w:p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Conventional fiber, Photonic crystal fibers, Hollow core bandgap fibers, Solid core holey fiber, </w:t>
            </w:r>
            <w:proofErr w:type="spellStart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Onmi</w:t>
            </w:r>
            <w:proofErr w:type="spellEnd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 guide fiber, Nonlinear holey </w:t>
            </w:r>
            <w:proofErr w:type="spellStart"/>
            <w:r w:rsidRPr="00082D9B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fibe</w:t>
            </w:r>
            <w:proofErr w:type="spellEnd"/>
          </w:p>
          <w:p w14:paraId="4E8D60E9" w14:textId="20CBA097" w:rsidR="00AC4528" w:rsidRPr="00AC4528" w:rsidRDefault="0093216D" w:rsidP="00AC4528">
            <w:pPr>
              <w:pStyle w:val="a5"/>
              <w:numPr>
                <w:ilvl w:val="0"/>
                <w:numId w:val="10"/>
              </w:numPr>
              <w:spacing w:before="0" w:beforeAutospacing="0" w:line="320" w:lineRule="exact"/>
              <w:ind w:leftChars="0"/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</w:pPr>
            <w:proofErr w:type="spellStart"/>
            <w:r w:rsidRPr="00AC4528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Nanophotonics</w:t>
            </w:r>
            <w:proofErr w:type="spellEnd"/>
            <w:r w:rsidRPr="00AC4528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</w:t>
            </w:r>
            <w:proofErr w:type="spellStart"/>
            <w:r w:rsidRPr="00AC4528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plasmonics</w:t>
            </w:r>
            <w:proofErr w:type="spellEnd"/>
            <w:r w:rsidRP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.</w:t>
            </w:r>
          </w:p>
          <w:p w14:paraId="414924B5" w14:textId="5A6967F6" w:rsidR="0093216D" w:rsidRPr="00AC4528" w:rsidRDefault="00AC4528" w:rsidP="00AC4528">
            <w:pPr>
              <w:pStyle w:val="a5"/>
              <w:spacing w:before="0" w:beforeAutospacing="0" w:line="320" w:lineRule="exact"/>
              <w:ind w:leftChars="0" w:left="360"/>
              <w:rPr>
                <w:rFonts w:eastAsia="微軟正黑體"/>
              </w:rPr>
            </w:pPr>
            <w:r w:rsidRP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Surface plasma resonance basics, Surface plasma polaritons, Metallic </w:t>
            </w:r>
            <w:proofErr w:type="spellStart"/>
            <w:r w:rsidRP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>nano</w:t>
            </w:r>
            <w:proofErr w:type="spellEnd"/>
            <w:r w:rsidRP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t xml:space="preserve"> shells, plasmonic waveguide</w:t>
            </w:r>
            <w:r w:rsidR="0093216D" w:rsidRPr="00AC4528">
              <w:rPr>
                <w:rFonts w:ascii="Times New Roman" w:eastAsia="新細明體" w:hAnsi="Times New Roman"/>
                <w:color w:val="000000"/>
                <w:sz w:val="22"/>
                <w:szCs w:val="22"/>
                <w:lang w:eastAsia="zh-TW"/>
              </w:rPr>
              <w:br/>
            </w:r>
          </w:p>
        </w:tc>
      </w:tr>
      <w:tr w:rsidR="0093216D" w:rsidRPr="001C052A" w14:paraId="4E1DA0BC" w14:textId="77777777" w:rsidTr="0093216D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8EFE95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1370FF4A" w14:textId="12C956E6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60B2704C" w:rsidR="0093216D" w:rsidRPr="002718CF" w:rsidRDefault="0093216D" w:rsidP="0093216D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Introducing the general concept of physics for the students majoring science and engineering.</w:t>
            </w:r>
          </w:p>
        </w:tc>
      </w:tr>
      <w:tr w:rsidR="0093216D" w:rsidRPr="001C052A" w14:paraId="07DFDDA4" w14:textId="77777777" w:rsidTr="0093216D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1774F1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6E373740" w14:textId="0BEE3505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210F74" w14:textId="77777777" w:rsidR="0093216D" w:rsidRDefault="0093216D" w:rsidP="0093216D">
            <w:pPr>
              <w:pStyle w:val="Web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.Nanophotonics by Prasad, Wesley, 2004</w:t>
            </w:r>
          </w:p>
          <w:p w14:paraId="036443B7" w14:textId="3EA20BD2" w:rsidR="0093216D" w:rsidRDefault="0093216D" w:rsidP="0093216D">
            <w:pPr>
              <w:pStyle w:val="Web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2.Nanophotonics class note by J. W.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Hause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et. al. </w:t>
            </w:r>
          </w:p>
          <w:p w14:paraId="60AA7F3B" w14:textId="0F44781C" w:rsidR="0093216D" w:rsidRPr="00082D9B" w:rsidRDefault="0093216D" w:rsidP="0093216D">
            <w:pPr>
              <w:pStyle w:val="Web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3.Nanophotonics class note by Vladimir M.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Shalaev</w:t>
            </w:r>
            <w:proofErr w:type="spellEnd"/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93216D" w:rsidRPr="001C052A" w14:paraId="68A248FE" w14:textId="77777777" w:rsidTr="0093216D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E7E6D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71F51414" w:rsidR="0093216D" w:rsidRPr="001C052A" w:rsidRDefault="0093216D" w:rsidP="0093216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593CD8C" w:rsidR="0093216D" w:rsidRDefault="0093216D" w:rsidP="0093216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BA0F40">
              <w:rPr>
                <w:rFonts w:ascii="新細明體" w:eastAsia="新細明體" w:hAnsi="新細明體" w:hint="eastAsia"/>
              </w:rPr>
              <w:t>■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59AB8942" w:rsidR="0093216D" w:rsidRPr="00730AA7" w:rsidRDefault="0093216D" w:rsidP="0093216D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93216D" w:rsidRPr="001C052A" w14:paraId="285EAB32" w14:textId="77777777" w:rsidTr="0093216D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C1F2B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3FF4899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B5A5C1D" w:rsidR="0093216D" w:rsidRPr="00730AA7" w:rsidRDefault="00BA0F40" w:rsidP="0093216D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93216D" w:rsidRPr="00730AA7">
              <w:rPr>
                <w:rFonts w:ascii="新細明體" w:hAnsi="新細明體"/>
              </w:rPr>
              <w:t>講述</w:t>
            </w:r>
            <w:r w:rsidR="0093216D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93216D">
              <w:rPr>
                <w:rFonts w:ascii="新細明體" w:hAnsi="新細明體"/>
                <w:lang w:eastAsia="zh-TW"/>
              </w:rPr>
              <w:t xml:space="preserve"> </w:t>
            </w:r>
            <w:r w:rsidR="0093216D" w:rsidRPr="00730AA7">
              <w:rPr>
                <w:rFonts w:ascii="新細明體" w:hAnsi="新細明體"/>
              </w:rPr>
              <w:t xml:space="preserve">  □小組討論    </w:t>
            </w:r>
            <w:r>
              <w:rPr>
                <w:rFonts w:ascii="新細明體" w:eastAsia="新細明體" w:hAnsi="新細明體" w:hint="eastAsia"/>
              </w:rPr>
              <w:t>▓</w:t>
            </w:r>
            <w:r w:rsidR="0093216D" w:rsidRPr="00DA0099">
              <w:rPr>
                <w:rFonts w:ascii="新細明體" w:hAnsi="新細明體" w:hint="eastAsia"/>
              </w:rPr>
              <w:t>學生口頭報告</w:t>
            </w:r>
            <w:r w:rsidR="0093216D">
              <w:rPr>
                <w:rFonts w:ascii="新細明體" w:hAnsi="新細明體" w:hint="eastAsia"/>
              </w:rPr>
              <w:t xml:space="preserve">  </w:t>
            </w:r>
            <w:r w:rsidR="0093216D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93216D"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93216D" w:rsidRPr="00730AA7" w:rsidRDefault="0093216D" w:rsidP="0093216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93216D" w:rsidRPr="001C052A" w14:paraId="7A7DFB0B" w14:textId="77777777" w:rsidTr="0093216D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EA2A1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4221D6BA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0FEBD91" w:rsidR="0093216D" w:rsidRPr="00730AA7" w:rsidRDefault="0093216D" w:rsidP="0093216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□期末考 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7D99F65E" w:rsidR="0093216D" w:rsidRDefault="0093216D" w:rsidP="0093216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</w:t>
            </w:r>
            <w:r w:rsidR="00BA0F40">
              <w:rPr>
                <w:rFonts w:ascii="新細明體" w:eastAsia="新細明體" w:hAnsi="新細明體" w:hint="eastAsia"/>
              </w:rPr>
              <w:t>▓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BA0F40">
              <w:rPr>
                <w:rFonts w:ascii="新細明體" w:eastAsia="新細明體" w:hAnsi="新細明體" w:hint="eastAsia"/>
              </w:rPr>
              <w:t>■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0E7BE1DB" w14:textId="455B9D8A" w:rsidR="0093216D" w:rsidRPr="00082D9B" w:rsidRDefault="0093216D" w:rsidP="0093216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Pr="00082D9B">
              <w:rPr>
                <w:rFonts w:ascii="新細明體" w:hAnsi="新細明體"/>
              </w:rPr>
              <w:t xml:space="preserve">Attendance (25%), </w:t>
            </w:r>
            <w:r>
              <w:rPr>
                <w:rFonts w:ascii="新細明體" w:hAnsi="新細明體"/>
              </w:rPr>
              <w:t xml:space="preserve">  </w:t>
            </w:r>
            <w:r w:rsidRPr="00082D9B">
              <w:rPr>
                <w:rFonts w:ascii="新細明體" w:hAnsi="新細明體"/>
              </w:rPr>
              <w:t xml:space="preserve">Midterm oral presentation (35%), </w:t>
            </w:r>
          </w:p>
          <w:p w14:paraId="24AC2115" w14:textId="4194487A" w:rsidR="0093216D" w:rsidRPr="006F176E" w:rsidRDefault="0093216D" w:rsidP="0093216D">
            <w:pPr>
              <w:spacing w:line="320" w:lineRule="exact"/>
              <w:rPr>
                <w:rFonts w:ascii="新細明體" w:hAnsi="新細明體"/>
              </w:rPr>
            </w:pPr>
            <w:r w:rsidRPr="00082D9B">
              <w:rPr>
                <w:rFonts w:ascii="新細明體" w:hAnsi="新細明體"/>
              </w:rPr>
              <w:t>Final oral presentation (40%).</w:t>
            </w:r>
          </w:p>
        </w:tc>
      </w:tr>
      <w:tr w:rsidR="0093216D" w:rsidRPr="001C052A" w14:paraId="4D1A228C" w14:textId="77777777" w:rsidTr="0093216D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9F8355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97E07BA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196E525" w:rsidR="0093216D" w:rsidRPr="00730AA7" w:rsidRDefault="0093216D" w:rsidP="0093216D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93216D" w:rsidRPr="00251E57" w14:paraId="1AC6B131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C671AE" w14:textId="77777777" w:rsidR="0093216D" w:rsidRPr="001C052A" w:rsidRDefault="0093216D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6003F9AC" w14:textId="77777777" w:rsidR="0093216D" w:rsidRPr="001C052A" w:rsidRDefault="0093216D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8E370B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51E268A0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75D4B4D6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7C2A7976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0482B0A9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24C00290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752F0681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lastRenderedPageBreak/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28198BE9" w14:textId="77777777" w:rsidR="0093216D" w:rsidRPr="00730AA7" w:rsidRDefault="0093216D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771925A9" w14:textId="77777777" w:rsidR="0093216D" w:rsidRPr="001C052A" w:rsidRDefault="0093216D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93216D" w:rsidRPr="001C052A" w14:paraId="324CD86F" w14:textId="77777777" w:rsidTr="0093216D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48E6C9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1CCA70E8" w14:textId="77777777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D5A3D7D" w:rsidR="0093216D" w:rsidRPr="001C052A" w:rsidRDefault="0093216D" w:rsidP="0093216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0EFD4E3F" w:rsidR="0093216D" w:rsidRPr="00082D9B" w:rsidRDefault="0093216D" w:rsidP="0093216D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32486D6" w14:textId="77777777" w:rsidR="00B614EC" w:rsidRPr="001C052A" w:rsidRDefault="00B614EC" w:rsidP="00B614E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2B556A3A" w:rsidR="002023EC" w:rsidRPr="001C052A" w:rsidRDefault="00B614EC" w:rsidP="00B614E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082D9B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9060311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AC4528">
              <w:t xml:space="preserve"> </w:t>
            </w:r>
            <w:r w:rsidR="00AC4528" w:rsidRPr="00AC4528">
              <w:rPr>
                <w:rFonts w:eastAsia="微軟正黑體"/>
                <w:kern w:val="2"/>
              </w:rPr>
              <w:t>Introduction</w:t>
            </w:r>
          </w:p>
        </w:tc>
      </w:tr>
      <w:tr w:rsidR="00082D9B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822D706" w:rsidR="00082D9B" w:rsidRPr="00A17751" w:rsidRDefault="00082D9B" w:rsidP="00082D9B">
            <w:pPr>
              <w:pStyle w:val="Web"/>
              <w:spacing w:before="0" w:beforeAutospacing="0" w:after="0" w:afterAutospacing="0"/>
            </w:pPr>
            <w:r>
              <w:rPr>
                <w:rFonts w:eastAsia="微軟正黑體" w:hint="eastAsia"/>
                <w:kern w:val="2"/>
              </w:rPr>
              <w:t>Week 2</w:t>
            </w:r>
            <w:r w:rsidR="00AC4528">
              <w:rPr>
                <w:rFonts w:eastAsia="微軟正黑體"/>
                <w:kern w:val="2"/>
              </w:rPr>
              <w:t xml:space="preserve"> </w:t>
            </w:r>
            <w:r w:rsidR="00AC4528" w:rsidRPr="00AC4528">
              <w:rPr>
                <w:rFonts w:eastAsia="微軟正黑體"/>
                <w:kern w:val="2"/>
              </w:rPr>
              <w:t>Foundations of nanophotonics-1</w:t>
            </w:r>
          </w:p>
        </w:tc>
      </w:tr>
      <w:tr w:rsidR="00082D9B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A84EACF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  <w:r w:rsidR="00AC4528" w:rsidRPr="00AC4528">
              <w:rPr>
                <w:rFonts w:eastAsia="微軟正黑體"/>
                <w:kern w:val="2"/>
              </w:rPr>
              <w:t>Foundations of nanophotonics-</w:t>
            </w:r>
            <w:r w:rsidR="00AC4528">
              <w:rPr>
                <w:rFonts w:eastAsia="微軟正黑體"/>
                <w:kern w:val="2"/>
              </w:rPr>
              <w:t>2</w:t>
            </w:r>
          </w:p>
        </w:tc>
      </w:tr>
      <w:tr w:rsidR="00082D9B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8442DA4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4</w:t>
            </w:r>
            <w:r w:rsidR="00AC4528">
              <w:t xml:space="preserve"> </w:t>
            </w:r>
            <w:r w:rsidR="00AC4528" w:rsidRPr="00AC4528">
              <w:rPr>
                <w:rFonts w:eastAsia="微軟正黑體"/>
                <w:kern w:val="2"/>
              </w:rPr>
              <w:t>Foundations of nanophotonics-</w:t>
            </w:r>
            <w:r w:rsidR="00AC4528">
              <w:rPr>
                <w:rFonts w:eastAsia="微軟正黑體"/>
                <w:kern w:val="2"/>
              </w:rPr>
              <w:t>3</w:t>
            </w:r>
            <w:r>
              <w:rPr>
                <w:rFonts w:eastAsia="微軟正黑體" w:hint="eastAsia"/>
                <w:kern w:val="2"/>
              </w:rPr>
              <w:t xml:space="preserve"> </w:t>
            </w:r>
          </w:p>
        </w:tc>
      </w:tr>
      <w:tr w:rsidR="00082D9B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D23B75E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5 </w:t>
            </w:r>
            <w:r w:rsidR="000A6A2C" w:rsidRPr="000A6A2C">
              <w:rPr>
                <w:rFonts w:eastAsia="微軟正黑體"/>
                <w:kern w:val="2"/>
              </w:rPr>
              <w:t>Photonic crystals fundamentals-1</w:t>
            </w:r>
          </w:p>
        </w:tc>
      </w:tr>
      <w:tr w:rsidR="00082D9B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094DC12" w:rsidR="00082D9B" w:rsidRPr="00DF48AC" w:rsidRDefault="00082D9B" w:rsidP="00082D9B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 xml:space="preserve">Week 6 </w:t>
            </w:r>
            <w:r w:rsidR="000A6A2C" w:rsidRPr="000A6A2C">
              <w:rPr>
                <w:rFonts w:eastAsia="微軟正黑體"/>
                <w:kern w:val="2"/>
              </w:rPr>
              <w:t>Photonic crystals fundamentals-</w:t>
            </w:r>
            <w:r w:rsidR="000A6A2C">
              <w:rPr>
                <w:rFonts w:eastAsia="微軟正黑體"/>
                <w:kern w:val="2"/>
              </w:rPr>
              <w:t>2</w:t>
            </w:r>
          </w:p>
        </w:tc>
      </w:tr>
      <w:tr w:rsidR="00082D9B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B776E32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0A6A2C">
              <w:rPr>
                <w:rFonts w:eastAsia="微軟正黑體"/>
                <w:kern w:val="2"/>
              </w:rPr>
              <w:t xml:space="preserve"> </w:t>
            </w:r>
            <w:r w:rsidR="000A6A2C" w:rsidRPr="000A6A2C">
              <w:rPr>
                <w:rFonts w:eastAsia="微軟正黑體"/>
                <w:kern w:val="2"/>
              </w:rPr>
              <w:t>Photonic crystals fundamentals-</w:t>
            </w:r>
            <w:r w:rsidR="000A6A2C">
              <w:rPr>
                <w:rFonts w:eastAsia="微軟正黑體"/>
                <w:kern w:val="2"/>
              </w:rPr>
              <w:t>3</w:t>
            </w:r>
          </w:p>
        </w:tc>
      </w:tr>
      <w:tr w:rsidR="00082D9B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CE48577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8 </w:t>
            </w:r>
            <w:r w:rsidR="000A6A2C" w:rsidRPr="000A6A2C">
              <w:rPr>
                <w:rFonts w:eastAsia="微軟正黑體"/>
                <w:kern w:val="2"/>
              </w:rPr>
              <w:t>Nonlinear optics with photonic crystals</w:t>
            </w:r>
          </w:p>
        </w:tc>
      </w:tr>
      <w:tr w:rsidR="00082D9B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F014DDA" w:rsidR="00082D9B" w:rsidRPr="001C052A" w:rsidRDefault="00082D9B" w:rsidP="00082D9B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9 </w:t>
            </w:r>
            <w:r w:rsidR="000A6A2C">
              <w:rPr>
                <w:rFonts w:eastAsia="微軟正黑體"/>
                <w:kern w:val="2"/>
              </w:rPr>
              <w:t>Midterm Examination (oral presentation)</w:t>
            </w:r>
          </w:p>
        </w:tc>
      </w:tr>
      <w:tr w:rsidR="00082D9B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57992D6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10 </w:t>
            </w:r>
            <w:r w:rsidR="000A6A2C" w:rsidRPr="000A6A2C">
              <w:rPr>
                <w:rFonts w:eastAsia="微軟正黑體"/>
                <w:kern w:val="2"/>
              </w:rPr>
              <w:t>Photonic crystals slab waveguides-1</w:t>
            </w:r>
          </w:p>
        </w:tc>
      </w:tr>
      <w:tr w:rsidR="00082D9B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616CEFB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11 </w:t>
            </w:r>
            <w:r w:rsidR="000A6A2C" w:rsidRPr="000A6A2C">
              <w:rPr>
                <w:rFonts w:eastAsia="微軟正黑體"/>
                <w:kern w:val="2"/>
              </w:rPr>
              <w:t>Photonic crystals slab waveguides-2</w:t>
            </w:r>
          </w:p>
        </w:tc>
      </w:tr>
      <w:tr w:rsidR="00082D9B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13E4103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12 </w:t>
            </w:r>
            <w:r w:rsidR="000A6A2C" w:rsidRPr="000A6A2C">
              <w:rPr>
                <w:rFonts w:eastAsia="微軟正黑體"/>
                <w:kern w:val="2"/>
              </w:rPr>
              <w:t>Fabrication of photonic crystals</w:t>
            </w:r>
          </w:p>
        </w:tc>
      </w:tr>
      <w:tr w:rsidR="00082D9B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64843E7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13 </w:t>
            </w:r>
            <w:r w:rsidR="000A6A2C" w:rsidRPr="000A6A2C">
              <w:rPr>
                <w:rFonts w:eastAsia="微軟正黑體"/>
                <w:kern w:val="2"/>
              </w:rPr>
              <w:t>Photonic crystal fiber</w:t>
            </w:r>
            <w:r w:rsidR="002F2E6C">
              <w:rPr>
                <w:rFonts w:eastAsia="微軟正黑體"/>
                <w:kern w:val="2"/>
              </w:rPr>
              <w:t>-1</w:t>
            </w:r>
          </w:p>
        </w:tc>
      </w:tr>
      <w:tr w:rsidR="00082D9B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DE92C9B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14 </w:t>
            </w:r>
            <w:r w:rsidR="002F2E6C" w:rsidRPr="002F2E6C">
              <w:rPr>
                <w:rFonts w:eastAsia="微軟正黑體"/>
                <w:kern w:val="2"/>
              </w:rPr>
              <w:t>Photonic crystal fiber</w:t>
            </w:r>
            <w:r w:rsidR="002F2E6C">
              <w:rPr>
                <w:rFonts w:eastAsia="微軟正黑體"/>
                <w:kern w:val="2"/>
              </w:rPr>
              <w:t>-2</w:t>
            </w:r>
          </w:p>
        </w:tc>
      </w:tr>
      <w:tr w:rsidR="00082D9B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EC7BDE1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15 </w:t>
            </w:r>
            <w:proofErr w:type="spellStart"/>
            <w:r w:rsidR="000A6A2C" w:rsidRPr="000A6A2C">
              <w:rPr>
                <w:rFonts w:eastAsia="微軟正黑體"/>
                <w:kern w:val="2"/>
              </w:rPr>
              <w:t>Nanophotonics</w:t>
            </w:r>
            <w:proofErr w:type="spellEnd"/>
            <w:r w:rsidR="000A6A2C" w:rsidRPr="000A6A2C">
              <w:rPr>
                <w:rFonts w:eastAsia="微軟正黑體"/>
                <w:kern w:val="2"/>
              </w:rPr>
              <w:t xml:space="preserve"> plasmonics-</w:t>
            </w:r>
            <w:r w:rsidR="002F2E6C">
              <w:rPr>
                <w:rFonts w:eastAsia="微軟正黑體"/>
                <w:kern w:val="2"/>
              </w:rPr>
              <w:t>1</w:t>
            </w:r>
          </w:p>
        </w:tc>
      </w:tr>
      <w:tr w:rsidR="00082D9B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0B8A124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="000A6A2C">
              <w:rPr>
                <w:rFonts w:eastAsia="微軟正黑體"/>
                <w:kern w:val="2"/>
                <w:lang w:eastAsia="zh-TW"/>
              </w:rPr>
              <w:t xml:space="preserve"> </w:t>
            </w:r>
            <w:proofErr w:type="spellStart"/>
            <w:r w:rsidR="000A6A2C" w:rsidRPr="000A6A2C">
              <w:rPr>
                <w:rFonts w:eastAsia="微軟正黑體"/>
                <w:kern w:val="2"/>
                <w:lang w:eastAsia="zh-TW"/>
              </w:rPr>
              <w:t>Nanophotonics</w:t>
            </w:r>
            <w:proofErr w:type="spellEnd"/>
            <w:r w:rsidR="000A6A2C" w:rsidRPr="000A6A2C">
              <w:rPr>
                <w:rFonts w:eastAsia="微軟正黑體"/>
                <w:kern w:val="2"/>
                <w:lang w:eastAsia="zh-TW"/>
              </w:rPr>
              <w:t xml:space="preserve"> plasmonics-</w:t>
            </w:r>
            <w:r w:rsidR="002F2E6C">
              <w:rPr>
                <w:rFonts w:eastAsia="微軟正黑體"/>
                <w:kern w:val="2"/>
                <w:lang w:eastAsia="zh-TW"/>
              </w:rPr>
              <w:t>2</w:t>
            </w:r>
          </w:p>
        </w:tc>
      </w:tr>
      <w:tr w:rsidR="00082D9B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4178CDB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  <w:r w:rsidR="002F2E6C">
              <w:t xml:space="preserve"> </w:t>
            </w:r>
            <w:proofErr w:type="spellStart"/>
            <w:r w:rsidR="002F2E6C" w:rsidRPr="002F2E6C">
              <w:rPr>
                <w:rFonts w:eastAsia="微軟正黑體"/>
                <w:kern w:val="2"/>
              </w:rPr>
              <w:t>Nanophotonics</w:t>
            </w:r>
            <w:proofErr w:type="spellEnd"/>
            <w:r w:rsidR="002F2E6C" w:rsidRPr="002F2E6C">
              <w:rPr>
                <w:rFonts w:eastAsia="微軟正黑體"/>
                <w:kern w:val="2"/>
              </w:rPr>
              <w:t xml:space="preserve"> plasmonics-</w:t>
            </w:r>
            <w:r w:rsidR="002F2E6C">
              <w:rPr>
                <w:rFonts w:eastAsia="微軟正黑體"/>
                <w:kern w:val="2"/>
              </w:rPr>
              <w:t>3</w:t>
            </w:r>
          </w:p>
        </w:tc>
      </w:tr>
      <w:tr w:rsidR="00082D9B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23C3EB3" w:rsidR="00082D9B" w:rsidRPr="001C052A" w:rsidRDefault="00082D9B" w:rsidP="00082D9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  <w:r w:rsidR="002F2E6C">
              <w:rPr>
                <w:rFonts w:eastAsia="微軟正黑體"/>
                <w:kern w:val="2"/>
              </w:rPr>
              <w:t>Final Examination (oral presentation)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8B99179" w14:textId="77777777" w:rsidR="00B614EC" w:rsidRPr="001C052A" w:rsidRDefault="00B614EC" w:rsidP="00B614E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20EBC35" w:rsidR="002023EC" w:rsidRPr="001C052A" w:rsidRDefault="00B614EC" w:rsidP="00B614E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F913BC" w14:paraId="4871AEE3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B7A6902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621B57ED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E091602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4D9E2EAE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F913BC" w14:paraId="4BC04A52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C4F26F6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139685CF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109812E5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519939D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140BF42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BF61CEC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F913BC" w14:paraId="413C0A4E" w14:textId="77777777" w:rsidTr="00F913BC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AF01BA9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861DD23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D6D7124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9A3B5C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  <w:p w14:paraId="79E4049F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Knowing the modern features</w:t>
                  </w:r>
                </w:p>
                <w:p w14:paraId="3B923D8D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of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fluid dynamics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4501260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DDEA01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2670F63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C63FCE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E8A7876" w14:textId="6C3E2F6B" w:rsidR="00F913BC" w:rsidRDefault="002F2E6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F913BC" w14:paraId="069EF2A7" w14:textId="77777777" w:rsidTr="00F913B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7641818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FD2EAF" w14:textId="77777777" w:rsidR="00F913BC" w:rsidRPr="00F93F8A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2CF49A82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  <w:p w14:paraId="3ED84A23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Incubating student capabilities</w:t>
                  </w:r>
                </w:p>
                <w:p w14:paraId="0AA1038D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for reading literatures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E11DBBD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E27BF3E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5E0A8B6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6B4F2E9" w14:textId="28AE0645" w:rsidR="00F913BC" w:rsidRDefault="002F2E6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6D78F3D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913BC" w14:paraId="6900C9F8" w14:textId="77777777" w:rsidTr="00F913B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CF9BD4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999DF78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  <w:p w14:paraId="0F1ED510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Bridging lecture content to</w:t>
                  </w:r>
                </w:p>
                <w:p w14:paraId="2CE091D1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lastRenderedPageBreak/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modern research topics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46D1F2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F114A5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B1CEB6" w14:textId="37335C35" w:rsidR="00F913BC" w:rsidRDefault="002F2E6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45414FB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8B59422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913BC" w14:paraId="6666F566" w14:textId="77777777" w:rsidTr="00F913B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512567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A14D95A" w14:textId="77777777" w:rsidR="00F913BC" w:rsidRPr="00F93F8A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3CE331FB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  <w:p w14:paraId="73012D51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presentation skill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F34730A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A2E0EC9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3FA3227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062C2AF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7D3761C" w14:textId="4865409C" w:rsidR="00F913BC" w:rsidRDefault="002F2E6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F913BC" w14:paraId="6A3EF800" w14:textId="77777777" w:rsidTr="00F913BC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6E1331B" w14:textId="77777777" w:rsidR="00F913BC" w:rsidRDefault="00F913BC" w:rsidP="00F913B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58725F9C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  <w:p w14:paraId="36CAC47B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capability for</w:t>
                  </w:r>
                </w:p>
                <w:p w14:paraId="1BE0703D" w14:textId="77777777" w:rsidR="00F913BC" w:rsidRDefault="00F913BC" w:rsidP="00F913B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finding answer from discussion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C3E8791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5E36A04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066F8F8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969E994" w14:textId="6F6C74F7" w:rsidR="00F913BC" w:rsidRDefault="002F2E6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F32C867" w14:textId="77777777" w:rsidR="00F913BC" w:rsidRDefault="00F913BC" w:rsidP="00F913B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4B0E3500" w:rsidR="007311F5" w:rsidRPr="00F913BC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BE61B" w14:textId="77777777" w:rsidR="00D1553E" w:rsidRDefault="00D1553E" w:rsidP="00E9068E">
      <w:pPr>
        <w:spacing w:before="0"/>
      </w:pPr>
      <w:r>
        <w:separator/>
      </w:r>
    </w:p>
  </w:endnote>
  <w:endnote w:type="continuationSeparator" w:id="0">
    <w:p w14:paraId="0B20F359" w14:textId="77777777" w:rsidR="00D1553E" w:rsidRDefault="00D1553E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4D4C0" w14:textId="77777777" w:rsidR="00D1553E" w:rsidRDefault="00D1553E" w:rsidP="00E9068E">
      <w:pPr>
        <w:spacing w:before="0"/>
      </w:pPr>
      <w:r>
        <w:separator/>
      </w:r>
    </w:p>
  </w:footnote>
  <w:footnote w:type="continuationSeparator" w:id="0">
    <w:p w14:paraId="7CF62301" w14:textId="77777777" w:rsidR="00D1553E" w:rsidRDefault="00D1553E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C2F"/>
    <w:multiLevelType w:val="multilevel"/>
    <w:tmpl w:val="2AB6E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36423"/>
    <w:multiLevelType w:val="multilevel"/>
    <w:tmpl w:val="ADFE84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6842E8A"/>
    <w:multiLevelType w:val="multilevel"/>
    <w:tmpl w:val="25BC2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25D9A"/>
    <w:multiLevelType w:val="hybridMultilevel"/>
    <w:tmpl w:val="9E9403A0"/>
    <w:lvl w:ilvl="0" w:tplc="7518755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2061"/>
    <w:rsid w:val="00031690"/>
    <w:rsid w:val="000448FB"/>
    <w:rsid w:val="000503A8"/>
    <w:rsid w:val="0007415C"/>
    <w:rsid w:val="0008209B"/>
    <w:rsid w:val="00082D9B"/>
    <w:rsid w:val="00096FA6"/>
    <w:rsid w:val="000A4CF7"/>
    <w:rsid w:val="000A6A2C"/>
    <w:rsid w:val="000B5D10"/>
    <w:rsid w:val="000C472E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1E4FA8"/>
    <w:rsid w:val="002023EC"/>
    <w:rsid w:val="00210E36"/>
    <w:rsid w:val="00213958"/>
    <w:rsid w:val="00214F43"/>
    <w:rsid w:val="00231672"/>
    <w:rsid w:val="002353F2"/>
    <w:rsid w:val="002377E5"/>
    <w:rsid w:val="00242C9E"/>
    <w:rsid w:val="00245093"/>
    <w:rsid w:val="00262E65"/>
    <w:rsid w:val="00265C6C"/>
    <w:rsid w:val="00266059"/>
    <w:rsid w:val="002712DA"/>
    <w:rsid w:val="002718CF"/>
    <w:rsid w:val="00275662"/>
    <w:rsid w:val="002800B3"/>
    <w:rsid w:val="00286DDE"/>
    <w:rsid w:val="002D309E"/>
    <w:rsid w:val="002F2E6C"/>
    <w:rsid w:val="0030774A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10394"/>
    <w:rsid w:val="004255C4"/>
    <w:rsid w:val="004424E7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A47C9"/>
    <w:rsid w:val="005D00B8"/>
    <w:rsid w:val="005E5E9E"/>
    <w:rsid w:val="006202DB"/>
    <w:rsid w:val="006620EE"/>
    <w:rsid w:val="006749F5"/>
    <w:rsid w:val="006827BB"/>
    <w:rsid w:val="006B376A"/>
    <w:rsid w:val="006D11E4"/>
    <w:rsid w:val="007311F5"/>
    <w:rsid w:val="00753EE9"/>
    <w:rsid w:val="007607E9"/>
    <w:rsid w:val="007A2A12"/>
    <w:rsid w:val="007C04DC"/>
    <w:rsid w:val="007D4DC5"/>
    <w:rsid w:val="007F645B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3216D"/>
    <w:rsid w:val="009323A7"/>
    <w:rsid w:val="00937A8C"/>
    <w:rsid w:val="009533AF"/>
    <w:rsid w:val="009636D0"/>
    <w:rsid w:val="00965BE9"/>
    <w:rsid w:val="0099199D"/>
    <w:rsid w:val="009A17F2"/>
    <w:rsid w:val="009D6492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AC4528"/>
    <w:rsid w:val="00AE43CD"/>
    <w:rsid w:val="00AF04EC"/>
    <w:rsid w:val="00B23992"/>
    <w:rsid w:val="00B3289C"/>
    <w:rsid w:val="00B341BD"/>
    <w:rsid w:val="00B41D5C"/>
    <w:rsid w:val="00B46395"/>
    <w:rsid w:val="00B614EC"/>
    <w:rsid w:val="00BA0F40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C4933"/>
    <w:rsid w:val="00CE72FE"/>
    <w:rsid w:val="00D1553E"/>
    <w:rsid w:val="00D15EB5"/>
    <w:rsid w:val="00D346A1"/>
    <w:rsid w:val="00D60A18"/>
    <w:rsid w:val="00D72526"/>
    <w:rsid w:val="00D83835"/>
    <w:rsid w:val="00D83DB5"/>
    <w:rsid w:val="00DB1D06"/>
    <w:rsid w:val="00DD4F0C"/>
    <w:rsid w:val="00DE18A3"/>
    <w:rsid w:val="00DF48AC"/>
    <w:rsid w:val="00E05130"/>
    <w:rsid w:val="00E07525"/>
    <w:rsid w:val="00E15F38"/>
    <w:rsid w:val="00E70A19"/>
    <w:rsid w:val="00E9068E"/>
    <w:rsid w:val="00EC360C"/>
    <w:rsid w:val="00EC60D9"/>
    <w:rsid w:val="00F06765"/>
    <w:rsid w:val="00F215AE"/>
    <w:rsid w:val="00F22674"/>
    <w:rsid w:val="00F345EA"/>
    <w:rsid w:val="00F75052"/>
    <w:rsid w:val="00F913BC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929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cch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0484-71DC-4B00-8B04-B8576E12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2024-12-20T07:34:00Z</dcterms:created>
  <dcterms:modified xsi:type="dcterms:W3CDTF">2025-11-26T00:58:00Z</dcterms:modified>
</cp:coreProperties>
</file>