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9"/>
        <w:gridCol w:w="3431"/>
        <w:gridCol w:w="30"/>
        <w:gridCol w:w="2087"/>
        <w:gridCol w:w="34"/>
        <w:gridCol w:w="2986"/>
      </w:tblGrid>
      <w:tr w:rsidR="009115FB" w:rsidRPr="001C052A" w14:paraId="2CEA8368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C1021" w14:textId="7777777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89871ED" w14:textId="30E3AA5D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0561CC6" w:rsidR="009115FB" w:rsidRPr="001C052A" w:rsidRDefault="009115FB" w:rsidP="00B462E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2203021</w:t>
            </w:r>
          </w:p>
        </w:tc>
        <w:tc>
          <w:tcPr>
            <w:tcW w:w="984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9115FB" w:rsidRPr="001C052A" w:rsidRDefault="009115FB" w:rsidP="0086714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9115FB" w:rsidRPr="001C052A" w:rsidRDefault="009115FB" w:rsidP="0086714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9115FB" w:rsidRPr="00730AA7" w:rsidRDefault="009115FB" w:rsidP="00B462E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462475" w14:paraId="637E4C4D" w14:textId="77777777" w:rsidTr="00462475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62FC44" w14:textId="77777777" w:rsidR="00462475" w:rsidRDefault="00462475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0749FE9" w14:textId="77777777" w:rsidR="00462475" w:rsidRPr="0074142F" w:rsidRDefault="00462475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277401" w14:textId="77777777" w:rsidR="00462475" w:rsidRDefault="004624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59A1358" w14:textId="77777777" w:rsidR="00462475" w:rsidRDefault="004624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2E4EDA9" w14:textId="77777777" w:rsidR="00462475" w:rsidRPr="00051F86" w:rsidRDefault="004624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9115FB" w:rsidRPr="001C052A" w14:paraId="69F99CC7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F7012D" w14:textId="290B8C9A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F71438A" w:rsidR="009115FB" w:rsidRPr="001C052A" w:rsidRDefault="009115FB" w:rsidP="00B462E9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量子物理（一）</w:t>
            </w:r>
          </w:p>
        </w:tc>
      </w:tr>
      <w:tr w:rsidR="009115FB" w:rsidRPr="00B836C3" w14:paraId="30021486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1DA91E" w14:textId="7777777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750A3D1F" w14:textId="7BEDAE13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72BC7B6" w:rsidR="009115FB" w:rsidRPr="006028FD" w:rsidRDefault="009115FB" w:rsidP="00B462E9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 w:hint="eastAsia"/>
                <w:color w:val="000000"/>
              </w:rPr>
              <w:t xml:space="preserve">    </w:t>
            </w:r>
            <w:r>
              <w:rPr>
                <w:rFonts w:ascii="PMingLiu" w:hAnsi="PMingLiu"/>
                <w:color w:val="000000"/>
              </w:rPr>
              <w:t xml:space="preserve">Quantum Physics </w:t>
            </w:r>
            <w:proofErr w:type="gramStart"/>
            <w:r>
              <w:rPr>
                <w:rFonts w:ascii="PMingLiu" w:hAnsi="PMingLiu"/>
                <w:color w:val="000000"/>
              </w:rPr>
              <w:t xml:space="preserve">( </w:t>
            </w:r>
            <w:r>
              <w:rPr>
                <w:rFonts w:ascii="Times New Roman" w:hAnsi="Times New Roman" w:cs="Times New Roman"/>
                <w:color w:val="000000"/>
              </w:rPr>
              <w:t>І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)</w:t>
            </w:r>
          </w:p>
        </w:tc>
      </w:tr>
      <w:tr w:rsidR="00061888" w:rsidRPr="001C052A" w14:paraId="585712CF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C085C" w14:textId="77777777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72C7091" w14:textId="550468DF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9E3A076" w:rsidR="00061888" w:rsidRPr="001C052A" w:rsidRDefault="00061888" w:rsidP="0006188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4F6E29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6"/>
            </w:tblGrid>
            <w:tr w:rsidR="00061888" w:rsidRPr="001C052A" w14:paraId="3706BDF2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07656111" w14:textId="77777777" w:rsidR="00061888" w:rsidRPr="001C052A" w:rsidRDefault="00061888" w:rsidP="0006188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7496DD1" w14:textId="77777777" w:rsidR="00061888" w:rsidRPr="001C052A" w:rsidRDefault="00061888" w:rsidP="0006188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061888" w:rsidRPr="001C052A" w:rsidRDefault="00061888" w:rsidP="0006188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0AE9684" w:rsidR="00061888" w:rsidRPr="001C052A" w:rsidRDefault="00061888" w:rsidP="0006188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061888" w:rsidRPr="001C052A" w14:paraId="028A81B4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89FDCA" w14:textId="77777777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2AAB949" w14:textId="47D9D6C5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061888" w:rsidRPr="001C052A" w:rsidRDefault="00061888" w:rsidP="0006188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89E1AB6" w14:textId="77777777" w:rsidR="00061888" w:rsidRPr="00C659A2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6473B0FA" w:rsidR="00061888" w:rsidRPr="001B56F5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66E5C17" w14:textId="77777777" w:rsidR="00061888" w:rsidRPr="008768F8" w:rsidRDefault="00061888" w:rsidP="00061888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rPr>
                <w:rFonts w:hint="eastAsia"/>
              </w:rPr>
              <w:t xml:space="preserve"> </w:t>
            </w: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10D1080" w:rsidR="00061888" w:rsidRPr="00730AA7" w:rsidRDefault="00061888" w:rsidP="0006188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061888" w:rsidRPr="001C052A" w14:paraId="3B83ECC7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119BD" w14:textId="77777777" w:rsidR="00061888" w:rsidRPr="009A29DC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DA16B90" w14:textId="2A1516CB" w:rsidR="00061888" w:rsidRPr="009A29DC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CE3B098" w:rsidR="00061888" w:rsidRDefault="00AB7C2A" w:rsidP="0006188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8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C0125D9" w14:textId="77777777" w:rsidR="00061888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3159B39" w:rsidR="00061888" w:rsidRPr="001C052A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32EB7EB" w:rsidR="00061888" w:rsidRDefault="00AB7C2A" w:rsidP="0006188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07</w:t>
            </w:r>
          </w:p>
        </w:tc>
      </w:tr>
      <w:tr w:rsidR="00061888" w:rsidRPr="001C052A" w14:paraId="326474A0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1826E4" w14:textId="77777777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3D06EF0" w14:textId="6798B4B2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930004A" w:rsidR="00061888" w:rsidRPr="001C052A" w:rsidRDefault="00061888" w:rsidP="0006188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包健華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1110B75" w14:textId="77777777" w:rsidR="00061888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5F15C06" w:rsidR="00061888" w:rsidRPr="001C052A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4A30201" w:rsidR="00061888" w:rsidRPr="001C052A" w:rsidRDefault="009C7B31" w:rsidP="00061888">
            <w:pPr>
              <w:spacing w:line="320" w:lineRule="exact"/>
              <w:rPr>
                <w:rFonts w:eastAsia="微軟正黑體"/>
              </w:rPr>
            </w:pPr>
            <w:hyperlink r:id="rId8" w:tooltip="phychp@ccu.edu.tw" w:history="1">
              <w:r w:rsidR="00061888">
                <w:rPr>
                  <w:rStyle w:val="ab"/>
                  <w:rFonts w:ascii="微軟正黑體" w:eastAsia="微軟正黑體" w:hAnsi="微軟正黑體" w:hint="eastAsia"/>
                  <w:sz w:val="20"/>
                  <w:shd w:val="clear" w:color="auto" w:fill="E6F0FF"/>
                </w:rPr>
                <w:t>phychp@ccu.edu.tw</w:t>
              </w:r>
            </w:hyperlink>
          </w:p>
        </w:tc>
      </w:tr>
      <w:tr w:rsidR="00061888" w:rsidRPr="001C052A" w14:paraId="52671300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58EF85" w14:textId="77777777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03B6039" w14:textId="36E9BFDF" w:rsidR="00061888" w:rsidRPr="001C052A" w:rsidRDefault="00061888" w:rsidP="0006188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061888" w:rsidRPr="001C052A" w:rsidRDefault="00061888" w:rsidP="0006188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85894BB" w14:textId="77777777" w:rsidR="00061888" w:rsidRPr="001C052A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394EA3EC" w:rsidR="00061888" w:rsidRPr="001C052A" w:rsidRDefault="00061888" w:rsidP="0006188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061888" w:rsidRPr="001C052A" w:rsidRDefault="00061888" w:rsidP="00061888">
            <w:pPr>
              <w:spacing w:line="320" w:lineRule="exact"/>
              <w:rPr>
                <w:rFonts w:eastAsia="微軟正黑體"/>
              </w:rPr>
            </w:pPr>
          </w:p>
        </w:tc>
      </w:tr>
      <w:tr w:rsidR="009115FB" w:rsidRPr="001C052A" w14:paraId="1855F7A7" w14:textId="77777777" w:rsidTr="00462475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29FD5" w14:textId="7777777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86A95B5" w14:textId="7777777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D1EE703" w14:textId="7BFE06BC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9115FB" w:rsidRPr="001C052A" w:rsidRDefault="009115FB" w:rsidP="00B462E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9115FB" w:rsidRPr="001C052A" w:rsidRDefault="009115FB" w:rsidP="00B462E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9115FB" w:rsidRPr="001C052A" w14:paraId="2E121AC8" w14:textId="77777777" w:rsidTr="00462475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554D29" w14:textId="7777777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222C33D4" w14:textId="727E0944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57C5EA" w14:textId="77777777" w:rsidR="009115FB" w:rsidRPr="00E7763E" w:rsidRDefault="009115FB" w:rsidP="00B462E9">
            <w:pPr>
              <w:numPr>
                <w:ilvl w:val="0"/>
                <w:numId w:val="7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Emergence of Quantum Physics</w:t>
            </w:r>
          </w:p>
          <w:p w14:paraId="555070AE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Blackbody Radiation </w:t>
            </w:r>
          </w:p>
          <w:p w14:paraId="09FFB8C7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Bohr Atom (the Correspondence Principle)         </w:t>
            </w:r>
          </w:p>
          <w:p w14:paraId="32605D8C" w14:textId="77777777" w:rsidR="009115FB" w:rsidRPr="00E7763E" w:rsidRDefault="009115FB" w:rsidP="00B462E9">
            <w:pPr>
              <w:numPr>
                <w:ilvl w:val="0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Wave Particle Duality, Probability and the Schrödinger Equation (Wave Mechanics) </w:t>
            </w:r>
          </w:p>
          <w:p w14:paraId="35F180A1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Classical vs. Wave mechanics (duality of particle and wave) </w:t>
            </w:r>
          </w:p>
          <w:p w14:paraId="0CE05FE2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The </w:t>
            </w:r>
            <w:proofErr w:type="gramStart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Probability  Interpretation</w:t>
            </w:r>
            <w:proofErr w:type="gramEnd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of the Wave Function </w:t>
            </w:r>
          </w:p>
          <w:p w14:paraId="16CB07D8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Schrödinger equation</w:t>
            </w:r>
          </w:p>
          <w:p w14:paraId="05F8996D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Probability </w:t>
            </w:r>
          </w:p>
          <w:p w14:paraId="2D22A7AA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Normalization </w:t>
            </w:r>
          </w:p>
          <w:p w14:paraId="25870006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Momentum </w:t>
            </w:r>
          </w:p>
          <w:p w14:paraId="4718A2CC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Uncertainty Principle  </w:t>
            </w:r>
          </w:p>
          <w:p w14:paraId="172A43EE" w14:textId="77777777" w:rsidR="009115FB" w:rsidRPr="00E7763E" w:rsidRDefault="009115FB" w:rsidP="00B462E9">
            <w:pPr>
              <w:numPr>
                <w:ilvl w:val="1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Wave Function in Momentum Space</w:t>
            </w:r>
          </w:p>
          <w:p w14:paraId="4B7CB071" w14:textId="77777777" w:rsidR="009115FB" w:rsidRPr="00E7763E" w:rsidRDefault="009115FB" w:rsidP="00B462E9">
            <w:pPr>
              <w:numPr>
                <w:ilvl w:val="0"/>
                <w:numId w:val="8"/>
              </w:numPr>
              <w:spacing w:before="0" w:beforeAutospacing="0"/>
              <w:ind w:leftChars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Time-independent Schrödinger Equation (1D cases)</w:t>
            </w:r>
          </w:p>
          <w:p w14:paraId="0989B49F" w14:textId="77777777" w:rsidR="009115FB" w:rsidRPr="00E7763E" w:rsidRDefault="009115FB" w:rsidP="00B462E9">
            <w:pPr>
              <w:numPr>
                <w:ilvl w:val="0"/>
                <w:numId w:val="9"/>
              </w:numPr>
              <w:spacing w:before="0" w:beforeAutospacing="0"/>
              <w:ind w:leftChars="0" w:left="180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Stationary States The free particle</w:t>
            </w:r>
          </w:p>
          <w:p w14:paraId="02E2FBE0" w14:textId="77777777" w:rsidR="009115FB" w:rsidRPr="00E7763E" w:rsidRDefault="009115FB" w:rsidP="00B462E9">
            <w:pPr>
              <w:numPr>
                <w:ilvl w:val="0"/>
                <w:numId w:val="9"/>
              </w:numPr>
              <w:spacing w:before="0" w:beforeAutospacing="0"/>
              <w:ind w:leftChars="0" w:left="180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free particle</w:t>
            </w:r>
          </w:p>
          <w:p w14:paraId="58E5781F" w14:textId="77777777" w:rsidR="009115FB" w:rsidRPr="00E7763E" w:rsidRDefault="009115FB" w:rsidP="00B462E9">
            <w:pPr>
              <w:numPr>
                <w:ilvl w:val="0"/>
                <w:numId w:val="9"/>
              </w:numPr>
              <w:spacing w:before="0" w:beforeAutospacing="0"/>
              <w:ind w:leftChars="0" w:left="180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Infinite Square Well Potential </w:t>
            </w:r>
          </w:p>
          <w:p w14:paraId="763E1C7F" w14:textId="77777777" w:rsidR="009115FB" w:rsidRPr="00E7763E" w:rsidRDefault="009115FB" w:rsidP="00B462E9">
            <w:pPr>
              <w:numPr>
                <w:ilvl w:val="0"/>
                <w:numId w:val="9"/>
              </w:numPr>
              <w:spacing w:before="0" w:beforeAutospacing="0"/>
              <w:ind w:leftChars="0" w:left="180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Harmonic Oscillator </w:t>
            </w:r>
          </w:p>
          <w:p w14:paraId="47D81FCF" w14:textId="77777777" w:rsidR="009115FB" w:rsidRPr="00E7763E" w:rsidRDefault="009115FB" w:rsidP="00B462E9">
            <w:pPr>
              <w:numPr>
                <w:ilvl w:val="0"/>
                <w:numId w:val="9"/>
              </w:numPr>
              <w:spacing w:before="0" w:beforeAutospacing="0"/>
              <w:ind w:leftChars="0" w:left="180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Delta-function potential and its related problems</w:t>
            </w:r>
          </w:p>
          <w:p w14:paraId="20A99BEB" w14:textId="7371786A" w:rsidR="009115FB" w:rsidRPr="00E7763E" w:rsidRDefault="009115FB" w:rsidP="00B462E9">
            <w:pPr>
              <w:numPr>
                <w:ilvl w:val="0"/>
                <w:numId w:val="9"/>
              </w:numPr>
              <w:spacing w:before="0" w:beforeAutospacing="0"/>
              <w:ind w:leftChars="0" w:left="180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Finite Square Well Potential: Potential Well, Potential step, and Potential barrier</w:t>
            </w:r>
          </w:p>
          <w:p w14:paraId="15C86A04" w14:textId="77777777" w:rsidR="009115FB" w:rsidRPr="00E7763E" w:rsidRDefault="009115FB" w:rsidP="00B462E9">
            <w:pPr>
              <w:numPr>
                <w:ilvl w:val="0"/>
                <w:numId w:val="10"/>
              </w:numPr>
              <w:spacing w:before="0" w:beforeAutospacing="0"/>
              <w:ind w:leftChars="0" w:left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Formalism for Quantum Mechanics </w:t>
            </w:r>
          </w:p>
          <w:p w14:paraId="4497CBA2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Stern-Gerlach experiment </w:t>
            </w:r>
          </w:p>
          <w:p w14:paraId="0E6BD7D4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lastRenderedPageBreak/>
              <w:t xml:space="preserve">Quantum states: the space of states; </w:t>
            </w:r>
            <w:proofErr w:type="spellStart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kets</w:t>
            </w:r>
            <w:proofErr w:type="spellEnd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and its dual space-bras; inner product. </w:t>
            </w:r>
          </w:p>
          <w:p w14:paraId="5A43888D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Operators, Eigenstates, Hermitian operators. </w:t>
            </w:r>
          </w:p>
          <w:p w14:paraId="6BDA6D53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Base </w:t>
            </w:r>
            <w:proofErr w:type="spellStart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kets</w:t>
            </w:r>
            <w:proofErr w:type="spellEnd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 Completeness, and Expansion in Eigenstates. </w:t>
            </w:r>
          </w:p>
          <w:p w14:paraId="35A0FCC5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Matrix Representation. </w:t>
            </w:r>
          </w:p>
          <w:p w14:paraId="7C0DCF87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Change of Basis </w:t>
            </w:r>
          </w:p>
          <w:p w14:paraId="38DF7690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Postulates of Quantum Mechanics. </w:t>
            </w:r>
          </w:p>
          <w:p w14:paraId="6FD44A5A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Measurements, Observables, Commuting Operator, Compatible Observables, </w:t>
            </w:r>
            <w:proofErr w:type="spellStart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Noncommuting</w:t>
            </w:r>
            <w:proofErr w:type="spellEnd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Operators, Incompatible Observables. </w:t>
            </w:r>
          </w:p>
          <w:p w14:paraId="3E3548F2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Uncertainty Relations. </w:t>
            </w:r>
          </w:p>
          <w:p w14:paraId="1D3C3545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Position, Momentum, and Translation. </w:t>
            </w:r>
          </w:p>
          <w:p w14:paraId="29D46B3D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Wave Functions in Position and Momentum Space </w:t>
            </w:r>
          </w:p>
          <w:p w14:paraId="5522CE76" w14:textId="77777777" w:rsidR="009115FB" w:rsidRPr="00E7763E" w:rsidRDefault="009115FB" w:rsidP="00B462E9">
            <w:pPr>
              <w:numPr>
                <w:ilvl w:val="0"/>
                <w:numId w:val="11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Application to Harmonic Oscillators</w:t>
            </w:r>
          </w:p>
          <w:p w14:paraId="335773C3" w14:textId="77777777" w:rsidR="009115FB" w:rsidRPr="00E7763E" w:rsidRDefault="009115FB" w:rsidP="00B462E9">
            <w:pPr>
              <w:numPr>
                <w:ilvl w:val="0"/>
                <w:numId w:val="12"/>
              </w:numPr>
              <w:spacing w:before="0" w:beforeAutospacing="0"/>
              <w:ind w:leftChars="0" w:left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Quantum Dynamics</w:t>
            </w:r>
          </w:p>
          <w:p w14:paraId="3D00D316" w14:textId="77777777" w:rsidR="009115FB" w:rsidRPr="00E7763E" w:rsidRDefault="009115FB" w:rsidP="00B462E9">
            <w:pPr>
              <w:numPr>
                <w:ilvl w:val="0"/>
                <w:numId w:val="13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Time Dependence and Classical limit </w:t>
            </w:r>
          </w:p>
          <w:p w14:paraId="63AEC543" w14:textId="77777777" w:rsidR="009115FB" w:rsidRPr="00E7763E" w:rsidRDefault="009115FB" w:rsidP="00B462E9">
            <w:pPr>
              <w:numPr>
                <w:ilvl w:val="0"/>
                <w:numId w:val="13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Time Evolution Operator </w:t>
            </w:r>
          </w:p>
          <w:p w14:paraId="42D2861D" w14:textId="77777777" w:rsidR="009115FB" w:rsidRPr="00E7763E" w:rsidRDefault="009115FB" w:rsidP="00B462E9">
            <w:pPr>
              <w:numPr>
                <w:ilvl w:val="0"/>
                <w:numId w:val="13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Energy-time Uncertainly Relation </w:t>
            </w:r>
          </w:p>
          <w:p w14:paraId="216FDA28" w14:textId="77777777" w:rsidR="009115FB" w:rsidRPr="00E7763E" w:rsidRDefault="009115FB" w:rsidP="00B462E9">
            <w:pPr>
              <w:numPr>
                <w:ilvl w:val="0"/>
                <w:numId w:val="13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Schrodinger Picture versus Heisenberg Picture </w:t>
            </w:r>
          </w:p>
          <w:p w14:paraId="5B10FF48" w14:textId="77777777" w:rsidR="009115FB" w:rsidRPr="00E7763E" w:rsidRDefault="009115FB" w:rsidP="00B462E9">
            <w:pPr>
              <w:numPr>
                <w:ilvl w:val="0"/>
                <w:numId w:val="13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Evolution of Momentum and Position in Harmonic Oscillator </w:t>
            </w:r>
          </w:p>
          <w:p w14:paraId="361E4353" w14:textId="77777777" w:rsidR="009115FB" w:rsidRPr="00E7763E" w:rsidRDefault="009115FB" w:rsidP="00B462E9">
            <w:pPr>
              <w:numPr>
                <w:ilvl w:val="0"/>
                <w:numId w:val="13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Coherent States of Harmonic Oscillator</w:t>
            </w:r>
          </w:p>
          <w:p w14:paraId="42099CA5" w14:textId="77777777" w:rsidR="009115FB" w:rsidRPr="00E7763E" w:rsidRDefault="009115FB" w:rsidP="00B462E9">
            <w:pPr>
              <w:numPr>
                <w:ilvl w:val="0"/>
                <w:numId w:val="14"/>
              </w:numPr>
              <w:spacing w:before="0" w:beforeAutospacing="0"/>
              <w:ind w:leftChars="0" w:left="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Spin and addition of angular momentum</w:t>
            </w:r>
          </w:p>
          <w:p w14:paraId="05CB4973" w14:textId="77777777" w:rsidR="009115FB" w:rsidRPr="00E7763E" w:rsidRDefault="009115FB" w:rsidP="00B462E9">
            <w:pPr>
              <w:numPr>
                <w:ilvl w:val="0"/>
                <w:numId w:val="15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Spin: from Classical to Quantum Mechanics</w:t>
            </w:r>
          </w:p>
          <w:p w14:paraId="62CD7CA5" w14:textId="77777777" w:rsidR="009115FB" w:rsidRPr="00E7763E" w:rsidRDefault="009115FB" w:rsidP="00B462E9">
            <w:pPr>
              <w:numPr>
                <w:ilvl w:val="0"/>
                <w:numId w:val="15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Eigenstates of spin 1/2 </w:t>
            </w:r>
          </w:p>
          <w:p w14:paraId="0033A4CE" w14:textId="77777777" w:rsidR="009115FB" w:rsidRPr="00E7763E" w:rsidRDefault="009115FB" w:rsidP="00B462E9">
            <w:pPr>
              <w:numPr>
                <w:ilvl w:val="0"/>
                <w:numId w:val="15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Spin Precession and NMR </w:t>
            </w:r>
          </w:p>
          <w:p w14:paraId="584624A9" w14:textId="77777777" w:rsidR="009115FB" w:rsidRPr="00E7763E" w:rsidRDefault="009115FB" w:rsidP="00B462E9">
            <w:pPr>
              <w:numPr>
                <w:ilvl w:val="0"/>
                <w:numId w:val="15"/>
              </w:numPr>
              <w:spacing w:before="0" w:beforeAutospacing="0"/>
              <w:ind w:leftChars="0" w:left="1440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Paramagnetic Resonance </w:t>
            </w:r>
          </w:p>
          <w:p w14:paraId="414924B5" w14:textId="7D23CB5F" w:rsidR="009115FB" w:rsidRPr="00E7763E" w:rsidRDefault="009115FB" w:rsidP="00B462E9">
            <w:pPr>
              <w:numPr>
                <w:ilvl w:val="0"/>
                <w:numId w:val="16"/>
              </w:numPr>
              <w:spacing w:before="0" w:beforeAutospacing="0"/>
              <w:ind w:leftChars="0" w:left="322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Addition of Angular Momentum</w:t>
            </w:r>
          </w:p>
        </w:tc>
      </w:tr>
      <w:tr w:rsidR="009115FB" w:rsidRPr="001C052A" w14:paraId="4E1DA0BC" w14:textId="77777777" w:rsidTr="00462475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65AB4" w14:textId="7777777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1B40CA9B" w14:textId="0842A5E7" w:rsidR="009115FB" w:rsidRPr="001C052A" w:rsidRDefault="009115FB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092CD46" w:rsidR="009115FB" w:rsidRPr="00E7763E" w:rsidRDefault="009115FB" w:rsidP="00B462E9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 xml:space="preserve">This is the first part of </w:t>
            </w:r>
            <w:proofErr w:type="gramStart"/>
            <w:r>
              <w:rPr>
                <w:rFonts w:ascii="PMingLiu" w:hAnsi="PMingLiu"/>
                <w:color w:val="000000"/>
              </w:rPr>
              <w:t>one year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course for Quantum Physics. Together 2203021 and 2203022 cover quantum physics with applications drawn from modern physics. The first part will mainly focus on the basic concepts of quantum physics.</w:t>
            </w:r>
          </w:p>
        </w:tc>
      </w:tr>
      <w:tr w:rsidR="009115FB" w:rsidRPr="001C052A" w14:paraId="07DFDDA4" w14:textId="77777777" w:rsidTr="00462475">
        <w:trPr>
          <w:trHeight w:val="215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341B7" w14:textId="77777777" w:rsidR="009115FB" w:rsidRPr="001C052A" w:rsidRDefault="009115FB" w:rsidP="005711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40B0DDCD" w14:textId="4C5D0F87" w:rsidR="009115FB" w:rsidRPr="001C052A" w:rsidRDefault="009115FB" w:rsidP="0057110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9D7018" w14:textId="77777777" w:rsidR="009115FB" w:rsidRPr="00E7763E" w:rsidRDefault="009115FB" w:rsidP="00B462E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</w:t>
            </w:r>
            <w:r w:rsidRPr="00E7763E">
              <w:rPr>
                <w:rFonts w:ascii="PMingLiu" w:eastAsia="新細明體" w:hAnsi="PMingLiu" w:cs="新細明體"/>
                <w:i/>
                <w:iCs/>
                <w:color w:val="000000"/>
                <w:szCs w:val="24"/>
                <w:lang w:eastAsia="zh-TW"/>
              </w:rPr>
              <w:t>Quantum Physics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 3</w:t>
            </w:r>
            <w:r w:rsidRPr="00E7763E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rd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proofErr w:type="gramStart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Ed,.</w:t>
            </w:r>
            <w:proofErr w:type="gramEnd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Stephen </w:t>
            </w:r>
            <w:proofErr w:type="spellStart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Gasiorowicz</w:t>
            </w:r>
            <w:proofErr w:type="spellEnd"/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 (Wiley, 2003).</w:t>
            </w:r>
          </w:p>
          <w:p w14:paraId="46E20A95" w14:textId="77777777" w:rsidR="009115FB" w:rsidRPr="00E7763E" w:rsidRDefault="009115FB" w:rsidP="00B462E9">
            <w:pPr>
              <w:spacing w:before="0" w:beforeAutospacing="0"/>
              <w:ind w:leftChars="0" w:left="0" w:hanging="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</w:t>
            </w:r>
            <w:r w:rsidRPr="00E7763E">
              <w:rPr>
                <w:rFonts w:ascii="PMingLiu" w:eastAsia="新細明體" w:hAnsi="PMingLiu" w:cs="新細明體"/>
                <w:i/>
                <w:iCs/>
                <w:color w:val="000000"/>
                <w:szCs w:val="24"/>
                <w:lang w:eastAsia="zh-TW"/>
              </w:rPr>
              <w:t>.Introductions to Quantum Mechanics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 2</w:t>
            </w:r>
            <w:r w:rsidRPr="00E7763E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nd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Ed., David J. Griffiths, (Prentice-Hall, Inc., 2004).</w:t>
            </w:r>
          </w:p>
          <w:p w14:paraId="68BCC301" w14:textId="77777777" w:rsidR="009115FB" w:rsidRPr="00E7763E" w:rsidRDefault="009115FB" w:rsidP="00B462E9">
            <w:pPr>
              <w:spacing w:before="0" w:beforeAutospacing="0"/>
              <w:ind w:leftChars="0" w:left="0" w:hanging="24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</w:t>
            </w:r>
            <w:r w:rsidRPr="00E7763E">
              <w:rPr>
                <w:rFonts w:ascii="PMingLiu" w:eastAsia="新細明體" w:hAnsi="PMingLiu" w:cs="新細明體"/>
                <w:i/>
                <w:iCs/>
                <w:color w:val="000000"/>
                <w:szCs w:val="24"/>
                <w:lang w:eastAsia="zh-TW"/>
              </w:rPr>
              <w:t>.Principles to Quantum Mechanics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 2</w:t>
            </w:r>
            <w:r w:rsidRPr="00E7763E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nd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Ed., R. Shankar (Plenum Press, 1994).</w:t>
            </w:r>
          </w:p>
          <w:p w14:paraId="2C91E524" w14:textId="77777777" w:rsidR="009115FB" w:rsidRPr="00E7763E" w:rsidRDefault="009115FB" w:rsidP="00B462E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</w:t>
            </w:r>
            <w:r w:rsidRPr="00E7763E">
              <w:rPr>
                <w:rFonts w:ascii="PMingLiu" w:eastAsia="新細明體" w:hAnsi="PMingLiu" w:cs="新細明體"/>
                <w:i/>
                <w:iCs/>
                <w:color w:val="000000"/>
                <w:szCs w:val="24"/>
                <w:lang w:eastAsia="zh-TW"/>
              </w:rPr>
              <w:t>.Modern Quantum Mechanics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, 2</w:t>
            </w:r>
            <w:r w:rsidRPr="00E7763E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nd</w:t>
            </w:r>
            <w:r w:rsidRPr="00E7763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Ed., J. J. Sakura (Addison-Wesley,</w:t>
            </w:r>
          </w:p>
          <w:p w14:paraId="60AA7F3B" w14:textId="332CD85E" w:rsidR="009115FB" w:rsidRPr="00E7763E" w:rsidRDefault="009115FB" w:rsidP="00B462E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7763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B462E9" w:rsidRPr="001C052A" w14:paraId="68A248FE" w14:textId="77777777" w:rsidTr="009115FB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869899" w14:textId="7777777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7398D7B5" w:rsidR="00B462E9" w:rsidRPr="001C052A" w:rsidRDefault="00B462E9" w:rsidP="00B462E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83A09A9" w:rsidR="00B462E9" w:rsidRDefault="00B462E9" w:rsidP="00B462E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B462E9" w:rsidRPr="00730AA7" w:rsidRDefault="00B462E9" w:rsidP="00B462E9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B462E9" w:rsidRPr="001C052A" w14:paraId="285EAB32" w14:textId="77777777" w:rsidTr="009115FB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49A9E" w14:textId="7777777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61BC8D3E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EFE3A08" w:rsidR="00B462E9" w:rsidRPr="00730AA7" w:rsidRDefault="00B462E9" w:rsidP="00B462E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B462E9" w:rsidRPr="00730AA7" w:rsidRDefault="00B462E9" w:rsidP="00B462E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B462E9" w:rsidRPr="001C052A" w14:paraId="7A7DFB0B" w14:textId="77777777" w:rsidTr="009115FB">
        <w:trPr>
          <w:trHeight w:val="202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AF751" w14:textId="7777777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13FEBBB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BF741EC" w:rsidR="00B462E9" w:rsidRPr="00730AA7" w:rsidRDefault="00B462E9" w:rsidP="00B462E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30%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 w:hint="eastAsia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0%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2B99A3A8" w14:textId="21F2629C" w:rsidR="00B462E9" w:rsidRDefault="00B462E9" w:rsidP="00B462E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029DD05" w:rsidR="00B462E9" w:rsidRPr="006F176E" w:rsidRDefault="00B462E9" w:rsidP="00B462E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  <w:r>
              <w:rPr>
                <w:rFonts w:ascii="PMingLiu" w:hAnsi="PMingLiu"/>
                <w:color w:val="000000"/>
              </w:rPr>
              <w:t> </w:t>
            </w:r>
          </w:p>
        </w:tc>
      </w:tr>
      <w:tr w:rsidR="00B462E9" w:rsidRPr="001C052A" w14:paraId="4D1A228C" w14:textId="77777777" w:rsidTr="009115FB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40753C" w14:textId="7777777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1DE5E41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A2AB5A2" w:rsidR="00B462E9" w:rsidRPr="00730AA7" w:rsidRDefault="00B462E9" w:rsidP="00B462E9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9115FB" w:rsidRPr="00251E57" w14:paraId="1D0D01C8" w14:textId="77777777" w:rsidTr="00E80556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0AEF0" w14:textId="77777777" w:rsidR="009115FB" w:rsidRPr="001C052A" w:rsidRDefault="009115FB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78405E7" w14:textId="77777777" w:rsidR="009115FB" w:rsidRPr="001C052A" w:rsidRDefault="009115FB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E34B27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0C70804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E8B23B1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AE53DE0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7783BA6D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1393D1C6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28E35B3E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353029D9" w14:textId="77777777" w:rsidR="009115FB" w:rsidRPr="00730AA7" w:rsidRDefault="009115FB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13C238E2" w14:textId="77777777" w:rsidR="009115FB" w:rsidRPr="001C052A" w:rsidRDefault="009115FB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B462E9" w:rsidRPr="001C052A" w14:paraId="324CD86F" w14:textId="77777777" w:rsidTr="00E80556">
        <w:trPr>
          <w:trHeight w:val="168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0E31C3" w14:textId="7777777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097D5A3" w14:textId="77777777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BEBB936" w:rsidR="00B462E9" w:rsidRPr="001C052A" w:rsidRDefault="00B462E9" w:rsidP="00B462E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386CA3C" w:rsidR="00B462E9" w:rsidRPr="007311F5" w:rsidRDefault="00B462E9" w:rsidP="00B462E9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432F9A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BA22E77" w14:textId="77777777" w:rsidR="00432F9A" w:rsidRPr="001C052A" w:rsidRDefault="00432F9A" w:rsidP="00E8055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7DD8A89" w:rsidR="00432F9A" w:rsidRPr="001C052A" w:rsidRDefault="00432F9A" w:rsidP="00E8055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432F9A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62A494D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Pr="00DF48AC"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 xml:space="preserve">Blackbody </w:t>
            </w:r>
            <w:proofErr w:type="gramStart"/>
            <w:r>
              <w:rPr>
                <w:rFonts w:ascii="PMingLiu" w:hAnsi="PMingLiu"/>
                <w:color w:val="000000"/>
              </w:rPr>
              <w:t>Radiation(</w:t>
            </w:r>
            <w:proofErr w:type="gramEnd"/>
            <w:r>
              <w:rPr>
                <w:rFonts w:ascii="PMingLiu" w:hAnsi="PMingLiu"/>
                <w:color w:val="000000"/>
              </w:rPr>
              <w:t>1)</w:t>
            </w:r>
          </w:p>
        </w:tc>
      </w:tr>
      <w:tr w:rsidR="00432F9A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575D632" w:rsidR="00432F9A" w:rsidRPr="00A17751" w:rsidRDefault="00432F9A" w:rsidP="00432F9A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Pr="00DF48AC"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 xml:space="preserve">Blackbody </w:t>
            </w:r>
            <w:proofErr w:type="gramStart"/>
            <w:r>
              <w:rPr>
                <w:rFonts w:ascii="PMingLiu" w:hAnsi="PMingLiu"/>
                <w:color w:val="000000"/>
              </w:rPr>
              <w:t>Radiation(</w:t>
            </w:r>
            <w:proofErr w:type="gramEnd"/>
            <w:r>
              <w:rPr>
                <w:rFonts w:ascii="PMingLiu" w:hAnsi="PMingLiu"/>
                <w:color w:val="000000"/>
              </w:rPr>
              <w:t>2)</w:t>
            </w:r>
          </w:p>
        </w:tc>
      </w:tr>
      <w:tr w:rsidR="00432F9A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056C531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>
              <w:rPr>
                <w:rFonts w:ascii="PMingLiu" w:hAnsi="PMingLiu"/>
                <w:color w:val="000000"/>
              </w:rPr>
              <w:t xml:space="preserve"> The Bohr Atom</w:t>
            </w:r>
          </w:p>
        </w:tc>
      </w:tr>
      <w:tr w:rsidR="00432F9A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3404B41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>
              <w:rPr>
                <w:rFonts w:ascii="PMingLiu" w:hAnsi="PMingLiu"/>
                <w:color w:val="000000"/>
              </w:rPr>
              <w:t>Plane Waves and Wave</w:t>
            </w:r>
            <w:r w:rsidR="00571105"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packets</w:t>
            </w:r>
          </w:p>
        </w:tc>
      </w:tr>
      <w:tr w:rsidR="00432F9A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4C029DF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>
              <w:rPr>
                <w:rFonts w:ascii="PMingLiu" w:hAnsi="PMingLiu"/>
                <w:color w:val="000000"/>
              </w:rPr>
              <w:t xml:space="preserve"> The Schrodinger Equation and the Heisenberg Uncertainty Relations</w:t>
            </w:r>
          </w:p>
        </w:tc>
      </w:tr>
      <w:tr w:rsidR="00432F9A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0EEC8BE" w:rsidR="00432F9A" w:rsidRPr="00DF48AC" w:rsidRDefault="00432F9A" w:rsidP="00432F9A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>
              <w:rPr>
                <w:rFonts w:ascii="PMingLiu" w:hAnsi="PMingLiu"/>
                <w:color w:val="000000"/>
              </w:rPr>
              <w:t>More on the Probability Interpretation and Expectation Values</w:t>
            </w:r>
          </w:p>
        </w:tc>
      </w:tr>
      <w:tr w:rsidR="00432F9A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CF5B25C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>
              <w:rPr>
                <w:rFonts w:ascii="PMingLiu" w:hAnsi="PMingLiu"/>
                <w:color w:val="000000"/>
              </w:rPr>
              <w:t xml:space="preserve"> The Time-Independent Schrodinger Equation and Eigenvalue Equations</w:t>
            </w:r>
          </w:p>
        </w:tc>
      </w:tr>
      <w:tr w:rsidR="00432F9A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3BE3B03" w:rsidR="00432F9A" w:rsidRPr="0016398C" w:rsidRDefault="00432F9A" w:rsidP="00432F9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8 </w:t>
            </w:r>
            <w:r>
              <w:rPr>
                <w:rFonts w:ascii="PMingLiu" w:hAnsi="PMingLiu"/>
                <w:color w:val="000000"/>
              </w:rPr>
              <w:t>Sources of Magnetic Field (II), Electromagnetic Induction and Faraday’s Law (I)</w:t>
            </w:r>
          </w:p>
        </w:tc>
      </w:tr>
      <w:tr w:rsidR="00432F9A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3BB166F" w:rsidR="00432F9A" w:rsidRPr="0016398C" w:rsidRDefault="00432F9A" w:rsidP="00432F9A">
            <w:pPr>
              <w:widowControl w:val="0"/>
              <w:snapToGrid w:val="0"/>
              <w:spacing w:line="0" w:lineRule="atLeas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9 </w:t>
            </w:r>
            <w:r>
              <w:rPr>
                <w:rFonts w:ascii="PMingLiu" w:hAnsi="PMingLiu"/>
                <w:color w:val="000000"/>
              </w:rPr>
              <w:t>The Potential Step, Well, Barrier</w:t>
            </w:r>
          </w:p>
        </w:tc>
      </w:tr>
      <w:tr w:rsidR="00432F9A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5FEE2FB" w:rsidR="00432F9A" w:rsidRPr="0048423F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>
              <w:rPr>
                <w:rFonts w:eastAsia="微軟正黑體" w:hint="eastAsia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Tunneling and Bound States in a Potential Well</w:t>
            </w:r>
          </w:p>
        </w:tc>
      </w:tr>
      <w:tr w:rsidR="00432F9A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7DBFCEA" w:rsidR="00432F9A" w:rsidRPr="0016398C" w:rsidRDefault="00432F9A" w:rsidP="00432F9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11</w:t>
            </w:r>
            <w:r>
              <w:rPr>
                <w:rFonts w:ascii="PMingLiu" w:hAnsi="PMingLiu"/>
                <w:color w:val="000000"/>
              </w:rPr>
              <w:t xml:space="preserve"> The Harmonic Oscillator</w:t>
            </w:r>
          </w:p>
        </w:tc>
      </w:tr>
      <w:tr w:rsidR="00432F9A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87B6836" w:rsidR="00432F9A" w:rsidRPr="0016398C" w:rsidRDefault="00432F9A" w:rsidP="00432F9A">
            <w:pPr>
              <w:spacing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12</w:t>
            </w:r>
            <w:r>
              <w:rPr>
                <w:rFonts w:ascii="PMingLiu" w:hAnsi="PMingLiu"/>
                <w:color w:val="000000"/>
              </w:rPr>
              <w:t xml:space="preserve"> Eigenfunctions and Eigenvalues and Other Observables</w:t>
            </w:r>
          </w:p>
        </w:tc>
      </w:tr>
      <w:tr w:rsidR="00432F9A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B151B9" w:rsidR="00432F9A" w:rsidRPr="00806D76" w:rsidRDefault="00432F9A" w:rsidP="00432F9A">
            <w:pPr>
              <w:spacing w:line="320" w:lineRule="exact"/>
              <w:ind w:leftChars="0" w:left="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/>
              </w:rPr>
              <w:lastRenderedPageBreak/>
              <w:t>Week 13</w:t>
            </w:r>
            <w:r>
              <w:rPr>
                <w:rFonts w:ascii="PMingLiu" w:hAnsi="PMingLiu"/>
                <w:color w:val="000000"/>
              </w:rPr>
              <w:t xml:space="preserve"> Vector Spaces and Operators, Degeneracy and Simultaneous Observables</w:t>
            </w:r>
          </w:p>
        </w:tc>
      </w:tr>
      <w:tr w:rsidR="00432F9A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A212620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>
              <w:rPr>
                <w:rFonts w:ascii="PMingLiu" w:hAnsi="PMingLiu"/>
                <w:color w:val="000000"/>
              </w:rPr>
              <w:t xml:space="preserve"> Operator Methods in Quantum Mechanics</w:t>
            </w:r>
          </w:p>
        </w:tc>
      </w:tr>
      <w:tr w:rsidR="00432F9A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A6ADF1A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>
              <w:rPr>
                <w:rFonts w:ascii="PMingLiu" w:hAnsi="PMingLiu"/>
                <w:color w:val="000000"/>
              </w:rPr>
              <w:t xml:space="preserve"> Angular </w:t>
            </w:r>
            <w:proofErr w:type="gramStart"/>
            <w:r>
              <w:rPr>
                <w:rFonts w:ascii="PMingLiu" w:hAnsi="PMingLiu"/>
                <w:color w:val="000000"/>
              </w:rPr>
              <w:t>Momentum(</w:t>
            </w:r>
            <w:proofErr w:type="gramEnd"/>
            <w:r>
              <w:rPr>
                <w:rFonts w:ascii="PMingLiu" w:hAnsi="PMingLiu"/>
                <w:color w:val="000000"/>
              </w:rPr>
              <w:t>1)</w:t>
            </w:r>
          </w:p>
        </w:tc>
      </w:tr>
      <w:tr w:rsidR="00432F9A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089F076" w:rsidR="00432F9A" w:rsidRPr="0016398C" w:rsidRDefault="00432F9A" w:rsidP="00432F9A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Pr="00DF48AC"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 xml:space="preserve">Angular </w:t>
            </w:r>
            <w:proofErr w:type="gramStart"/>
            <w:r>
              <w:rPr>
                <w:rFonts w:ascii="PMingLiu" w:hAnsi="PMingLiu"/>
                <w:color w:val="000000"/>
              </w:rPr>
              <w:t>Momentum(</w:t>
            </w:r>
            <w:proofErr w:type="gramEnd"/>
            <w:r>
              <w:rPr>
                <w:rFonts w:ascii="PMingLiu" w:hAnsi="PMingLiu"/>
                <w:color w:val="000000"/>
              </w:rPr>
              <w:t>2)</w:t>
            </w:r>
          </w:p>
        </w:tc>
      </w:tr>
      <w:tr w:rsidR="00432F9A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AB4D647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>
              <w:rPr>
                <w:rFonts w:ascii="PMingLiu" w:hAnsi="PMingLiu"/>
                <w:color w:val="000000"/>
              </w:rPr>
              <w:t xml:space="preserve"> Matrix Representation of Operators</w:t>
            </w:r>
            <w:r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</w:t>
            </w:r>
          </w:p>
        </w:tc>
      </w:tr>
      <w:tr w:rsidR="00432F9A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35AA3A5" w:rsidR="00432F9A" w:rsidRPr="001C052A" w:rsidRDefault="00432F9A" w:rsidP="00432F9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>
              <w:rPr>
                <w:rFonts w:ascii="PMingLiu" w:hAnsi="PMingLiu"/>
                <w:color w:val="000000"/>
              </w:rPr>
              <w:t>Eigenstates and the Intrinsic Magnetic Moment of Spin 1/2</w:t>
            </w:r>
          </w:p>
        </w:tc>
      </w:tr>
      <w:tr w:rsidR="00432F9A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A97C219" w14:textId="77777777" w:rsidR="00571105" w:rsidRPr="001C052A" w:rsidRDefault="00571105" w:rsidP="00E8055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AFE05E2" w:rsidR="00432F9A" w:rsidRPr="001C052A" w:rsidRDefault="00571105" w:rsidP="00E8055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432F9A" w:rsidRPr="001C052A" w14:paraId="6A0986BA" w14:textId="77777777" w:rsidTr="00462475">
        <w:trPr>
          <w:trHeight w:val="362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62475" w14:paraId="7A0C16B5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306716E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93A3253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8A957D2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39AF093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462475" w14:paraId="531E4BC9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CD01FC1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175F0EA6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4C1C07C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8022825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5CAD7C6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1C4B9F1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462475" w14:paraId="13A5D995" w14:textId="77777777" w:rsidTr="001C162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C4E33D0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F268B93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4C57E83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17934806" w14:textId="77777777" w:rsidR="00462475" w:rsidRDefault="00462475" w:rsidP="0046247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3EDF41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F07889E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110498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AEA03FA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EA74F9C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62475" w14:paraId="1B742512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98EEA9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208B8CF" w14:textId="77777777" w:rsidR="00462475" w:rsidRDefault="00462475" w:rsidP="004624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3A6E139" w14:textId="77777777" w:rsidR="00462475" w:rsidRDefault="00462475" w:rsidP="004624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1B23A5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3345E9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0DD4BC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A70902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6119453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62475" w14:paraId="57F807D2" w14:textId="77777777" w:rsidTr="0046247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BEF330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5845580" w14:textId="77777777" w:rsidR="00462475" w:rsidRDefault="00462475" w:rsidP="0046247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0D0D9E7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7445AEB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460C7B5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FDA3888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B781B6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62475" w14:paraId="1B926426" w14:textId="77777777" w:rsidTr="0046247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50E1EC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F80461" w14:textId="77777777" w:rsidR="00462475" w:rsidRDefault="00462475" w:rsidP="004624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3CD01CA" w14:textId="77777777" w:rsidR="00462475" w:rsidRDefault="00462475" w:rsidP="004624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ACA624D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29D521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E20C76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704CA8E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DB928F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62475" w14:paraId="64B8D62C" w14:textId="77777777" w:rsidTr="00462475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A18C45E" w14:textId="77777777" w:rsidR="00462475" w:rsidRDefault="00462475" w:rsidP="004624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3323DB1" w14:textId="77777777" w:rsidR="00462475" w:rsidRDefault="00462475" w:rsidP="004624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756639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7DF7804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30C2419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3D1831D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9FB393" w14:textId="77777777" w:rsidR="00462475" w:rsidRDefault="00462475" w:rsidP="004624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2D02393" w:rsidR="00432F9A" w:rsidRPr="007311F5" w:rsidRDefault="00432F9A" w:rsidP="00432F9A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2A36A" w14:textId="77777777" w:rsidR="009C7B31" w:rsidRDefault="009C7B31" w:rsidP="00E9068E">
      <w:pPr>
        <w:spacing w:before="0"/>
      </w:pPr>
      <w:r>
        <w:separator/>
      </w:r>
    </w:p>
  </w:endnote>
  <w:endnote w:type="continuationSeparator" w:id="0">
    <w:p w14:paraId="3B228F14" w14:textId="77777777" w:rsidR="009C7B31" w:rsidRDefault="009C7B3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13589" w14:textId="77777777" w:rsidR="009C7B31" w:rsidRDefault="009C7B31" w:rsidP="00E9068E">
      <w:pPr>
        <w:spacing w:before="0"/>
      </w:pPr>
      <w:r>
        <w:separator/>
      </w:r>
    </w:p>
  </w:footnote>
  <w:footnote w:type="continuationSeparator" w:id="0">
    <w:p w14:paraId="67797B45" w14:textId="77777777" w:rsidR="009C7B31" w:rsidRDefault="009C7B3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3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0"/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61888"/>
    <w:rsid w:val="0007415C"/>
    <w:rsid w:val="0008209B"/>
    <w:rsid w:val="000A4CF7"/>
    <w:rsid w:val="000B5D10"/>
    <w:rsid w:val="000C472E"/>
    <w:rsid w:val="000D7AC3"/>
    <w:rsid w:val="000F085A"/>
    <w:rsid w:val="001424D0"/>
    <w:rsid w:val="00145763"/>
    <w:rsid w:val="00156A09"/>
    <w:rsid w:val="0016398C"/>
    <w:rsid w:val="00185033"/>
    <w:rsid w:val="001A3D56"/>
    <w:rsid w:val="001B416E"/>
    <w:rsid w:val="001B56F5"/>
    <w:rsid w:val="001D03F8"/>
    <w:rsid w:val="001D3110"/>
    <w:rsid w:val="001E2DE7"/>
    <w:rsid w:val="001E41B1"/>
    <w:rsid w:val="00200D8F"/>
    <w:rsid w:val="002023EC"/>
    <w:rsid w:val="0020600B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2F40"/>
    <w:rsid w:val="002C49B3"/>
    <w:rsid w:val="002D309E"/>
    <w:rsid w:val="0031410F"/>
    <w:rsid w:val="00315BF1"/>
    <w:rsid w:val="00341B27"/>
    <w:rsid w:val="00342694"/>
    <w:rsid w:val="00352D37"/>
    <w:rsid w:val="0037751F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32F9A"/>
    <w:rsid w:val="004424E7"/>
    <w:rsid w:val="00462475"/>
    <w:rsid w:val="00466DA1"/>
    <w:rsid w:val="0048423F"/>
    <w:rsid w:val="004A22ED"/>
    <w:rsid w:val="004B1268"/>
    <w:rsid w:val="004F4DFA"/>
    <w:rsid w:val="004F517A"/>
    <w:rsid w:val="004F6E29"/>
    <w:rsid w:val="00505EBF"/>
    <w:rsid w:val="005200E0"/>
    <w:rsid w:val="005363DA"/>
    <w:rsid w:val="005478D7"/>
    <w:rsid w:val="00554B7B"/>
    <w:rsid w:val="00560C5C"/>
    <w:rsid w:val="00563CB8"/>
    <w:rsid w:val="00571105"/>
    <w:rsid w:val="005A47C9"/>
    <w:rsid w:val="005D00B8"/>
    <w:rsid w:val="005E2A83"/>
    <w:rsid w:val="005E5E9E"/>
    <w:rsid w:val="006028FD"/>
    <w:rsid w:val="0060543D"/>
    <w:rsid w:val="006202DB"/>
    <w:rsid w:val="006620EE"/>
    <w:rsid w:val="006749F5"/>
    <w:rsid w:val="006827BB"/>
    <w:rsid w:val="006B376A"/>
    <w:rsid w:val="006D11E4"/>
    <w:rsid w:val="006F2CFB"/>
    <w:rsid w:val="007311F5"/>
    <w:rsid w:val="00753EE9"/>
    <w:rsid w:val="007607E9"/>
    <w:rsid w:val="007C04DC"/>
    <w:rsid w:val="007D4DC5"/>
    <w:rsid w:val="007E365F"/>
    <w:rsid w:val="007F645B"/>
    <w:rsid w:val="00801E9F"/>
    <w:rsid w:val="00806D76"/>
    <w:rsid w:val="00820424"/>
    <w:rsid w:val="008324AE"/>
    <w:rsid w:val="0086714D"/>
    <w:rsid w:val="008675FE"/>
    <w:rsid w:val="008758A6"/>
    <w:rsid w:val="00884C93"/>
    <w:rsid w:val="00894A28"/>
    <w:rsid w:val="008A4FA4"/>
    <w:rsid w:val="008A5A3D"/>
    <w:rsid w:val="008D29F6"/>
    <w:rsid w:val="008D5B4B"/>
    <w:rsid w:val="008E29D9"/>
    <w:rsid w:val="008F28CD"/>
    <w:rsid w:val="008F2E1B"/>
    <w:rsid w:val="009115FB"/>
    <w:rsid w:val="009323A7"/>
    <w:rsid w:val="009533AF"/>
    <w:rsid w:val="009636D0"/>
    <w:rsid w:val="00965BE9"/>
    <w:rsid w:val="00982F53"/>
    <w:rsid w:val="0099199D"/>
    <w:rsid w:val="009A17F2"/>
    <w:rsid w:val="009C7B31"/>
    <w:rsid w:val="009E38E7"/>
    <w:rsid w:val="009F1228"/>
    <w:rsid w:val="009F53E0"/>
    <w:rsid w:val="00A17751"/>
    <w:rsid w:val="00A23EE6"/>
    <w:rsid w:val="00A336D5"/>
    <w:rsid w:val="00A41B7F"/>
    <w:rsid w:val="00A63746"/>
    <w:rsid w:val="00A642A3"/>
    <w:rsid w:val="00A92675"/>
    <w:rsid w:val="00A93E69"/>
    <w:rsid w:val="00A94058"/>
    <w:rsid w:val="00A9470C"/>
    <w:rsid w:val="00AB7C2A"/>
    <w:rsid w:val="00B23992"/>
    <w:rsid w:val="00B3289C"/>
    <w:rsid w:val="00B341BD"/>
    <w:rsid w:val="00B41D5C"/>
    <w:rsid w:val="00B462E9"/>
    <w:rsid w:val="00B46395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B0EB2"/>
    <w:rsid w:val="00CC4933"/>
    <w:rsid w:val="00CE72FE"/>
    <w:rsid w:val="00CF45AF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41E43"/>
    <w:rsid w:val="00E70A19"/>
    <w:rsid w:val="00E7763E"/>
    <w:rsid w:val="00E80556"/>
    <w:rsid w:val="00E9068E"/>
    <w:rsid w:val="00EC360C"/>
    <w:rsid w:val="00EC60D9"/>
    <w:rsid w:val="00F06765"/>
    <w:rsid w:val="00F215AE"/>
    <w:rsid w:val="00F22674"/>
    <w:rsid w:val="00F345EA"/>
    <w:rsid w:val="00F75052"/>
    <w:rsid w:val="00F95DD9"/>
    <w:rsid w:val="00FC3432"/>
    <w:rsid w:val="00FC6D5F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chp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5A4B-7897-4CF1-A7D7-2E433743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2024-12-20T06:43:00Z</dcterms:created>
  <dcterms:modified xsi:type="dcterms:W3CDTF">2025-11-26T00:52:00Z</dcterms:modified>
</cp:coreProperties>
</file>