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3A" w:rsidRPr="004A6B1B" w:rsidRDefault="00BF2C3A" w:rsidP="00BF2C3A">
      <w:pPr>
        <w:spacing w:afterLines="50" w:after="120"/>
        <w:jc w:val="center"/>
        <w:rPr>
          <w:rFonts w:ascii="標楷體" w:eastAsia="標楷體" w:hAnsi="標楷體"/>
          <w:b/>
          <w:sz w:val="32"/>
          <w:szCs w:val="32"/>
        </w:rPr>
      </w:pPr>
      <w:r w:rsidRPr="00C454D0">
        <w:rPr>
          <w:rFonts w:eastAsia="標楷體"/>
          <w:b/>
          <w:sz w:val="32"/>
          <w:szCs w:val="32"/>
        </w:rPr>
        <w:t>國立中正大學勞工關係學系教學大綱</w:t>
      </w:r>
    </w:p>
    <w:p w:rsidR="00BF2C3A" w:rsidRPr="00BE64C5" w:rsidRDefault="00BF2C3A" w:rsidP="00BF2C3A">
      <w:pPr>
        <w:spacing w:afterLines="100" w:after="24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E64C5">
        <w:rPr>
          <w:rFonts w:ascii="Times New Roman" w:eastAsia="標楷體" w:hAnsi="Times New Roman"/>
          <w:b/>
          <w:sz w:val="32"/>
          <w:szCs w:val="32"/>
        </w:rPr>
        <w:t>1</w:t>
      </w:r>
      <w:r w:rsidR="00A6797E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4C5D31">
        <w:rPr>
          <w:rFonts w:ascii="Times New Roman" w:eastAsia="標楷體" w:hAnsi="Times New Roman" w:hint="eastAsia"/>
          <w:b/>
          <w:sz w:val="32"/>
          <w:szCs w:val="32"/>
        </w:rPr>
        <w:t>4</w:t>
      </w:r>
      <w:bookmarkStart w:id="0" w:name="_GoBack"/>
      <w:bookmarkEnd w:id="0"/>
      <w:r w:rsidRPr="00BE64C5">
        <w:rPr>
          <w:rFonts w:ascii="Times New Roman" w:eastAsia="標楷體"/>
          <w:b/>
          <w:sz w:val="32"/>
          <w:szCs w:val="32"/>
        </w:rPr>
        <w:t>學年度第</w:t>
      </w:r>
      <w:r w:rsidR="00F30524">
        <w:rPr>
          <w:rFonts w:ascii="Times New Roman" w:eastAsia="標楷體" w:hint="eastAsia"/>
          <w:b/>
          <w:sz w:val="32"/>
          <w:szCs w:val="32"/>
        </w:rPr>
        <w:t>2</w:t>
      </w:r>
      <w:r w:rsidRPr="00BE64C5">
        <w:rPr>
          <w:rFonts w:ascii="Times New Roman" w:eastAsia="標楷體"/>
          <w:b/>
          <w:sz w:val="32"/>
          <w:szCs w:val="32"/>
        </w:rPr>
        <w:t>學期</w:t>
      </w:r>
    </w:p>
    <w:tbl>
      <w:tblPr>
        <w:tblW w:w="960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240"/>
      </w:tblGrid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科目編號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FD3D25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683843">
              <w:rPr>
                <w:rFonts w:ascii="Times New Roman" w:eastAsia="標楷體" w:hAnsi="標楷體"/>
                <w:bCs/>
                <w:szCs w:val="24"/>
              </w:rPr>
              <w:t>7404017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ind w:left="16" w:firstLine="8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學</w:t>
            </w: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BF2C3A" w:rsidP="007F0F90">
            <w:pPr>
              <w:autoSpaceDE w:val="0"/>
              <w:autoSpaceDN w:val="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7F0F90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科目名稱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683843">
              <w:rPr>
                <w:rFonts w:ascii="Times New Roman" w:eastAsia="標楷體" w:hAnsi="Times New Roman"/>
                <w:bCs/>
                <w:szCs w:val="24"/>
              </w:rPr>
              <w:t>勞工法與企業經營</w:t>
            </w:r>
          </w:p>
        </w:tc>
      </w:tr>
      <w:tr w:rsidR="00BF2C3A" w:rsidRPr="00FD3D25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英文譯名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FD3D25" w:rsidRDefault="00683843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683843">
              <w:rPr>
                <w:rFonts w:ascii="Times New Roman" w:eastAsia="標楷體" w:hAnsi="標楷體"/>
                <w:bCs/>
                <w:szCs w:val="24"/>
              </w:rPr>
              <w:t>Labor Law and business management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開課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>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修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  </w:t>
            </w:r>
            <w:r w:rsidRPr="00BE64C5">
              <w:rPr>
                <w:rFonts w:ascii="Times New Roman" w:eastAsia="標楷體" w:hAnsi="標楷體"/>
                <w:b/>
                <w:szCs w:val="24"/>
              </w:rPr>
              <w:t>別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通識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授課教師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楊通軒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上課時間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2C3A" w:rsidRPr="007A1978" w:rsidRDefault="00683843" w:rsidP="00916536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683843">
              <w:rPr>
                <w:rFonts w:ascii="Times New Roman" w:eastAsia="標楷體" w:hAnsi="Times New Roman" w:hint="eastAsia"/>
                <w:bCs/>
                <w:szCs w:val="24"/>
              </w:rPr>
              <w:t>三</w:t>
            </w:r>
            <w:r w:rsidRPr="00683843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683843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="00916536"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683843">
              <w:rPr>
                <w:rFonts w:ascii="Times New Roman" w:eastAsia="標楷體" w:hAnsi="Times New Roman"/>
                <w:bCs/>
                <w:szCs w:val="24"/>
              </w:rPr>
              <w:t>:10~1</w:t>
            </w:r>
            <w:r w:rsidR="00916536">
              <w:rPr>
                <w:rFonts w:ascii="Times New Roman" w:eastAsia="標楷體" w:hAnsi="Times New Roman" w:hint="eastAsia"/>
                <w:bCs/>
                <w:szCs w:val="24"/>
              </w:rPr>
              <w:t>8</w:t>
            </w:r>
            <w:r w:rsidRPr="00683843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leftChars="-9" w:left="-22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上課教室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F30524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社科院</w:t>
            </w:r>
            <w:r w:rsidR="00F30524">
              <w:rPr>
                <w:rFonts w:ascii="Times New Roman" w:eastAsia="標楷體" w:hAnsi="Times New Roman" w:hint="eastAsia"/>
                <w:szCs w:val="24"/>
              </w:rPr>
              <w:t>326</w:t>
            </w:r>
            <w:r>
              <w:rPr>
                <w:rFonts w:ascii="Times New Roman" w:eastAsia="標楷體" w:hAnsi="Times New Roman" w:hint="eastAsia"/>
                <w:szCs w:val="24"/>
              </w:rPr>
              <w:t>教室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辦公室時間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15:00~17:00</w:t>
            </w:r>
          </w:p>
        </w:tc>
      </w:tr>
      <w:tr w:rsidR="00BF2C3A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教學</w:t>
            </w:r>
            <w:r w:rsidRPr="00E2481C">
              <w:rPr>
                <w:rFonts w:ascii="Times New Roman" w:eastAsia="標楷體" w:hAnsi="Times New Roman"/>
                <w:b/>
                <w:szCs w:val="24"/>
              </w:rPr>
              <w:t>目標：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E2481C" w:rsidRDefault="00B71B30" w:rsidP="00BF2C3A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 w:rsidRPr="00B71B30">
              <w:rPr>
                <w:rFonts w:ascii="Times New Roman" w:eastAsia="標楷體" w:hAnsi="Times New Roman"/>
              </w:rPr>
              <w:t>勞動問題本質上非常複雜，牽涉</w:t>
            </w:r>
            <w:proofErr w:type="gramStart"/>
            <w:r w:rsidRPr="00B71B30">
              <w:rPr>
                <w:rFonts w:ascii="Times New Roman" w:eastAsia="標楷體" w:hAnsi="Times New Roman"/>
              </w:rPr>
              <w:t>之廣非從</w:t>
            </w:r>
            <w:proofErr w:type="gramEnd"/>
            <w:r w:rsidRPr="00B71B30">
              <w:rPr>
                <w:rFonts w:ascii="Times New Roman" w:eastAsia="標楷體" w:hAnsi="Times New Roman"/>
              </w:rPr>
              <w:t>意識型態、法令規章、行政組織、社會、政治、經濟、文化各角度整合研究無以為功，目前勞動問題之研究</w:t>
            </w:r>
            <w:proofErr w:type="gramStart"/>
            <w:r w:rsidRPr="00B71B30">
              <w:rPr>
                <w:rFonts w:ascii="Times New Roman" w:eastAsia="標楷體" w:hAnsi="Times New Roman"/>
              </w:rPr>
              <w:t>多分屬並侷限</w:t>
            </w:r>
            <w:proofErr w:type="gramEnd"/>
            <w:r w:rsidRPr="00B71B30">
              <w:rPr>
                <w:rFonts w:ascii="Times New Roman" w:eastAsia="標楷體" w:hAnsi="Times New Roman"/>
              </w:rPr>
              <w:t>於法律、經濟、社會、企管等科系之下，成為被忽略的邊緣成效觀察，未能培養出具有完整訓練之人才。</w:t>
            </w:r>
          </w:p>
          <w:p w:rsidR="00B7677D" w:rsidRPr="00B7677D" w:rsidRDefault="00B7677D" w:rsidP="00B7677D">
            <w:pPr>
              <w:pStyle w:val="a7"/>
              <w:widowControl/>
              <w:numPr>
                <w:ilvl w:val="0"/>
                <w:numId w:val="1"/>
              </w:numPr>
              <w:autoSpaceDE w:val="0"/>
              <w:autoSpaceDN w:val="0"/>
              <w:ind w:leftChars="0"/>
              <w:textAlignment w:val="bottom"/>
              <w:rPr>
                <w:rFonts w:ascii="標楷體" w:eastAsia="標楷體" w:hAnsi="標楷體"/>
                <w:color w:val="000000"/>
              </w:rPr>
            </w:pPr>
            <w:r w:rsidRPr="00B7677D">
              <w:rPr>
                <w:rFonts w:ascii="標楷體" w:eastAsia="標楷體" w:hAnsi="標楷體"/>
              </w:rPr>
              <w:t>自從勞動基準法公佈施行以來，勞工權利意識高漲，勞資糾紛層出不窮。然而，不論政府與公民營企業，一致感到處理問題之理論依據與專業人材均大量不足，尤其基層人員多由非專業人員擔任，對處理業務亦缺乏必要之知識，不亦發揮工作績效，致使勞動問題往往直接變成社會、政治問題，影響社會、政治安定。</w:t>
            </w:r>
            <w:proofErr w:type="gramStart"/>
            <w:r w:rsidRPr="00B7677D">
              <w:rPr>
                <w:rFonts w:ascii="標楷體" w:eastAsia="標楷體" w:hAnsi="標楷體"/>
              </w:rPr>
              <w:t>鑑</w:t>
            </w:r>
            <w:proofErr w:type="gramEnd"/>
            <w:r w:rsidRPr="00B7677D">
              <w:rPr>
                <w:rFonts w:ascii="標楷體" w:eastAsia="標楷體" w:hAnsi="標楷體"/>
              </w:rPr>
              <w:t>於上述問題與社會的需要，是以本課程以教導學生熟悉勞工法，並求能學以致用為主。惟因學生並非法律系背景，教學內容盡量求其簡化，避免</w:t>
            </w:r>
            <w:proofErr w:type="gramStart"/>
            <w:r w:rsidRPr="00B7677D">
              <w:rPr>
                <w:rFonts w:ascii="標楷體" w:eastAsia="標楷體" w:hAnsi="標楷體"/>
              </w:rPr>
              <w:t>法條式的或</w:t>
            </w:r>
            <w:proofErr w:type="gramEnd"/>
            <w:r w:rsidRPr="00B7677D">
              <w:rPr>
                <w:rFonts w:ascii="標楷體" w:eastAsia="標楷體" w:hAnsi="標楷體"/>
              </w:rPr>
              <w:t>教條式的說明。</w:t>
            </w:r>
          </w:p>
          <w:p w:rsidR="00BF2C3A" w:rsidRPr="00A56579" w:rsidRDefault="00B7677D" w:rsidP="00B7677D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  <w:sz w:val="22"/>
              </w:rPr>
            </w:pPr>
            <w:r w:rsidRPr="00B7677D">
              <w:rPr>
                <w:rFonts w:ascii="Times New Roman" w:eastAsia="標楷體" w:hAnsi="Times New Roman" w:hint="eastAsia"/>
              </w:rPr>
              <w:t>訓練學生了解每日發生的勞動法律案件的能力。</w:t>
            </w:r>
          </w:p>
        </w:tc>
      </w:tr>
      <w:tr w:rsidR="00BF2C3A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color w:val="999999"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本課程目標與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本系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核心能力指標相關性如下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，如為學士</w:t>
            </w:r>
            <w:proofErr w:type="gramStart"/>
            <w:r>
              <w:rPr>
                <w:rFonts w:ascii="Times New Roman" w:eastAsia="標楷體" w:hAnsi="Times New Roman" w:hint="eastAsia"/>
                <w:color w:val="FF0000"/>
              </w:rPr>
              <w:t>班課綱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，請將碩士班核心能力刪除，反之亦同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BF2C3A" w:rsidP="00C52463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 xml:space="preserve">§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學士班核心能力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BF2C3A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 xml:space="preserve"> 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F2C3A" w:rsidRPr="00520E22" w:rsidRDefault="00BF2C3A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BF2C3A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</w:tcBorders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BF2C3A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掌握國內外勞工政策法案發展與變革之核心能力。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具備恪遵職場倫理與主動關懷社會之基本能力。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具備吸收跨領域知識與整合的能力。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具備基本「勞工關係與政策」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「人力資源」跨領域知識與整合的能力。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具備獨立思考及解決「勞工關係與政策」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「人力資源」問題之能力。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BF2C3A" w:rsidRPr="00520E22" w:rsidRDefault="00BF2C3A" w:rsidP="00C52463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</w:p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 xml:space="preserve">§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碩士班核心能力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BF2C3A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 xml:space="preserve"> 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F2C3A" w:rsidRPr="00520E22" w:rsidRDefault="00BF2C3A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BF2C3A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</w:tcBorders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BF2C3A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</w:tcPr>
                <w:p w:rsidR="00BF2C3A" w:rsidRPr="0011416F" w:rsidRDefault="00BF2C3A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具備對國內外勞工之跨領域專業知識整合與應用之能力。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11416F" w:rsidRDefault="00BF2C3A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具備蒐集資訊、使用資訊及撰寫專業論文之研究能力。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</w:tcPr>
                <w:p w:rsidR="00BF2C3A" w:rsidRPr="0011416F" w:rsidRDefault="00BF2C3A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兼具不同層次「勞工關係與政策」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「人力資源」問題探討與處理之能力。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11416F" w:rsidRDefault="00BF2C3A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具備瞭解「勞工關係與政策」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「人力資源」變革及趨勢之能力。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F2C3A" w:rsidRPr="0011416F" w:rsidRDefault="00BF2C3A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具備創新思考及全球化觀點之能力。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BF2C3A" w:rsidRPr="00AD5C11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教學方式：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187266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講授每周社會上所發生勞工案件的法律問題</w:t>
            </w:r>
          </w:p>
          <w:p w:rsidR="00BF2C3A" w:rsidRDefault="00187266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2.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學生每次發表對於所發生的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的</w:t>
            </w:r>
            <w:proofErr w:type="gramEnd"/>
            <w:r>
              <w:rPr>
                <w:rFonts w:ascii="Times New Roman" w:eastAsia="標楷體" w:hAnsi="Times New Roman" w:hint="eastAsia"/>
                <w:b/>
                <w:szCs w:val="24"/>
              </w:rPr>
              <w:t>看法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授課大綱：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6F7579" w:rsidRPr="006F7579" w:rsidRDefault="006F7579" w:rsidP="006F757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tbl>
            <w:tblPr>
              <w:tblW w:w="0" w:type="auto"/>
              <w:tblInd w:w="51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96"/>
              <w:gridCol w:w="2642"/>
              <w:gridCol w:w="4318"/>
            </w:tblGrid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  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次</w:t>
                  </w:r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授課內容與活動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閱讀資料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一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從企業經營角度看勞工法之適用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，資訊社會下勞動法之新課題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–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兼論業務性質變更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從企業經營角度看勞工法之適用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，資訊社會下勞動法之新課題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–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兼論業務性質變更</w:t>
                  </w:r>
                </w:p>
              </w:tc>
            </w:tr>
            <w:tr w:rsidR="006F7579" w:rsidRPr="006F7579" w:rsidTr="00C551FE">
              <w:trPr>
                <w:cantSplit/>
                <w:trHeight w:val="303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三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部分時間勞動之法律問題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楊通軒，我國部分時間勞動法律問題之探討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四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何謂勞動派遣？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，台灣勞動派遣法立法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之雛議</w:t>
                  </w:r>
                  <w:proofErr w:type="gramEnd"/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五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何謂電傳勞動？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楊通軒，電傳勞動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六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勞動契約之介紹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楊通軒，勞動契約內容之研究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七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工資之法律問題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林更盛，勞動法案例研究</w:t>
                  </w:r>
                </w:p>
              </w:tc>
            </w:tr>
            <w:tr w:rsidR="006F7579" w:rsidRPr="006F7579" w:rsidTr="00C551FE">
              <w:trPr>
                <w:cantSplit/>
                <w:trHeight w:val="106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八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工作時間、休息、休假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楊通軒，我國工作時間制度的再思考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九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兩性工作平等法令之介紹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鄭津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津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，女工的保護；郭玲惠，性別平等、性騷擾防治與救濟</w:t>
                  </w:r>
                </w:p>
              </w:tc>
            </w:tr>
            <w:tr w:rsidR="006F7579" w:rsidRPr="006F7579" w:rsidTr="00C551FE">
              <w:trPr>
                <w:cantSplit/>
                <w:trHeight w:val="278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十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退休法令之介紹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楊通軒，從勞工退休制度改制看勞工老年生活照護之落實；楊通軒，我國勞工退休金條例相關法律問題之解析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第十一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職業災害法令之介紹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楊通軒，職業災害之賠償與補償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第十二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外籍勞工法令之介紹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楊通軒，從法律觀點論招募契約與勞動契約之權利義務關係</w:t>
                  </w:r>
                </w:p>
              </w:tc>
            </w:tr>
            <w:tr w:rsidR="006F7579" w:rsidRPr="006F7579" w:rsidTr="00C551FE">
              <w:trPr>
                <w:cantSplit/>
                <w:trHeight w:val="388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第十三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工會法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楊通軒，從市民社會看國家在勞資關係中之角色；楊通軒，工會聯盟與勞工政策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第十四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團體協約法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楊通軒，工會聯盟；楊通軒，國家中立原則在勞資爭議中之運用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第十五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勞資爭議處理法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楊通軒，國家中立原則在勞資爭議中之運用；楊通軒，爭議行為合法性之判斷基準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第十六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產業民主之介紹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策楊通軒，勞工參與企業經營在德國所引起之勞工法問題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第十七</w:t>
                  </w:r>
                  <w:proofErr w:type="gramStart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國際勞工公約介紹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焦興鎧</w:t>
                  </w:r>
                  <w:proofErr w:type="gramEnd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，總論（含勞動基準法總則章與國際勞動基準之規範）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第十八</w:t>
                  </w:r>
                  <w:proofErr w:type="gramStart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歐洲聯盟勞工法介紹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楊通軒，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歐洲聯盟勞工法律之研究</w:t>
                  </w:r>
                </w:p>
              </w:tc>
            </w:tr>
          </w:tbl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授課進度及閱讀教材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黃程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貫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，勞動法，空中大學，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劉志鵬，勞動法解讀，月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旦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法學，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林更盛，勞動法案例研究，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焦興鎧</w:t>
            </w:r>
            <w:proofErr w:type="gramEnd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，總論（含勞動基準法總則章與國際勞動基準之規範）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鄭津</w:t>
            </w:r>
            <w:proofErr w:type="gramStart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津</w:t>
            </w:r>
            <w:proofErr w:type="gramEnd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，職場與法律，第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版，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2015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鄭津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津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，女工的保護，收錄於：勞動基準法釋義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431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郭玲惠，勞動契約法，三民書局，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2011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郭玲惠，性別平等、性騷擾防治與救濟，收錄於：勞動基準法釋義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385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比較勞資關係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李誠等，華泰文化事業公司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勞資關係與產業發展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/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吳家聲著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，華泰文化事業公司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，資訊社會下勞動法之新課題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兼論業務性質變更，全國律師，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，我國部分時間勞動法律問題之探討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兼論德國之部分時間勞動法制，中正法學集刊，第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287~310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，台灣勞動派遣法立法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之雛議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機會與風險之平衡，萬國法律，第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138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楊通軒，電傳勞動所引起勞工法上問題之研究，五南圖書出版社，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楊通軒，勞動契約內容之研究，法律評論，第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4~6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期合刊，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8~21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，我國工作時間制度的再思考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建構一個自我負責的工作時間制度，勞動基準法擴大適用對工時制度衝擊及其因應之道研討會，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8"/>
              </w:smartTagP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年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12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月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23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日</w:t>
              </w:r>
            </w:smartTag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楊通軒，從勞工退休制度改制看勞工老年生活照護之落實，律師雜誌，第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298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楊通軒，我國勞工退休金條例相關法律問題之解析，台灣本土法學雜誌，第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楊通軒，職業災害之賠償與補償，收錄於：勞動基準法釋義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453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楊通軒，從法律觀點論招募契約與勞動契約之權利義務關係，法律評論，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4~6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期合刊，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22~34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，從市民社會看國家在勞資關係中之角色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以台灣為例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，輔仁學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誌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131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，聯盟策略與勞工政策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從工會聯盟觀之，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勞資關係論叢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119~154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，國家中立原則在勞資爭議中之運用，國科會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研究彙刊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：人文及社會科學，第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，爭議行為合法性之判斷基準　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─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　最高法院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年度台上字第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1074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號民事判決評釋，法學叢刊，第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60~83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楊通軒，勞工參與企業經營在德國所引起之勞工法問題，法學叢刊第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，論公司高層管理人員之勞動者身分，月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旦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民商法雜誌第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月，頁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182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以下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楊通軒，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歐洲聯盟勞工法律之研究，中原財經法學第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2001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159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勞工法規輯要，行政院勞工委員會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勞動基準法解釋彙編，行政院勞工委員會</w:t>
            </w:r>
          </w:p>
          <w:p w:rsidR="006F7579" w:rsidRPr="006F7579" w:rsidRDefault="006F7579" w:rsidP="006F757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Pr="006F7579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Pr="001951E1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8979C6">
              <w:rPr>
                <w:rFonts w:ascii="Times New Roman" w:eastAsia="標楷體" w:hAnsi="Times New Roman" w:hint="eastAsia"/>
                <w:b/>
                <w:szCs w:val="24"/>
              </w:rPr>
              <w:t>課程要求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5F50E3" w:rsidRDefault="00BB7B4F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B7B4F">
              <w:rPr>
                <w:rFonts w:ascii="Times New Roman" w:eastAsia="標楷體" w:hAnsi="Times New Roman" w:hint="eastAsia"/>
                <w:b/>
                <w:szCs w:val="24"/>
              </w:rPr>
              <w:t>除教師說明外，學生必須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發表對於社會上所發生勞工案件的看法</w:t>
            </w:r>
            <w:r w:rsidRPr="00BB7B4F">
              <w:rPr>
                <w:rFonts w:ascii="Times New Roman" w:eastAsia="標楷體" w:hAnsi="Times New Roman" w:hint="eastAsia"/>
                <w:b/>
                <w:szCs w:val="24"/>
              </w:rPr>
              <w:t>，在課堂上與師生分享。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成績評量：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A3554D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小組報告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、勞工事件剪貼簿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、上課表現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含筆記、學習態度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)10%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、出席率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10%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。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主要參考書目：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黃程</w:t>
            </w:r>
            <w:proofErr w:type="gramStart"/>
            <w:r w:rsidRPr="005A726F">
              <w:rPr>
                <w:rFonts w:ascii="Times New Roman" w:eastAsia="標楷體" w:hAnsi="Times New Roman"/>
                <w:b/>
                <w:szCs w:val="24"/>
              </w:rPr>
              <w:t>貫</w:t>
            </w:r>
            <w:proofErr w:type="gramEnd"/>
            <w:r w:rsidRPr="005A726F">
              <w:rPr>
                <w:rFonts w:ascii="Times New Roman" w:eastAsia="標楷體" w:hAnsi="Times New Roman"/>
                <w:b/>
                <w:szCs w:val="24"/>
              </w:rPr>
              <w:t>，勞動法，空中大學，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劉志鵬，勞動法解讀，月</w:t>
            </w:r>
            <w:proofErr w:type="gramStart"/>
            <w:r w:rsidRPr="005A726F">
              <w:rPr>
                <w:rFonts w:ascii="Times New Roman" w:eastAsia="標楷體" w:hAnsi="Times New Roman"/>
                <w:b/>
                <w:szCs w:val="24"/>
              </w:rPr>
              <w:t>旦</w:t>
            </w:r>
            <w:proofErr w:type="gramEnd"/>
            <w:r w:rsidRPr="005A726F">
              <w:rPr>
                <w:rFonts w:ascii="Times New Roman" w:eastAsia="標楷體" w:hAnsi="Times New Roman"/>
                <w:b/>
                <w:szCs w:val="24"/>
              </w:rPr>
              <w:t>法學，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林更盛，勞動法案例研究，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焦興鎧</w:t>
            </w:r>
            <w:proofErr w:type="gramEnd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，總論（含勞動基準法總則章與國際勞動基準之規範）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，收錄於：勞動基準法釋義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鄭津</w:t>
            </w:r>
            <w:proofErr w:type="gramStart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津</w:t>
            </w:r>
            <w:proofErr w:type="gramEnd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，職場與法律，第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版，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2015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鄭津</w:t>
            </w:r>
            <w:proofErr w:type="gramStart"/>
            <w:r w:rsidRPr="005A726F">
              <w:rPr>
                <w:rFonts w:ascii="Times New Roman" w:eastAsia="標楷體" w:hAnsi="Times New Roman"/>
                <w:b/>
                <w:szCs w:val="24"/>
              </w:rPr>
              <w:t>津</w:t>
            </w:r>
            <w:proofErr w:type="gramEnd"/>
            <w:r w:rsidRPr="005A726F">
              <w:rPr>
                <w:rFonts w:ascii="Times New Roman" w:eastAsia="標楷體" w:hAnsi="Times New Roman"/>
                <w:b/>
                <w:szCs w:val="24"/>
              </w:rPr>
              <w:t>，女工的保護，收錄於：勞動基準法釋義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431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郭玲惠，勞動契約法，三民書局，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2011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郭玲惠，性別平等、性騷擾防治與救濟，收錄於：勞動基準法釋義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385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BF2C3A" w:rsidRPr="00BE64C5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備註：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BF2C3A" w:rsidRDefault="00BF2C3A" w:rsidP="00BF2C3A">
      <w:pPr>
        <w:autoSpaceDE w:val="0"/>
        <w:autoSpaceDN w:val="0"/>
        <w:jc w:val="both"/>
        <w:textAlignment w:val="bottom"/>
      </w:pPr>
    </w:p>
    <w:p w:rsidR="0085596D" w:rsidRPr="00BF2C3A" w:rsidRDefault="0085596D"/>
    <w:sectPr w:rsidR="0085596D" w:rsidRPr="00BF2C3A" w:rsidSect="00025E0A">
      <w:pgSz w:w="11906" w:h="16838"/>
      <w:pgMar w:top="1134" w:right="170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90" w:rsidRDefault="00451390" w:rsidP="00683843">
      <w:r>
        <w:separator/>
      </w:r>
    </w:p>
  </w:endnote>
  <w:endnote w:type="continuationSeparator" w:id="0">
    <w:p w:rsidR="00451390" w:rsidRDefault="00451390" w:rsidP="0068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90" w:rsidRDefault="00451390" w:rsidP="00683843">
      <w:r>
        <w:separator/>
      </w:r>
    </w:p>
  </w:footnote>
  <w:footnote w:type="continuationSeparator" w:id="0">
    <w:p w:rsidR="00451390" w:rsidRDefault="00451390" w:rsidP="0068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5CB0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59D7847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4CC26ADD"/>
    <w:multiLevelType w:val="hybridMultilevel"/>
    <w:tmpl w:val="551C836A"/>
    <w:lvl w:ilvl="0" w:tplc="1C067D5A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3A"/>
    <w:rsid w:val="000A684A"/>
    <w:rsid w:val="001445E3"/>
    <w:rsid w:val="00163E23"/>
    <w:rsid w:val="00187266"/>
    <w:rsid w:val="001D60C9"/>
    <w:rsid w:val="00263B6A"/>
    <w:rsid w:val="0027703D"/>
    <w:rsid w:val="00312F9C"/>
    <w:rsid w:val="003302B2"/>
    <w:rsid w:val="0035195D"/>
    <w:rsid w:val="00390A02"/>
    <w:rsid w:val="003B5158"/>
    <w:rsid w:val="003E7096"/>
    <w:rsid w:val="00423519"/>
    <w:rsid w:val="00451390"/>
    <w:rsid w:val="004972D9"/>
    <w:rsid w:val="004C5D31"/>
    <w:rsid w:val="004F3F39"/>
    <w:rsid w:val="00506123"/>
    <w:rsid w:val="00543759"/>
    <w:rsid w:val="005772BE"/>
    <w:rsid w:val="005809A6"/>
    <w:rsid w:val="005A726F"/>
    <w:rsid w:val="006101C3"/>
    <w:rsid w:val="00612CEC"/>
    <w:rsid w:val="00634B1D"/>
    <w:rsid w:val="00661861"/>
    <w:rsid w:val="00672FA3"/>
    <w:rsid w:val="00683843"/>
    <w:rsid w:val="00686649"/>
    <w:rsid w:val="006B2088"/>
    <w:rsid w:val="006F7579"/>
    <w:rsid w:val="0072217F"/>
    <w:rsid w:val="0079759C"/>
    <w:rsid w:val="007E6311"/>
    <w:rsid w:val="007F0F90"/>
    <w:rsid w:val="0085596D"/>
    <w:rsid w:val="00885513"/>
    <w:rsid w:val="00916536"/>
    <w:rsid w:val="00957BAB"/>
    <w:rsid w:val="00961631"/>
    <w:rsid w:val="009B2079"/>
    <w:rsid w:val="00A13180"/>
    <w:rsid w:val="00A13870"/>
    <w:rsid w:val="00A2026D"/>
    <w:rsid w:val="00A3554D"/>
    <w:rsid w:val="00A6797E"/>
    <w:rsid w:val="00A86C91"/>
    <w:rsid w:val="00A9684F"/>
    <w:rsid w:val="00B27187"/>
    <w:rsid w:val="00B36362"/>
    <w:rsid w:val="00B47B75"/>
    <w:rsid w:val="00B675F9"/>
    <w:rsid w:val="00B71B30"/>
    <w:rsid w:val="00B7677D"/>
    <w:rsid w:val="00BB7B4F"/>
    <w:rsid w:val="00BE5899"/>
    <w:rsid w:val="00BF2C3A"/>
    <w:rsid w:val="00CA1EE1"/>
    <w:rsid w:val="00D36F45"/>
    <w:rsid w:val="00D51F8F"/>
    <w:rsid w:val="00D81744"/>
    <w:rsid w:val="00E44255"/>
    <w:rsid w:val="00E87B91"/>
    <w:rsid w:val="00F30524"/>
    <w:rsid w:val="00FC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B7677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B767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2025-10-31T06:23:00Z</dcterms:created>
  <dcterms:modified xsi:type="dcterms:W3CDTF">2025-10-31T06:23:00Z</dcterms:modified>
</cp:coreProperties>
</file>