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7EC9" w14:textId="77777777" w:rsidR="00565C2C" w:rsidRDefault="00000000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992"/>
        <w:gridCol w:w="4203"/>
      </w:tblGrid>
      <w:tr w:rsidR="00565C2C" w14:paraId="3DF1CA5A" w14:textId="77777777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AF46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bCs/>
              </w:rPr>
              <w:t>開課</w:t>
            </w:r>
            <w:r>
              <w:rPr>
                <w:rFonts w:eastAsia="標楷體"/>
              </w:rPr>
              <w:t>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A7E" w14:textId="1FC8957A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0F36E1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年度第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學期</w:t>
            </w:r>
          </w:p>
        </w:tc>
      </w:tr>
      <w:tr w:rsidR="00565C2C" w14:paraId="3D1CDA36" w14:textId="77777777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ABB8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78F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二十世紀現當代小說選讀</w:t>
            </w:r>
          </w:p>
        </w:tc>
      </w:tr>
      <w:tr w:rsidR="00565C2C" w14:paraId="0023070B" w14:textId="77777777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2B7A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356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Theme="majorEastAsia"/>
              </w:rPr>
              <w:t>College Chinese</w:t>
            </w:r>
            <w:r>
              <w:rPr>
                <w:rFonts w:eastAsiaTheme="majorEastAsia"/>
              </w:rPr>
              <w:t>：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  <w:vertAlign w:val="superscript"/>
              </w:rPr>
              <w:t>th</w:t>
            </w:r>
            <w:r>
              <w:rPr>
                <w:rFonts w:eastAsia="標楷體"/>
              </w:rPr>
              <w:t xml:space="preserve"> Century Selected Readings of Modern and Contemporary Novels</w:t>
            </w:r>
          </w:p>
        </w:tc>
      </w:tr>
      <w:tr w:rsidR="00565C2C" w14:paraId="261CE2C9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A94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8B4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(</w:t>
            </w:r>
            <w:r>
              <w:rPr>
                <w:rFonts w:eastAsia="標楷體"/>
                <w:color w:val="A6A6A6" w:themeColor="background1" w:themeShade="A6"/>
              </w:rPr>
              <w:t>由通識教育中心填寫</w:t>
            </w:r>
            <w:r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9B3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65E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</w:tr>
      <w:tr w:rsidR="00565C2C" w14:paraId="51DEBBCA" w14:textId="77777777">
        <w:trPr>
          <w:trHeight w:val="8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C4E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85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565C2C" w14:paraId="11A1FE3E" w14:textId="77777777">
              <w:tc>
                <w:tcPr>
                  <w:tcW w:w="2843" w:type="dxa"/>
                </w:tcPr>
                <w:p w14:paraId="34C01A86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■中英文能力課程</w:t>
                  </w:r>
                </w:p>
              </w:tc>
              <w:tc>
                <w:tcPr>
                  <w:tcW w:w="2844" w:type="dxa"/>
                </w:tcPr>
                <w:p w14:paraId="48C64685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■基礎概論</w:t>
                  </w:r>
                </w:p>
              </w:tc>
              <w:tc>
                <w:tcPr>
                  <w:tcW w:w="2844" w:type="dxa"/>
                </w:tcPr>
                <w:p w14:paraId="798C2CDC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□資訊能力</w:t>
                  </w:r>
                </w:p>
              </w:tc>
            </w:tr>
            <w:tr w:rsidR="00565C2C" w14:paraId="41970FA3" w14:textId="77777777">
              <w:tc>
                <w:tcPr>
                  <w:tcW w:w="2843" w:type="dxa"/>
                </w:tcPr>
                <w:p w14:paraId="0EA34FD7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2A3AB13D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28AE4B9A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■人文思維與生命探索</w:t>
                  </w:r>
                </w:p>
              </w:tc>
            </w:tr>
            <w:tr w:rsidR="00565C2C" w14:paraId="42FD7B42" w14:textId="77777777">
              <w:trPr>
                <w:trHeight w:val="406"/>
              </w:trPr>
              <w:tc>
                <w:tcPr>
                  <w:tcW w:w="2843" w:type="dxa"/>
                </w:tcPr>
                <w:p w14:paraId="5B3FBEFF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378F3439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0BD344A7" w14:textId="77777777" w:rsidR="00565C2C" w:rsidRDefault="00000000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□自然科學與技術</w:t>
                  </w:r>
                </w:p>
              </w:tc>
            </w:tr>
          </w:tbl>
          <w:p w14:paraId="116E5C7C" w14:textId="77777777" w:rsidR="00565C2C" w:rsidRDefault="00565C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5C2C" w14:paraId="260CF8B4" w14:textId="77777777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DCE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77B" w14:textId="77777777" w:rsidR="00565C2C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請勾選(可複選)：</w:t>
            </w:r>
          </w:p>
          <w:tbl>
            <w:tblPr>
              <w:tblStyle w:val="a9"/>
              <w:tblW w:w="85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565C2C" w14:paraId="51BA5863" w14:textId="77777777">
              <w:tc>
                <w:tcPr>
                  <w:tcW w:w="2843" w:type="dxa"/>
                </w:tcPr>
                <w:p w14:paraId="3EEBD5E3" w14:textId="77777777" w:rsidR="00565C2C" w:rsidRDefault="00000000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787934E3" w14:textId="77777777" w:rsidR="00565C2C" w:rsidRDefault="00000000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□網路教學</w:t>
                  </w:r>
                </w:p>
              </w:tc>
              <w:tc>
                <w:tcPr>
                  <w:tcW w:w="2844" w:type="dxa"/>
                </w:tcPr>
                <w:p w14:paraId="5CEED6FC" w14:textId="77777777" w:rsidR="00565C2C" w:rsidRDefault="00000000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■分組討論</w:t>
                  </w:r>
                </w:p>
              </w:tc>
            </w:tr>
            <w:tr w:rsidR="00565C2C" w14:paraId="30FEF8B6" w14:textId="77777777">
              <w:tc>
                <w:tcPr>
                  <w:tcW w:w="2843" w:type="dxa"/>
                </w:tcPr>
                <w:p w14:paraId="74DDBBCF" w14:textId="77777777" w:rsidR="00565C2C" w:rsidRDefault="00000000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2844" w:type="dxa"/>
                </w:tcPr>
                <w:p w14:paraId="797AD8F9" w14:textId="77777777" w:rsidR="00565C2C" w:rsidRDefault="00000000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□其他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8E2D47F" w14:textId="77777777" w:rsidR="00565C2C" w:rsidRDefault="00565C2C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</w:tr>
          </w:tbl>
          <w:p w14:paraId="4098193C" w14:textId="77777777" w:rsidR="00565C2C" w:rsidRDefault="00565C2C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65C2C" w14:paraId="6C6B40CE" w14:textId="77777777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C610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840" w14:textId="77777777" w:rsidR="00565C2C" w:rsidRDefault="00000000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課程共同目標與範圍</w:t>
            </w:r>
            <w:r>
              <w:rPr>
                <w:rFonts w:eastAsia="標楷體"/>
              </w:rPr>
              <w:t>:</w:t>
            </w:r>
          </w:p>
          <w:p w14:paraId="6EA4A36D" w14:textId="77777777" w:rsidR="00565C2C" w:rsidRDefault="00000000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3D1E872E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p w14:paraId="5734CFD8" w14:textId="77777777" w:rsidR="00565C2C" w:rsidRDefault="00000000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課程單課目標與範圍</w:t>
            </w:r>
            <w:r>
              <w:rPr>
                <w:rFonts w:eastAsia="標楷體"/>
              </w:rPr>
              <w:t>:</w:t>
            </w:r>
          </w:p>
          <w:p w14:paraId="20166D0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在「閱讀力」方面，本課程著重於透過深度閱讀厚植閱讀素養，希望能將學校習得的知識技能應用在日常生活中，讓學生具備面臨各種情境和挑戰時的素養與能力。</w:t>
            </w:r>
          </w:p>
          <w:p w14:paraId="1761A466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在「敘事力」方面，本課程以學習者最為熟稔的自我生命故事作為培訓敘事力的起點。</w:t>
            </w:r>
          </w:p>
          <w:p w14:paraId="17ECA464" w14:textId="77777777" w:rsidR="00565C2C" w:rsidRDefault="00000000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/>
              </w:rPr>
              <w:t>本課程總體目標是透過中文語文能力的教學，培育知識、能力、態度三者兼備的優秀人才。而在實際做法上，本課程將中文能力的培訓重心，放在閱讀力、敘事力、文化競爭力三個核心理念上，而在實際操作上，則把重心轉移到課堂口語訓練和自我表達。</w:t>
            </w:r>
          </w:p>
        </w:tc>
      </w:tr>
      <w:tr w:rsidR="00565C2C" w14:paraId="794FDEB1" w14:textId="77777777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CAE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綱</w:t>
            </w:r>
          </w:p>
          <w:p w14:paraId="08CD53FE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週次表及每週課程詳細內容說明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683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9"/>
              <w:tblW w:w="61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565C2C" w14:paraId="102C0130" w14:textId="77777777">
              <w:trPr>
                <w:jc w:val="center"/>
              </w:trPr>
              <w:tc>
                <w:tcPr>
                  <w:tcW w:w="712" w:type="dxa"/>
                </w:tcPr>
                <w:p w14:paraId="73CCE51D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167E8E76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565C2C" w14:paraId="56C2CD3F" w14:textId="77777777">
              <w:trPr>
                <w:jc w:val="center"/>
              </w:trPr>
              <w:tc>
                <w:tcPr>
                  <w:tcW w:w="712" w:type="dxa"/>
                </w:tcPr>
                <w:p w14:paraId="03364A62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54D05111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課程說明與課堂分組</w:t>
                  </w:r>
                </w:p>
              </w:tc>
            </w:tr>
            <w:tr w:rsidR="00565C2C" w14:paraId="199F5780" w14:textId="77777777">
              <w:trPr>
                <w:jc w:val="center"/>
              </w:trPr>
              <w:tc>
                <w:tcPr>
                  <w:tcW w:w="712" w:type="dxa"/>
                </w:tcPr>
                <w:p w14:paraId="0A48D317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26D6CDBB" w14:textId="7D5E349F" w:rsidR="00565C2C" w:rsidRDefault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中國現代小說發展史略述</w:t>
                  </w:r>
                </w:p>
              </w:tc>
            </w:tr>
            <w:tr w:rsidR="00565C2C" w14:paraId="0EC55406" w14:textId="77777777">
              <w:trPr>
                <w:jc w:val="center"/>
              </w:trPr>
              <w:tc>
                <w:tcPr>
                  <w:tcW w:w="712" w:type="dxa"/>
                </w:tcPr>
                <w:p w14:paraId="10EC97CE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5F886631" w14:textId="4637D748" w:rsidR="00565C2C" w:rsidRDefault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文革小說選讀—盧新華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傷痕</w:t>
                  </w:r>
                </w:p>
              </w:tc>
            </w:tr>
            <w:tr w:rsidR="00565C2C" w14:paraId="5F00D0F4" w14:textId="77777777">
              <w:trPr>
                <w:jc w:val="center"/>
              </w:trPr>
              <w:tc>
                <w:tcPr>
                  <w:tcW w:w="712" w:type="dxa"/>
                </w:tcPr>
                <w:p w14:paraId="43352513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68DC1AE6" w14:textId="3757C7C9" w:rsidR="00565C2C" w:rsidRDefault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文革小說選讀—盧新華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傷痕</w:t>
                  </w:r>
                </w:p>
              </w:tc>
            </w:tr>
            <w:tr w:rsidR="00565C2C" w14:paraId="670BA945" w14:textId="77777777">
              <w:trPr>
                <w:jc w:val="center"/>
              </w:trPr>
              <w:tc>
                <w:tcPr>
                  <w:tcW w:w="712" w:type="dxa"/>
                </w:tcPr>
                <w:p w14:paraId="3D5D13F5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6D36663" w14:textId="2215A589" w:rsidR="00565C2C" w:rsidRDefault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文革小說選讀—盧新華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傷痕</w:t>
                  </w:r>
                </w:p>
              </w:tc>
            </w:tr>
            <w:tr w:rsidR="00565C2C" w14:paraId="16CD0912" w14:textId="77777777">
              <w:trPr>
                <w:jc w:val="center"/>
              </w:trPr>
              <w:tc>
                <w:tcPr>
                  <w:tcW w:w="712" w:type="dxa"/>
                </w:tcPr>
                <w:p w14:paraId="4569BCF1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04825394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中國大牆文學選讀—余華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活著</w:t>
                  </w:r>
                </w:p>
              </w:tc>
            </w:tr>
            <w:tr w:rsidR="00565C2C" w14:paraId="4E00470A" w14:textId="77777777">
              <w:trPr>
                <w:jc w:val="center"/>
              </w:trPr>
              <w:tc>
                <w:tcPr>
                  <w:tcW w:w="712" w:type="dxa"/>
                </w:tcPr>
                <w:p w14:paraId="52E1A2C6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352E585A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中國大牆文學選讀—余華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活著</w:t>
                  </w:r>
                </w:p>
              </w:tc>
            </w:tr>
            <w:tr w:rsidR="00565C2C" w14:paraId="76A57812" w14:textId="77777777">
              <w:trPr>
                <w:jc w:val="center"/>
              </w:trPr>
              <w:tc>
                <w:tcPr>
                  <w:tcW w:w="712" w:type="dxa"/>
                </w:tcPr>
                <w:p w14:paraId="7BB23C5F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FC2FE5F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中國大牆文學選讀—余華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活著</w:t>
                  </w:r>
                </w:p>
              </w:tc>
            </w:tr>
            <w:tr w:rsidR="00565C2C" w14:paraId="60518E24" w14:textId="77777777">
              <w:trPr>
                <w:jc w:val="center"/>
              </w:trPr>
              <w:tc>
                <w:tcPr>
                  <w:tcW w:w="712" w:type="dxa"/>
                </w:tcPr>
                <w:p w14:paraId="44FC4A97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DC66D08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期中考</w:t>
                  </w:r>
                </w:p>
              </w:tc>
            </w:tr>
            <w:tr w:rsidR="00565C2C" w14:paraId="02C90077" w14:textId="77777777">
              <w:trPr>
                <w:jc w:val="center"/>
              </w:trPr>
              <w:tc>
                <w:tcPr>
                  <w:tcW w:w="712" w:type="dxa"/>
                </w:tcPr>
                <w:p w14:paraId="33C6EACC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712A6747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女性主義與小說之關係</w:t>
                  </w:r>
                </w:p>
              </w:tc>
            </w:tr>
            <w:tr w:rsidR="00565C2C" w14:paraId="36707810" w14:textId="77777777">
              <w:trPr>
                <w:jc w:val="center"/>
              </w:trPr>
              <w:tc>
                <w:tcPr>
                  <w:tcW w:w="712" w:type="dxa"/>
                </w:tcPr>
                <w:p w14:paraId="74237778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0FAB372D" w14:textId="066ABA37" w:rsidR="00565C2C" w:rsidRDefault="00000000">
                  <w:pPr>
                    <w:tabs>
                      <w:tab w:val="left" w:pos="3187"/>
                    </w:tabs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女性主義小說先驅—張愛玲</w:t>
                  </w:r>
                  <w:r>
                    <w:rPr>
                      <w:rFonts w:eastAsia="標楷體"/>
                    </w:rPr>
                    <w:t>/</w:t>
                  </w:r>
                  <w:r w:rsidR="003428FF">
                    <w:rPr>
                      <w:rFonts w:eastAsia="標楷體" w:hint="eastAsia"/>
                    </w:rPr>
                    <w:t>色戒</w:t>
                  </w:r>
                </w:p>
              </w:tc>
            </w:tr>
            <w:tr w:rsidR="003428FF" w14:paraId="40043223" w14:textId="77777777">
              <w:trPr>
                <w:jc w:val="center"/>
              </w:trPr>
              <w:tc>
                <w:tcPr>
                  <w:tcW w:w="712" w:type="dxa"/>
                </w:tcPr>
                <w:p w14:paraId="13BAD8EE" w14:textId="77777777" w:rsidR="003428FF" w:rsidRDefault="003428FF" w:rsidP="003428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220D125" w14:textId="445BD951" w:rsidR="003428FF" w:rsidRDefault="003428FF" w:rsidP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女性主義小說先驅—張愛玲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色戒</w:t>
                  </w:r>
                </w:p>
              </w:tc>
            </w:tr>
            <w:tr w:rsidR="003428FF" w14:paraId="24732865" w14:textId="77777777">
              <w:trPr>
                <w:jc w:val="center"/>
              </w:trPr>
              <w:tc>
                <w:tcPr>
                  <w:tcW w:w="712" w:type="dxa"/>
                </w:tcPr>
                <w:p w14:paraId="7C043D4F" w14:textId="77777777" w:rsidR="003428FF" w:rsidRDefault="003428FF" w:rsidP="003428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lastRenderedPageBreak/>
                    <w:t>13</w:t>
                  </w:r>
                </w:p>
              </w:tc>
              <w:tc>
                <w:tcPr>
                  <w:tcW w:w="5393" w:type="dxa"/>
                </w:tcPr>
                <w:p w14:paraId="49B0F350" w14:textId="4C633919" w:rsidR="003428FF" w:rsidRDefault="003428FF" w:rsidP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女性主義小說先驅—張愛玲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色戒</w:t>
                  </w:r>
                </w:p>
              </w:tc>
            </w:tr>
            <w:tr w:rsidR="00565C2C" w14:paraId="42EA2593" w14:textId="77777777">
              <w:trPr>
                <w:jc w:val="center"/>
              </w:trPr>
              <w:tc>
                <w:tcPr>
                  <w:tcW w:w="712" w:type="dxa"/>
                </w:tcPr>
                <w:p w14:paraId="70E1667B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2257AF1" w14:textId="0C48B787" w:rsidR="00565C2C" w:rsidRDefault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臺灣左翼文學之興</w:t>
                  </w:r>
                </w:p>
              </w:tc>
            </w:tr>
            <w:tr w:rsidR="00565C2C" w14:paraId="330509A2" w14:textId="77777777">
              <w:trPr>
                <w:jc w:val="center"/>
              </w:trPr>
              <w:tc>
                <w:tcPr>
                  <w:tcW w:w="712" w:type="dxa"/>
                </w:tcPr>
                <w:p w14:paraId="2BB050D2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61948A8" w14:textId="66942C12" w:rsidR="00565C2C" w:rsidRDefault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臺灣左翼文學選讀—楊逵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送報伕</w:t>
                  </w:r>
                </w:p>
              </w:tc>
            </w:tr>
            <w:tr w:rsidR="003428FF" w14:paraId="108AA92F" w14:textId="77777777">
              <w:trPr>
                <w:jc w:val="center"/>
              </w:trPr>
              <w:tc>
                <w:tcPr>
                  <w:tcW w:w="712" w:type="dxa"/>
                </w:tcPr>
                <w:p w14:paraId="634F52F5" w14:textId="77777777" w:rsidR="003428FF" w:rsidRDefault="003428FF" w:rsidP="003428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752E694D" w14:textId="5B3F5506" w:rsidR="003428FF" w:rsidRDefault="003428FF" w:rsidP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臺灣左翼文學選讀—楊逵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送報伕</w:t>
                  </w:r>
                </w:p>
              </w:tc>
            </w:tr>
            <w:tr w:rsidR="003428FF" w14:paraId="66422925" w14:textId="77777777">
              <w:trPr>
                <w:jc w:val="center"/>
              </w:trPr>
              <w:tc>
                <w:tcPr>
                  <w:tcW w:w="712" w:type="dxa"/>
                </w:tcPr>
                <w:p w14:paraId="32892D71" w14:textId="77777777" w:rsidR="003428FF" w:rsidRDefault="003428FF" w:rsidP="003428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53A118D3" w14:textId="16E73745" w:rsidR="003428FF" w:rsidRDefault="003428FF" w:rsidP="003428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臺灣左翼文學選讀—楊逵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 w:hint="eastAsia"/>
                    </w:rPr>
                    <w:t>送報伕</w:t>
                  </w:r>
                </w:p>
              </w:tc>
            </w:tr>
            <w:tr w:rsidR="00565C2C" w14:paraId="27FDEA31" w14:textId="77777777">
              <w:trPr>
                <w:jc w:val="center"/>
              </w:trPr>
              <w:tc>
                <w:tcPr>
                  <w:tcW w:w="712" w:type="dxa"/>
                </w:tcPr>
                <w:p w14:paraId="1331701F" w14:textId="77777777" w:rsidR="00565C2C" w:rsidRDefault="0000000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6AA71C84" w14:textId="77777777" w:rsidR="00565C2C" w:rsidRDefault="0000000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期末考</w:t>
                  </w:r>
                </w:p>
              </w:tc>
            </w:tr>
          </w:tbl>
          <w:p w14:paraId="530E2567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p w14:paraId="60BDC4D2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每週課程詳細內容說明：</w:t>
            </w:r>
          </w:p>
          <w:p w14:paraId="6B349569" w14:textId="77777777" w:rsidR="00565C2C" w:rsidRDefault="00000000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第一週：</w:t>
            </w:r>
          </w:p>
          <w:p w14:paraId="5B54D747" w14:textId="77777777" w:rsidR="00565C2C" w:rsidRDefault="00000000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課程分組與課堂規定</w:t>
            </w:r>
          </w:p>
          <w:p w14:paraId="60D39B7A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課程內容：第一週將進行課程說明，說明課程目標、介紹課程內容、評分標準、課堂進行方式與班級經營規則。</w:t>
            </w:r>
          </w:p>
          <w:p w14:paraId="31008B9C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教學方法：教師講授、師生討論及互動。</w:t>
            </w:r>
          </w:p>
          <w:p w14:paraId="7CF8B5E9" w14:textId="77777777" w:rsidR="00565C2C" w:rsidRDefault="00000000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教學目標：說明課程主要內容並引起學生對於課程內容之興趣。</w:t>
            </w:r>
          </w:p>
          <w:p w14:paraId="6C67AE7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第二週：</w:t>
            </w:r>
          </w:p>
          <w:p w14:paraId="609D10FA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針對文革以後文學發展及莫言進行講述</w:t>
            </w:r>
          </w:p>
          <w:p w14:paraId="04A12981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中國小說史略</w:t>
            </w:r>
          </w:p>
          <w:p w14:paraId="35C1F5CF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針對歷史背景、文學發展之趨勢進行講述。</w:t>
            </w:r>
          </w:p>
          <w:p w14:paraId="6CFFC5A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2B4EDED4" w14:textId="77777777" w:rsidR="00565C2C" w:rsidRDefault="00000000">
            <w:pPr>
              <w:spacing w:line="0" w:lineRule="atLeast"/>
              <w:ind w:left="1560" w:hangingChars="650" w:hanging="1560"/>
              <w:rPr>
                <w:rFonts w:eastAsia="標楷體"/>
              </w:rPr>
            </w:pPr>
            <w:r>
              <w:rPr>
                <w:rFonts w:eastAsia="標楷體"/>
              </w:rPr>
              <w:t xml:space="preserve">3.  </w:t>
            </w:r>
            <w:r>
              <w:rPr>
                <w:rFonts w:eastAsia="標楷體"/>
              </w:rPr>
              <w:t>教學目標：說明課程主要內容並引起學生對於</w:t>
            </w:r>
            <w:r>
              <w:rPr>
                <w:rFonts w:eastAsia="標楷體" w:hint="eastAsia"/>
              </w:rPr>
              <w:t>經歷文革以後的傷痕文學作家及現代小說的初步理解</w:t>
            </w:r>
            <w:r>
              <w:rPr>
                <w:rFonts w:eastAsia="標楷體"/>
              </w:rPr>
              <w:t>。</w:t>
            </w:r>
          </w:p>
          <w:p w14:paraId="0BC73D3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第三週：</w:t>
            </w:r>
          </w:p>
          <w:p w14:paraId="7584246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對時代背景之複習，並進入紅高粱正題。</w:t>
            </w:r>
          </w:p>
          <w:p w14:paraId="69761AF9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送報伕內文</w:t>
            </w:r>
          </w:p>
          <w:p w14:paraId="72F5B744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對於紅高粱背景及莫言進行講解，並進入正文。</w:t>
            </w:r>
          </w:p>
          <w:p w14:paraId="5784B2B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18C94930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對文革小說有明確認識與概念</w:t>
            </w:r>
            <w:r>
              <w:rPr>
                <w:rFonts w:eastAsia="標楷體"/>
              </w:rPr>
              <w:t>。</w:t>
            </w:r>
          </w:p>
          <w:p w14:paraId="7D097214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第四週：</w:t>
            </w:r>
          </w:p>
          <w:p w14:paraId="6E6A5995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紅高粱主軸論述</w:t>
            </w:r>
          </w:p>
          <w:p w14:paraId="00FB8DC3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將紅高粱拆解成五個部分講解，主軸將是文本後段「解決方法」。</w:t>
            </w:r>
          </w:p>
          <w:p w14:paraId="4D7A233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61A5E9B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使同學理解傷痕文學時期文人作家所欲體現的社會理念。</w:t>
            </w:r>
          </w:p>
          <w:p w14:paraId="35041CFF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p w14:paraId="79D944B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第五週：</w:t>
            </w:r>
          </w:p>
          <w:p w14:paraId="1F2E17C5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中國現代小說發展史</w:t>
            </w:r>
          </w:p>
          <w:p w14:paraId="46529AA3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講解</w:t>
            </w:r>
            <w:r>
              <w:rPr>
                <w:rFonts w:eastAsia="標楷體"/>
              </w:rPr>
              <w:t>80</w:t>
            </w:r>
            <w:r>
              <w:rPr>
                <w:rFonts w:eastAsia="標楷體" w:hint="eastAsia"/>
              </w:rPr>
              <w:t>年代前後中國現代小說之發展。</w:t>
            </w:r>
          </w:p>
          <w:p w14:paraId="6A03304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17604EE4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對於中國現代小說認識及探討</w:t>
            </w:r>
            <w:r>
              <w:rPr>
                <w:rFonts w:eastAsia="標楷體"/>
              </w:rPr>
              <w:t>。</w:t>
            </w:r>
          </w:p>
          <w:p w14:paraId="64BF49A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第六週：</w:t>
            </w:r>
          </w:p>
          <w:p w14:paraId="1979A12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余華簡介與作品</w:t>
            </w:r>
          </w:p>
          <w:p w14:paraId="6A2816F4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活著內容選讀與講解。</w:t>
            </w:r>
          </w:p>
          <w:p w14:paraId="1F057AEA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3049288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對於中國現代小說認識及探討</w:t>
            </w:r>
            <w:r>
              <w:rPr>
                <w:rFonts w:eastAsia="標楷體"/>
              </w:rPr>
              <w:t>。</w:t>
            </w:r>
          </w:p>
          <w:p w14:paraId="01A5258E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第七週：</w:t>
            </w:r>
          </w:p>
          <w:p w14:paraId="379E6FE2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作品：活著</w:t>
            </w:r>
          </w:p>
          <w:p w14:paraId="54370CE4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活著內容選讀與講解。</w:t>
            </w:r>
          </w:p>
          <w:p w14:paraId="5EF65953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2BCD9E7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對於中國現代小說認識及探討</w:t>
            </w:r>
            <w:r>
              <w:rPr>
                <w:rFonts w:eastAsia="標楷體"/>
              </w:rPr>
              <w:t>。</w:t>
            </w:r>
          </w:p>
          <w:p w14:paraId="0A4528D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第八週：</w:t>
            </w:r>
          </w:p>
          <w:p w14:paraId="1A3D0312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作品：活著</w:t>
            </w:r>
          </w:p>
          <w:p w14:paraId="31AB9525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活著內容選讀與講解。</w:t>
            </w:r>
          </w:p>
          <w:p w14:paraId="1E856A7C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7F52D9CE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對於中國現代小說認識及探討</w:t>
            </w:r>
            <w:r>
              <w:rPr>
                <w:rFonts w:eastAsia="標楷體"/>
              </w:rPr>
              <w:t>。</w:t>
            </w:r>
          </w:p>
          <w:p w14:paraId="287AADF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第九週：</w:t>
            </w:r>
          </w:p>
          <w:p w14:paraId="0570DFC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  <w:p w14:paraId="5645C995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</w:t>
            </w:r>
          </w:p>
          <w:p w14:paraId="4E532F5F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女性主義概述</w:t>
            </w:r>
          </w:p>
          <w:p w14:paraId="684D2BF9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針對女性主義進行講解，讓同學們從中理解女性主義與文學之關係。</w:t>
            </w:r>
          </w:p>
          <w:p w14:paraId="739CCED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61B7F0B6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使同學確切理解女性主義於中國文學作品中的意義。</w:t>
            </w:r>
          </w:p>
          <w:p w14:paraId="689A5174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</w:t>
            </w:r>
          </w:p>
          <w:p w14:paraId="0333B918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傾城之戀</w:t>
            </w:r>
          </w:p>
          <w:p w14:paraId="72507B0C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張愛玲於二十世紀初期的寫作貢獻與創發。</w:t>
            </w:r>
          </w:p>
          <w:p w14:paraId="148D7772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122C130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使同學認識女性主義代表作家張愛玲。</w:t>
            </w:r>
          </w:p>
          <w:p w14:paraId="3FE2B960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第十二週：</w:t>
            </w:r>
          </w:p>
          <w:p w14:paraId="77EE7CCD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傾城之戀</w:t>
            </w:r>
          </w:p>
          <w:p w14:paraId="1336B804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針對傾城之戀內容人物進行分析。</w:t>
            </w:r>
          </w:p>
          <w:p w14:paraId="353E2860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2C9FCA2F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先使同學大致理解人物設定，並有基礎可以往後閱讀與延伸。</w:t>
            </w:r>
          </w:p>
          <w:p w14:paraId="091C48B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第十三週：</w:t>
            </w:r>
          </w:p>
          <w:p w14:paraId="1D1E4D94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長恨歌傳</w:t>
            </w:r>
          </w:p>
          <w:p w14:paraId="2E92E9FA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針對傾城之戀內容進行分析闡述。</w:t>
            </w:r>
          </w:p>
          <w:p w14:paraId="5526F30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52468A9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使同學確切理解傾城之戀情節與問題探究。</w:t>
            </w:r>
          </w:p>
          <w:p w14:paraId="773FB964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第十四週：</w:t>
            </w:r>
          </w:p>
          <w:p w14:paraId="62B818CD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講解何謂意識流</w:t>
            </w:r>
          </w:p>
          <w:p w14:paraId="4B9C6AD5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對意識流之專有名詞進行講解，並講述心理學與小說之關係。</w:t>
            </w:r>
          </w:p>
          <w:p w14:paraId="4ABB389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0B777A3D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讓同學理解文學作品與心理學之關聯為何。</w:t>
            </w:r>
          </w:p>
          <w:p w14:paraId="0199272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第十五週：</w:t>
            </w:r>
          </w:p>
          <w:p w14:paraId="6B80482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遊園驚夢</w:t>
            </w:r>
          </w:p>
          <w:p w14:paraId="335CEE77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先對白先勇進行介紹，以及遊園驚夢對白先勇的影響，進而闡述本文與戲劇作品關係不同之處。</w:t>
            </w:r>
          </w:p>
          <w:p w14:paraId="0F3518A2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02FECAAF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使同學更理解白先勇。</w:t>
            </w:r>
          </w:p>
          <w:p w14:paraId="03B2482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第十六週：</w:t>
            </w:r>
          </w:p>
          <w:p w14:paraId="6987034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遊園驚夢</w:t>
            </w:r>
          </w:p>
          <w:p w14:paraId="7B964023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針對竇公館中出現人物先分類說明，並藉由意識流導入人物心理狀態。</w:t>
            </w:r>
          </w:p>
          <w:p w14:paraId="4E27667D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5893B94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心理學於小說人物上之運用，及推敲白先勇人物設定之目的。</w:t>
            </w:r>
          </w:p>
          <w:p w14:paraId="3637B9E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第十七週：</w:t>
            </w:r>
          </w:p>
          <w:p w14:paraId="12E395FB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遊園驚夢</w:t>
            </w:r>
          </w:p>
          <w:p w14:paraId="3FFD8777" w14:textId="77777777" w:rsidR="00565C2C" w:rsidRDefault="0000000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遊園驚夢情節內容分析講解。</w:t>
            </w:r>
          </w:p>
          <w:p w14:paraId="7C42AC6E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講授、師生討論及互動。</w:t>
            </w:r>
          </w:p>
          <w:p w14:paraId="24DDEDC0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使同學理解內文與意識流之關聯。</w:t>
            </w:r>
          </w:p>
          <w:p w14:paraId="70F6A6E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第十八週：</w:t>
            </w:r>
          </w:p>
          <w:p w14:paraId="416DE90C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</w:p>
          <w:p w14:paraId="3092583D" w14:textId="77777777" w:rsidR="00565C2C" w:rsidRDefault="00565C2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65C2C" w14:paraId="0AB0C98D" w14:textId="77777777">
        <w:trPr>
          <w:trHeight w:val="14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7E5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EF4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送報伕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>楊逵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遠景出版社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1994</w:t>
            </w:r>
            <w:r>
              <w:rPr>
                <w:rFonts w:eastAsia="標楷體" w:hint="eastAsia"/>
              </w:rPr>
              <w:t>年</w:t>
            </w:r>
          </w:p>
          <w:p w14:paraId="6D3A7A6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活著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余華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麥田出版社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1994</w:t>
            </w:r>
            <w:r>
              <w:rPr>
                <w:rFonts w:eastAsia="標楷體" w:hint="eastAsia"/>
              </w:rPr>
              <w:t>年</w:t>
            </w:r>
          </w:p>
          <w:p w14:paraId="7776EAD4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傾城之戀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張愛玲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皇冠出版社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2020</w:t>
            </w:r>
            <w:r>
              <w:rPr>
                <w:rFonts w:eastAsia="標楷體" w:hint="eastAsia"/>
              </w:rPr>
              <w:t>年</w:t>
            </w:r>
          </w:p>
          <w:p w14:paraId="281BBB62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臺北人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>白先勇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爾雅出版社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1983</w:t>
            </w:r>
            <w:r>
              <w:rPr>
                <w:rFonts w:eastAsia="標楷體" w:hint="eastAsia"/>
              </w:rPr>
              <w:t>年</w:t>
            </w:r>
          </w:p>
          <w:p w14:paraId="4AF05586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意識流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>洪敏秀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文化部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2010</w:t>
            </w:r>
            <w:r>
              <w:rPr>
                <w:rFonts w:eastAsia="標楷體" w:hint="eastAsia"/>
              </w:rPr>
              <w:t>年</w:t>
            </w:r>
          </w:p>
          <w:p w14:paraId="010DD4FE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</w:tc>
      </w:tr>
      <w:tr w:rsidR="00565C2C" w14:paraId="29364D03" w14:textId="77777777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F52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B80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，並填寫類別：</w:t>
            </w:r>
          </w:p>
          <w:tbl>
            <w:tblPr>
              <w:tblStyle w:val="a9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565C2C" w14:paraId="5E2E9022" w14:textId="77777777">
              <w:tc>
                <w:tcPr>
                  <w:tcW w:w="2135" w:type="dxa"/>
                </w:tcPr>
                <w:p w14:paraId="1BCFE368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153C176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5317394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52BD8F1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65C2C" w14:paraId="58AEBAB2" w14:textId="77777777">
              <w:tc>
                <w:tcPr>
                  <w:tcW w:w="2135" w:type="dxa"/>
                </w:tcPr>
                <w:p w14:paraId="3B5C487C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E55989C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4CC712A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21E1F98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65C2C" w14:paraId="0FF604CA" w14:textId="77777777">
              <w:tc>
                <w:tcPr>
                  <w:tcW w:w="2135" w:type="dxa"/>
                </w:tcPr>
                <w:p w14:paraId="423D2C83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FE17302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705F043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DF20B1" w14:textId="77777777" w:rsidR="00565C2C" w:rsidRDefault="000000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C226EBB" w14:textId="77777777" w:rsidR="00565C2C" w:rsidRDefault="00000000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  <w:sz w:val="22"/>
                <w:szCs w:val="22"/>
              </w:rPr>
              <w:t>A</w:t>
            </w:r>
            <w:r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30  %</w:t>
            </w:r>
            <w:r>
              <w:rPr>
                <w:rFonts w:eastAsia="標楷體"/>
                <w:sz w:val="22"/>
                <w:szCs w:val="22"/>
              </w:rPr>
              <w:t>；</w:t>
            </w:r>
            <w:r>
              <w:rPr>
                <w:rFonts w:eastAsia="標楷體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30  </w:t>
            </w:r>
            <w:r>
              <w:rPr>
                <w:rFonts w:eastAsia="標楷體"/>
                <w:sz w:val="22"/>
                <w:szCs w:val="22"/>
              </w:rPr>
              <w:t>%</w:t>
            </w:r>
            <w:r>
              <w:rPr>
                <w:rFonts w:eastAsia="標楷體"/>
                <w:sz w:val="22"/>
                <w:szCs w:val="22"/>
              </w:rPr>
              <w:t>；</w:t>
            </w:r>
            <w:r>
              <w:rPr>
                <w:rFonts w:eastAsia="標楷體"/>
                <w:sz w:val="22"/>
                <w:szCs w:val="22"/>
              </w:rPr>
              <w:t>C</w:t>
            </w:r>
            <w:r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15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%</w:t>
            </w:r>
            <w:r>
              <w:rPr>
                <w:rFonts w:eastAsia="標楷體"/>
                <w:sz w:val="22"/>
                <w:szCs w:val="22"/>
              </w:rPr>
              <w:t>；</w:t>
            </w:r>
            <w:r>
              <w:rPr>
                <w:rFonts w:eastAsia="標楷體"/>
                <w:sz w:val="22"/>
                <w:szCs w:val="22"/>
              </w:rPr>
              <w:t>D</w:t>
            </w:r>
            <w:r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25  %</w:t>
            </w:r>
            <w:r>
              <w:rPr>
                <w:rFonts w:eastAsia="標楷體"/>
                <w:sz w:val="22"/>
                <w:szCs w:val="22"/>
              </w:rPr>
              <w:t xml:space="preserve"> (</w:t>
            </w:r>
            <w:r>
              <w:rPr>
                <w:rFonts w:eastAsia="標楷體"/>
                <w:sz w:val="22"/>
                <w:szCs w:val="22"/>
              </w:rPr>
              <w:t>類別可自行增加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14:paraId="7FFEE25B" w14:textId="77777777" w:rsidR="00565C2C" w:rsidRDefault="00000000">
            <w:pPr>
              <w:pStyle w:val="10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類為期中、期末筆試</w:t>
            </w:r>
          </w:p>
          <w:p w14:paraId="703EC8F2" w14:textId="77777777" w:rsidR="00565C2C" w:rsidRDefault="00000000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>C</w:t>
            </w:r>
            <w:r>
              <w:rPr>
                <w:rFonts w:eastAsia="標楷體" w:hint="eastAsia"/>
                <w:u w:val="single"/>
              </w:rPr>
              <w:t>類：出缺席</w:t>
            </w:r>
          </w:p>
          <w:p w14:paraId="33AFF0EA" w14:textId="77777777" w:rsidR="00565C2C" w:rsidRDefault="00000000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>D</w:t>
            </w:r>
            <w:r>
              <w:rPr>
                <w:rFonts w:eastAsia="標楷體" w:hint="eastAsia"/>
                <w:u w:val="single"/>
              </w:rPr>
              <w:t>類：分組討論</w:t>
            </w:r>
          </w:p>
          <w:p w14:paraId="7FBA045D" w14:textId="77777777" w:rsidR="00565C2C" w:rsidRDefault="00565C2C">
            <w:pPr>
              <w:spacing w:line="0" w:lineRule="atLeast"/>
              <w:rPr>
                <w:rFonts w:eastAsia="標楷體"/>
                <w:u w:val="single"/>
              </w:rPr>
            </w:pPr>
          </w:p>
          <w:p w14:paraId="1E466F4E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14:paraId="0F28BF0F" w14:textId="77777777" w:rsidR="00565C2C" w:rsidRDefault="00565C2C">
            <w:pPr>
              <w:jc w:val="both"/>
              <w:rPr>
                <w:rFonts w:eastAsia="標楷體"/>
              </w:rPr>
            </w:pPr>
          </w:p>
        </w:tc>
      </w:tr>
      <w:tr w:rsidR="00565C2C" w14:paraId="57C88124" w14:textId="77777777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2629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目標</w:t>
            </w:r>
            <w:r>
              <w:rPr>
                <w:rFonts w:eastAsia="標楷體"/>
              </w:rPr>
              <w:t>(SDGs)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細項之對應</w:t>
            </w:r>
          </w:p>
          <w:p w14:paraId="4905C3F7" w14:textId="77777777" w:rsidR="00565C2C" w:rsidRDefault="00565C2C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D3BC919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請參閱</w:t>
            </w:r>
            <w:r>
              <w:rPr>
                <w:rFonts w:eastAsia="標楷體"/>
              </w:rPr>
              <w:t xml:space="preserve">SDGs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對照表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B346" w14:textId="77777777" w:rsidR="00565C2C" w:rsidRDefault="00000000">
            <w:pPr>
              <w:rPr>
                <w:rFonts w:eastAsia="標楷體"/>
              </w:rPr>
            </w:pPr>
            <w:r>
              <w:rPr>
                <w:rFonts w:ascii="標楷體" w:eastAsia="標楷體" w:hAnsi="標楷體" w:cs="微軟正黑體" w:hint="eastAsia"/>
              </w:rPr>
              <w:t>目標</w:t>
            </w:r>
            <w:r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4.7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>2030</w:t>
            </w:r>
            <w:r>
              <w:rPr>
                <w:rFonts w:eastAsia="標楷體" w:hint="eastAsia"/>
              </w:rPr>
              <w:t>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14:paraId="5850738C" w14:textId="77777777" w:rsidR="00565C2C" w:rsidRDefault="00000000">
            <w:pPr>
              <w:rPr>
                <w:rFonts w:eastAsia="標楷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16DAA16" w14:textId="77777777" w:rsidR="00565C2C" w:rsidRDefault="00000000">
            <w:pPr>
              <w:rPr>
                <w:rFonts w:eastAsia="標楷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0722DADF" w14:textId="77777777" w:rsidR="00565C2C" w:rsidRDefault="00565C2C">
            <w:pPr>
              <w:rPr>
                <w:rFonts w:eastAsia="標楷體"/>
              </w:rPr>
            </w:pPr>
          </w:p>
          <w:p w14:paraId="5F335E6C" w14:textId="77777777" w:rsidR="00565C2C" w:rsidRDefault="000000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0BA4507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期中測驗申論</w:t>
            </w:r>
            <w:r>
              <w:rPr>
                <w:rFonts w:eastAsia="標楷體" w:hint="eastAsia"/>
              </w:rPr>
              <w:t>A (30%):</w:t>
            </w:r>
            <w:r>
              <w:rPr>
                <w:rFonts w:eastAsia="標楷體" w:hint="eastAsia"/>
              </w:rPr>
              <w:t>針對期中考前選文所見之問題予以提出申論見解。</w:t>
            </w:r>
          </w:p>
          <w:p w14:paraId="14F6F7AF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期末測驗申論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(30%):</w:t>
            </w:r>
            <w:r>
              <w:rPr>
                <w:rFonts w:eastAsia="標楷體" w:hint="eastAsia"/>
              </w:rPr>
              <w:t>針對期末考前選文所見之問題予以提出申論見解。</w:t>
            </w:r>
          </w:p>
          <w:p w14:paraId="6188BBC1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p w14:paraId="5597CA61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「其他評分標準」</w:t>
            </w:r>
            <w:r>
              <w:rPr>
                <w:rFonts w:eastAsia="標楷體"/>
              </w:rPr>
              <w:t>(40%)</w:t>
            </w:r>
            <w:r>
              <w:rPr>
                <w:rFonts w:eastAsia="標楷體"/>
              </w:rPr>
              <w:t>：</w:t>
            </w:r>
          </w:p>
          <w:p w14:paraId="3B3BE153" w14:textId="77777777" w:rsidR="00565C2C" w:rsidRDefault="00000000">
            <w:pPr>
              <w:spacing w:line="0" w:lineRule="atLeas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本項</w:t>
            </w:r>
            <w:r>
              <w:rPr>
                <w:rFonts w:eastAsia="標楷體"/>
                <w:color w:val="FF0000"/>
              </w:rPr>
              <w:t>含出席率</w:t>
            </w:r>
            <w:r>
              <w:rPr>
                <w:rFonts w:eastAsia="標楷體" w:hint="eastAsia"/>
                <w:color w:val="FF0000"/>
              </w:rPr>
              <w:t>、課堂參</w:t>
            </w:r>
            <w:r>
              <w:rPr>
                <w:rFonts w:eastAsia="標楷體"/>
                <w:color w:val="FF0000"/>
              </w:rPr>
              <w:t>與</w:t>
            </w:r>
            <w:r>
              <w:rPr>
                <w:rFonts w:eastAsia="標楷體" w:hint="eastAsia"/>
                <w:color w:val="FF0000"/>
              </w:rPr>
              <w:t>及</w:t>
            </w:r>
            <w:r>
              <w:rPr>
                <w:rFonts w:eastAsia="標楷體"/>
                <w:color w:val="FF0000"/>
              </w:rPr>
              <w:t>平時成績</w:t>
            </w:r>
            <w:r>
              <w:rPr>
                <w:rFonts w:eastAsia="標楷體" w:hint="eastAsia"/>
                <w:color w:val="FF0000"/>
              </w:rPr>
              <w:t>等指標。</w:t>
            </w:r>
          </w:p>
          <w:p w14:paraId="03401130" w14:textId="1F8A927E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15</w:t>
            </w:r>
            <w:r>
              <w:rPr>
                <w:rFonts w:eastAsia="標楷體" w:hint="eastAsia"/>
              </w:rPr>
              <w:t>%):</w:t>
            </w:r>
            <w:r w:rsidR="00293A12">
              <w:rPr>
                <w:rFonts w:eastAsia="標楷體" w:hint="eastAsia"/>
              </w:rPr>
              <w:t>依到課點名為主來計算</w:t>
            </w:r>
            <w:r>
              <w:rPr>
                <w:rFonts w:eastAsia="標楷體" w:hint="eastAsia"/>
              </w:rPr>
              <w:t>。</w:t>
            </w:r>
          </w:p>
          <w:p w14:paraId="4BDFFE5B" w14:textId="4B54EF16" w:rsidR="00565C2C" w:rsidRDefault="00000000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(2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%):</w:t>
            </w:r>
            <w:r>
              <w:rPr>
                <w:rFonts w:eastAsia="標楷體" w:hint="eastAsia"/>
              </w:rPr>
              <w:t>小組討論參與度</w:t>
            </w:r>
            <w:r w:rsidR="00367546">
              <w:rPr>
                <w:rFonts w:eastAsia="標楷體" w:hint="eastAsia"/>
              </w:rPr>
              <w:t>及課堂報告</w:t>
            </w:r>
            <w:r w:rsidR="00293A12">
              <w:rPr>
                <w:rFonts w:eastAsia="標楷體" w:hint="eastAsia"/>
              </w:rPr>
              <w:t>。</w:t>
            </w:r>
          </w:p>
          <w:p w14:paraId="6B2DD16F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</w:tc>
      </w:tr>
      <w:tr w:rsidR="00565C2C" w14:paraId="739A24A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189F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7"/>
              <w:gridCol w:w="4140"/>
              <w:gridCol w:w="1274"/>
            </w:tblGrid>
            <w:tr w:rsidR="00565C2C" w14:paraId="0381AB67" w14:textId="77777777">
              <w:tc>
                <w:tcPr>
                  <w:tcW w:w="2847" w:type="dxa"/>
                  <w:vAlign w:val="center"/>
                </w:tcPr>
                <w:p w14:paraId="58305DBB" w14:textId="77777777" w:rsidR="00565C2C" w:rsidRDefault="0000000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5288C432" w14:textId="77777777" w:rsidR="00565C2C" w:rsidRDefault="0000000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63DB9644" w14:textId="77777777" w:rsidR="00565C2C" w:rsidRDefault="0000000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</w:rPr>
                    <w:t>(</w:t>
                  </w:r>
                  <w:r>
                    <w:rPr>
                      <w:rFonts w:eastAsia="標楷體"/>
                      <w:color w:val="000000"/>
                    </w:rPr>
                    <w:t>請勾選主要的</w:t>
                  </w:r>
                  <w:r>
                    <w:rPr>
                      <w:rFonts w:eastAsia="標楷體"/>
                    </w:rPr>
                    <w:t>3-5</w:t>
                  </w:r>
                  <w:r>
                    <w:rPr>
                      <w:rFonts w:eastAsia="標楷體"/>
                    </w:rPr>
                    <w:t>項</w:t>
                  </w:r>
                  <w:r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20A250" w14:textId="77777777" w:rsidR="00565C2C" w:rsidRDefault="0000000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0FFE1AE" w14:textId="77777777" w:rsidR="00565C2C" w:rsidRDefault="00000000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課程能培養學生此項核心能力者請打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565C2C" w14:paraId="200A82F5" w14:textId="77777777">
              <w:tc>
                <w:tcPr>
                  <w:tcW w:w="2847" w:type="dxa"/>
                  <w:vAlign w:val="center"/>
                </w:tcPr>
                <w:p w14:paraId="20994412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D51C1D" w14:textId="77777777" w:rsidR="00565C2C" w:rsidRDefault="0000000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4A45981" w14:textId="77777777" w:rsidR="00565C2C" w:rsidRDefault="00565C2C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65C2C" w14:paraId="721ED6F5" w14:textId="77777777">
              <w:tc>
                <w:tcPr>
                  <w:tcW w:w="2847" w:type="dxa"/>
                  <w:vAlign w:val="center"/>
                </w:tcPr>
                <w:p w14:paraId="4E4EA35B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9DDB64C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9A74C17" w14:textId="77777777" w:rsidR="00565C2C" w:rsidRDefault="00000000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65C2C" w14:paraId="15BA7EA7" w14:textId="77777777">
              <w:tc>
                <w:tcPr>
                  <w:tcW w:w="2847" w:type="dxa"/>
                  <w:vAlign w:val="center"/>
                </w:tcPr>
                <w:p w14:paraId="24297595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lastRenderedPageBreak/>
                    <w:t>(3)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90A347" w14:textId="77777777" w:rsidR="00565C2C" w:rsidRDefault="0000000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78D4C5F0" w14:textId="77777777" w:rsidR="00565C2C" w:rsidRDefault="0000000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65C2C" w14:paraId="2E9CD693" w14:textId="77777777">
              <w:tc>
                <w:tcPr>
                  <w:tcW w:w="2847" w:type="dxa"/>
                  <w:vAlign w:val="center"/>
                </w:tcPr>
                <w:p w14:paraId="2E9986E3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D89179" w14:textId="77777777" w:rsidR="00565C2C" w:rsidRDefault="00000000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951B515" w14:textId="77777777" w:rsidR="00565C2C" w:rsidRDefault="00000000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65C2C" w14:paraId="6E15E685" w14:textId="77777777">
              <w:tc>
                <w:tcPr>
                  <w:tcW w:w="2847" w:type="dxa"/>
                  <w:vAlign w:val="center"/>
                </w:tcPr>
                <w:p w14:paraId="51E0871D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DAC48D7" w14:textId="77777777" w:rsidR="00565C2C" w:rsidRDefault="00000000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57329C3" w14:textId="77777777" w:rsidR="00565C2C" w:rsidRDefault="00565C2C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5C2C" w14:paraId="74104824" w14:textId="77777777">
              <w:tc>
                <w:tcPr>
                  <w:tcW w:w="2847" w:type="dxa"/>
                  <w:vAlign w:val="center"/>
                </w:tcPr>
                <w:p w14:paraId="59395D7F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C4C19C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F44236F" w14:textId="77777777" w:rsidR="00565C2C" w:rsidRDefault="00565C2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5C2C" w14:paraId="01E24367" w14:textId="77777777">
              <w:tc>
                <w:tcPr>
                  <w:tcW w:w="2847" w:type="dxa"/>
                  <w:vAlign w:val="center"/>
                </w:tcPr>
                <w:p w14:paraId="2FAC7FCB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7AF6C2F" w14:textId="77777777" w:rsidR="00565C2C" w:rsidRDefault="0000000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6FD60DF4" w14:textId="77777777" w:rsidR="00565C2C" w:rsidRDefault="00565C2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5C2C" w14:paraId="697EEECE" w14:textId="77777777">
              <w:tc>
                <w:tcPr>
                  <w:tcW w:w="2847" w:type="dxa"/>
                  <w:vAlign w:val="center"/>
                </w:tcPr>
                <w:p w14:paraId="60408056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5884CBF" w14:textId="77777777" w:rsidR="00565C2C" w:rsidRDefault="0000000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8F4FC45" w14:textId="77777777" w:rsidR="00565C2C" w:rsidRDefault="00565C2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5C2C" w14:paraId="518A7C0F" w14:textId="77777777">
              <w:tc>
                <w:tcPr>
                  <w:tcW w:w="2847" w:type="dxa"/>
                  <w:vAlign w:val="center"/>
                </w:tcPr>
                <w:p w14:paraId="459C4BE6" w14:textId="77777777" w:rsidR="00565C2C" w:rsidRDefault="0000000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8188216" w14:textId="77777777" w:rsidR="00565C2C" w:rsidRDefault="00000000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F433D10" w14:textId="77777777" w:rsidR="00565C2C" w:rsidRDefault="00000000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48C61ED8" w14:textId="77777777" w:rsidR="00565C2C" w:rsidRDefault="00565C2C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565C2C" w14:paraId="394F4F85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360" w14:textId="77777777" w:rsidR="00565C2C" w:rsidRDefault="00000000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lastRenderedPageBreak/>
              <w:t xml:space="preserve">  </w:t>
            </w:r>
            <w:r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4AF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姓名：陳伯謙</w:t>
            </w:r>
          </w:p>
          <w:p w14:paraId="47540C53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7E69A251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服務單位：中國文學系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職稱：兼任助理教授</w:t>
            </w:r>
          </w:p>
          <w:p w14:paraId="3584F949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95C22BC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中正大學中文系博士、嘉義大學中文系碩士</w:t>
            </w:r>
          </w:p>
          <w:p w14:paraId="6EAD6F7E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現職：</w:t>
            </w:r>
          </w:p>
          <w:p w14:paraId="0E9B35E1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國立臺灣體育運動大學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大一國文講師</w:t>
            </w:r>
          </w:p>
          <w:p w14:paraId="736EAB03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p w14:paraId="77A38DB8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曾任：</w:t>
            </w:r>
          </w:p>
          <w:p w14:paraId="5880C0CE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國立嘉義大學中國文學系兼任講師</w:t>
            </w:r>
          </w:p>
          <w:p w14:paraId="5E718D81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私立敏惠醫護專科管理學校通識教育中心兼任講師</w:t>
            </w:r>
          </w:p>
          <w:p w14:paraId="454E7291" w14:textId="77777777" w:rsidR="00565C2C" w:rsidRDefault="0000000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私立崇仁醫護管理專科學校通識教育中心兼任講師</w:t>
            </w:r>
          </w:p>
          <w:p w14:paraId="6D8E034F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  <w:p w14:paraId="7C21D758" w14:textId="77777777" w:rsidR="00565C2C" w:rsidRDefault="00000000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專業領域：古典話本小說、現當代小說、明清傳奇、元明雜劇</w:t>
            </w:r>
          </w:p>
        </w:tc>
      </w:tr>
      <w:tr w:rsidR="00565C2C" w14:paraId="1A48A91D" w14:textId="77777777">
        <w:trPr>
          <w:trHeight w:val="7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13B" w14:textId="77777777" w:rsidR="00565C2C" w:rsidRDefault="0000000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BF3" w14:textId="77777777" w:rsidR="00565C2C" w:rsidRDefault="00565C2C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708C7D39" w14:textId="77777777" w:rsidR="00565C2C" w:rsidRDefault="00565C2C"/>
    <w:sectPr w:rsidR="00565C2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B382" w14:textId="77777777" w:rsidR="000C3F3B" w:rsidRDefault="000C3F3B">
      <w:r>
        <w:separator/>
      </w:r>
    </w:p>
  </w:endnote>
  <w:endnote w:type="continuationSeparator" w:id="0">
    <w:p w14:paraId="1D436EC0" w14:textId="77777777" w:rsidR="000C3F3B" w:rsidRDefault="000C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9278" w14:textId="77777777" w:rsidR="000C3F3B" w:rsidRDefault="000C3F3B">
      <w:r>
        <w:separator/>
      </w:r>
    </w:p>
  </w:footnote>
  <w:footnote w:type="continuationSeparator" w:id="0">
    <w:p w14:paraId="717E7F54" w14:textId="77777777" w:rsidR="000C3F3B" w:rsidRDefault="000C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FBD" w14:textId="77777777" w:rsidR="00565C2C" w:rsidRDefault="00000000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110</w:t>
    </w:r>
    <w:r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2</w:t>
    </w:r>
    <w:r>
      <w:rPr>
        <w:rFonts w:ascii="標楷體" w:eastAsia="標楷體" w:hAnsi="標楷體" w:hint="eastAsia"/>
      </w:rPr>
      <w:t>月2</w:t>
    </w:r>
    <w:r>
      <w:rPr>
        <w:rFonts w:ascii="標楷體" w:eastAsia="標楷體" w:hAnsi="標楷體"/>
      </w:rPr>
      <w:t>4</w:t>
    </w:r>
    <w:r>
      <w:rPr>
        <w:rFonts w:ascii="標楷體" w:eastAsia="標楷體" w:hAnsi="標楷體" w:hint="eastAsia"/>
      </w:rPr>
      <w:t>日通識教育中心會議修訂</w:t>
    </w:r>
  </w:p>
  <w:p w14:paraId="6265EEDD" w14:textId="77777777" w:rsidR="00565C2C" w:rsidRDefault="00565C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157"/>
    <w:multiLevelType w:val="multilevel"/>
    <w:tmpl w:val="2FCC5157"/>
    <w:lvl w:ilvl="0">
      <w:start w:val="1"/>
      <w:numFmt w:val="upperLetter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22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14321"/>
    <w:rsid w:val="0002033D"/>
    <w:rsid w:val="0004754B"/>
    <w:rsid w:val="000C3F3B"/>
    <w:rsid w:val="000C7448"/>
    <w:rsid w:val="000F36E1"/>
    <w:rsid w:val="00103B9F"/>
    <w:rsid w:val="00105FD9"/>
    <w:rsid w:val="0013007E"/>
    <w:rsid w:val="00180BA5"/>
    <w:rsid w:val="00186156"/>
    <w:rsid w:val="001C01EC"/>
    <w:rsid w:val="001C0275"/>
    <w:rsid w:val="00204E25"/>
    <w:rsid w:val="002122EF"/>
    <w:rsid w:val="00234ECF"/>
    <w:rsid w:val="00240344"/>
    <w:rsid w:val="00243498"/>
    <w:rsid w:val="00246B6D"/>
    <w:rsid w:val="0027431E"/>
    <w:rsid w:val="00293A12"/>
    <w:rsid w:val="00293E9A"/>
    <w:rsid w:val="002A69A5"/>
    <w:rsid w:val="002D0751"/>
    <w:rsid w:val="002E0624"/>
    <w:rsid w:val="002E17F3"/>
    <w:rsid w:val="002E25C0"/>
    <w:rsid w:val="002F6DE6"/>
    <w:rsid w:val="00312AB3"/>
    <w:rsid w:val="00322D6A"/>
    <w:rsid w:val="003428FF"/>
    <w:rsid w:val="00363DFA"/>
    <w:rsid w:val="00367546"/>
    <w:rsid w:val="00383BCB"/>
    <w:rsid w:val="00415A61"/>
    <w:rsid w:val="00423CD3"/>
    <w:rsid w:val="004374BE"/>
    <w:rsid w:val="00451230"/>
    <w:rsid w:val="00453675"/>
    <w:rsid w:val="00455287"/>
    <w:rsid w:val="004613C3"/>
    <w:rsid w:val="00495460"/>
    <w:rsid w:val="004A6B09"/>
    <w:rsid w:val="004D1B51"/>
    <w:rsid w:val="004F4DAD"/>
    <w:rsid w:val="004F6DC1"/>
    <w:rsid w:val="005471A4"/>
    <w:rsid w:val="00547DC5"/>
    <w:rsid w:val="00555E99"/>
    <w:rsid w:val="00565C2C"/>
    <w:rsid w:val="005B0E08"/>
    <w:rsid w:val="005B179A"/>
    <w:rsid w:val="005D572D"/>
    <w:rsid w:val="005E5CBC"/>
    <w:rsid w:val="005F3F9A"/>
    <w:rsid w:val="00600215"/>
    <w:rsid w:val="00606AEB"/>
    <w:rsid w:val="0061663E"/>
    <w:rsid w:val="006916AF"/>
    <w:rsid w:val="006A009C"/>
    <w:rsid w:val="006B117F"/>
    <w:rsid w:val="006C1882"/>
    <w:rsid w:val="00742E56"/>
    <w:rsid w:val="007A3F83"/>
    <w:rsid w:val="007D5271"/>
    <w:rsid w:val="007E58B1"/>
    <w:rsid w:val="0080033A"/>
    <w:rsid w:val="00824977"/>
    <w:rsid w:val="00853EF8"/>
    <w:rsid w:val="008A0859"/>
    <w:rsid w:val="008C3804"/>
    <w:rsid w:val="008C69A6"/>
    <w:rsid w:val="008C6B80"/>
    <w:rsid w:val="008F37BD"/>
    <w:rsid w:val="00912400"/>
    <w:rsid w:val="009205CF"/>
    <w:rsid w:val="009474C6"/>
    <w:rsid w:val="0096377B"/>
    <w:rsid w:val="009D1097"/>
    <w:rsid w:val="00A24EA5"/>
    <w:rsid w:val="00A24ECE"/>
    <w:rsid w:val="00A4115D"/>
    <w:rsid w:val="00A61A39"/>
    <w:rsid w:val="00A80E67"/>
    <w:rsid w:val="00AD446C"/>
    <w:rsid w:val="00AD75AB"/>
    <w:rsid w:val="00B23AF1"/>
    <w:rsid w:val="00B332AE"/>
    <w:rsid w:val="00B645B7"/>
    <w:rsid w:val="00B75145"/>
    <w:rsid w:val="00B93D80"/>
    <w:rsid w:val="00BF0C4A"/>
    <w:rsid w:val="00C037DA"/>
    <w:rsid w:val="00C5153C"/>
    <w:rsid w:val="00C52C0A"/>
    <w:rsid w:val="00C870D5"/>
    <w:rsid w:val="00CA33C0"/>
    <w:rsid w:val="00CE592A"/>
    <w:rsid w:val="00D0626C"/>
    <w:rsid w:val="00D24DE4"/>
    <w:rsid w:val="00D339B3"/>
    <w:rsid w:val="00D47636"/>
    <w:rsid w:val="00D72977"/>
    <w:rsid w:val="00D91AE9"/>
    <w:rsid w:val="00D96918"/>
    <w:rsid w:val="00DA460C"/>
    <w:rsid w:val="00DE234A"/>
    <w:rsid w:val="00DE5276"/>
    <w:rsid w:val="00DF64C8"/>
    <w:rsid w:val="00E3470C"/>
    <w:rsid w:val="00E46EA2"/>
    <w:rsid w:val="00E602F8"/>
    <w:rsid w:val="00E90753"/>
    <w:rsid w:val="00EC499A"/>
    <w:rsid w:val="00ED26AE"/>
    <w:rsid w:val="00EE31F5"/>
    <w:rsid w:val="00F048BF"/>
    <w:rsid w:val="00F10DDA"/>
    <w:rsid w:val="00F31806"/>
    <w:rsid w:val="00F34027"/>
    <w:rsid w:val="00F53800"/>
    <w:rsid w:val="00F70079"/>
    <w:rsid w:val="00FA4D64"/>
    <w:rsid w:val="00FE0BCC"/>
    <w:rsid w:val="00FE0CBF"/>
    <w:rsid w:val="14C64BD1"/>
    <w:rsid w:val="3FF10D99"/>
    <w:rsid w:val="55453F3A"/>
    <w:rsid w:val="5E5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E8226"/>
  <w15:docId w15:val="{5EE8890E-2BFD-A440-BAB3-F1DF7E2D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修訂1"/>
    <w:hidden/>
    <w:uiPriority w:val="99"/>
    <w:semiHidden/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10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3AC2F9-25C1-4520-A6B1-54CB4FF40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伯謙 陳</cp:lastModifiedBy>
  <cp:revision>44</cp:revision>
  <cp:lastPrinted>2015-03-16T06:17:00Z</cp:lastPrinted>
  <dcterms:created xsi:type="dcterms:W3CDTF">2023-04-20T00:22:00Z</dcterms:created>
  <dcterms:modified xsi:type="dcterms:W3CDTF">2026-02-24T07:39:00Z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