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9E4" w:rsidRPr="00215611" w:rsidRDefault="00FC19E4" w:rsidP="005C20FA">
      <w:pPr>
        <w:pStyle w:val="31"/>
        <w:spacing w:line="240" w:lineRule="auto"/>
        <w:jc w:val="center"/>
        <w:rPr>
          <w:rFonts w:ascii="微軟正黑體" w:eastAsia="微軟正黑體" w:hAnsi="微軟正黑體"/>
          <w:b w:val="0"/>
          <w:color w:val="auto"/>
          <w:sz w:val="28"/>
          <w:szCs w:val="28"/>
          <w:lang w:eastAsia="zh-TW"/>
        </w:rPr>
      </w:pPr>
      <w:r w:rsidRPr="00215611">
        <w:rPr>
          <w:rFonts w:ascii="微軟正黑體" w:eastAsia="微軟正黑體" w:hAnsi="微軟正黑體" w:hint="eastAsia"/>
          <w:b w:val="0"/>
          <w:color w:val="auto"/>
          <w:sz w:val="28"/>
          <w:szCs w:val="28"/>
          <w:lang w:eastAsia="zh-TW"/>
        </w:rPr>
        <w:t>國立中正大學</w:t>
      </w:r>
      <w:r w:rsidR="00215611" w:rsidRPr="00215611">
        <w:rPr>
          <w:rFonts w:ascii="微軟正黑體" w:eastAsia="微軟正黑體" w:hAnsi="微軟正黑體" w:hint="eastAsia"/>
          <w:b w:val="0"/>
          <w:color w:val="auto"/>
          <w:sz w:val="28"/>
          <w:szCs w:val="28"/>
          <w:lang w:eastAsia="zh-TW"/>
        </w:rPr>
        <w:t>課程</w:t>
      </w:r>
      <w:r w:rsidRPr="00215611">
        <w:rPr>
          <w:rFonts w:ascii="微軟正黑體" w:eastAsia="微軟正黑體" w:hAnsi="微軟正黑體" w:hint="eastAsia"/>
          <w:b w:val="0"/>
          <w:color w:val="auto"/>
          <w:sz w:val="28"/>
          <w:szCs w:val="28"/>
          <w:lang w:eastAsia="zh-TW"/>
        </w:rPr>
        <w:t>研究所碩士班</w:t>
      </w:r>
    </w:p>
    <w:p w:rsidR="00FC19E4" w:rsidRPr="00215611" w:rsidRDefault="00215611" w:rsidP="005C20FA">
      <w:pPr>
        <w:spacing w:line="240" w:lineRule="auto"/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 w:rsidRPr="00215611">
        <w:rPr>
          <w:rFonts w:ascii="微軟正黑體" w:eastAsia="微軟正黑體" w:hAnsi="微軟正黑體" w:hint="eastAsia"/>
          <w:sz w:val="28"/>
          <w:szCs w:val="28"/>
          <w:lang w:eastAsia="zh-TW"/>
        </w:rPr>
        <w:t>認知發展</w:t>
      </w:r>
      <w:r w:rsidR="00435C10">
        <w:rPr>
          <w:rFonts w:ascii="微軟正黑體" w:eastAsia="微軟正黑體" w:hAnsi="微軟正黑體" w:hint="eastAsia"/>
          <w:sz w:val="28"/>
          <w:szCs w:val="28"/>
          <w:lang w:eastAsia="zh-TW"/>
        </w:rPr>
        <w:t>研究</w:t>
      </w:r>
    </w:p>
    <w:p w:rsidR="00FC19E4" w:rsidRPr="00215611" w:rsidRDefault="00FC19E4" w:rsidP="005C20FA">
      <w:pPr>
        <w:spacing w:line="240" w:lineRule="auto"/>
        <w:jc w:val="center"/>
        <w:rPr>
          <w:rFonts w:ascii="微軟正黑體" w:eastAsia="微軟正黑體" w:hAnsi="微軟正黑體"/>
          <w:bCs/>
          <w:sz w:val="24"/>
          <w:szCs w:val="24"/>
          <w:lang w:eastAsia="zh-TW"/>
        </w:rPr>
      </w:pPr>
      <w:r w:rsidRPr="00215611">
        <w:rPr>
          <w:rFonts w:ascii="微軟正黑體" w:eastAsia="微軟正黑體" w:hAnsi="微軟正黑體" w:hint="eastAsia"/>
          <w:bCs/>
          <w:sz w:val="24"/>
          <w:szCs w:val="24"/>
          <w:lang w:eastAsia="zh-TW"/>
        </w:rPr>
        <w:t>202</w:t>
      </w:r>
      <w:r w:rsidR="00DE4529">
        <w:rPr>
          <w:rFonts w:ascii="微軟正黑體" w:eastAsia="微軟正黑體" w:hAnsi="微軟正黑體"/>
          <w:bCs/>
          <w:sz w:val="24"/>
          <w:szCs w:val="24"/>
          <w:lang w:eastAsia="zh-TW"/>
        </w:rPr>
        <w:t>6</w:t>
      </w:r>
      <w:r w:rsidRPr="00215611">
        <w:rPr>
          <w:rFonts w:ascii="微軟正黑體" w:eastAsia="微軟正黑體" w:hAnsi="微軟正黑體" w:hint="eastAsia"/>
          <w:bCs/>
          <w:sz w:val="24"/>
          <w:szCs w:val="24"/>
          <w:lang w:eastAsia="zh-TW"/>
        </w:rPr>
        <w:t>年</w:t>
      </w:r>
      <w:r w:rsidR="00DE4529">
        <w:rPr>
          <w:rFonts w:ascii="微軟正黑體" w:eastAsia="微軟正黑體" w:hAnsi="微軟正黑體"/>
          <w:bCs/>
          <w:sz w:val="24"/>
          <w:szCs w:val="24"/>
          <w:lang w:eastAsia="zh-TW"/>
        </w:rPr>
        <w:t>1</w:t>
      </w:r>
      <w:r w:rsidRPr="00215611">
        <w:rPr>
          <w:rFonts w:ascii="微軟正黑體" w:eastAsia="微軟正黑體" w:hAnsi="微軟正黑體" w:hint="eastAsia"/>
          <w:bCs/>
          <w:sz w:val="24"/>
          <w:szCs w:val="24"/>
          <w:lang w:eastAsia="zh-TW"/>
        </w:rPr>
        <w:t>月至20</w:t>
      </w:r>
      <w:r w:rsidRPr="00215611">
        <w:rPr>
          <w:rFonts w:ascii="微軟正黑體" w:eastAsia="微軟正黑體" w:hAnsi="微軟正黑體"/>
          <w:bCs/>
          <w:sz w:val="24"/>
          <w:szCs w:val="24"/>
          <w:lang w:eastAsia="zh-TW"/>
        </w:rPr>
        <w:t>26</w:t>
      </w:r>
      <w:r w:rsidRPr="00215611">
        <w:rPr>
          <w:rFonts w:ascii="微軟正黑體" w:eastAsia="微軟正黑體" w:hAnsi="微軟正黑體" w:hint="eastAsia"/>
          <w:bCs/>
          <w:sz w:val="24"/>
          <w:szCs w:val="24"/>
          <w:lang w:eastAsia="zh-TW"/>
        </w:rPr>
        <w:t>年</w:t>
      </w:r>
      <w:r w:rsidR="00DE4529">
        <w:rPr>
          <w:rFonts w:ascii="微軟正黑體" w:eastAsia="微軟正黑體" w:hAnsi="微軟正黑體"/>
          <w:bCs/>
          <w:sz w:val="24"/>
          <w:szCs w:val="24"/>
          <w:lang w:eastAsia="zh-TW"/>
        </w:rPr>
        <w:t>6</w:t>
      </w:r>
      <w:r w:rsidRPr="00215611">
        <w:rPr>
          <w:rFonts w:ascii="微軟正黑體" w:eastAsia="微軟正黑體" w:hAnsi="微軟正黑體" w:hint="eastAsia"/>
          <w:bCs/>
          <w:sz w:val="24"/>
          <w:szCs w:val="24"/>
          <w:lang w:eastAsia="zh-TW"/>
        </w:rPr>
        <w:t>月</w:t>
      </w:r>
    </w:p>
    <w:p w:rsidR="00FC19E4" w:rsidRPr="00215611" w:rsidRDefault="00FC19E4" w:rsidP="005C20FA">
      <w:pPr>
        <w:spacing w:line="240" w:lineRule="auto"/>
        <w:jc w:val="center"/>
        <w:rPr>
          <w:rFonts w:ascii="微軟正黑體" w:eastAsia="微軟正黑體" w:hAnsi="微軟正黑體"/>
          <w:sz w:val="24"/>
          <w:szCs w:val="24"/>
          <w:lang w:eastAsia="zh-TW"/>
        </w:rPr>
      </w:pP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授課教師：曾玉村</w:t>
      </w:r>
      <w:r w:rsidR="00215611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教授</w:t>
      </w:r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   授課時段：週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二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1</w:t>
      </w:r>
      <w:r w:rsidR="00215611" w:rsidRPr="00215611">
        <w:rPr>
          <w:rFonts w:ascii="微軟正黑體" w:eastAsia="微軟正黑體" w:hAnsi="微軟正黑體"/>
          <w:sz w:val="24"/>
          <w:szCs w:val="24"/>
          <w:lang w:eastAsia="zh-TW"/>
        </w:rPr>
        <w:t>6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:</w:t>
      </w:r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>1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0~1</w:t>
      </w:r>
      <w:r w:rsidR="00215611" w:rsidRPr="00215611">
        <w:rPr>
          <w:rFonts w:ascii="微軟正黑體" w:eastAsia="微軟正黑體" w:hAnsi="微軟正黑體"/>
          <w:sz w:val="24"/>
          <w:szCs w:val="24"/>
          <w:lang w:eastAsia="zh-TW"/>
        </w:rPr>
        <w:t>8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:00       2學分</w:t>
      </w:r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 xml:space="preserve"> 選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修</w:t>
      </w:r>
    </w:p>
    <w:p w:rsidR="00FC19E4" w:rsidRPr="00215611" w:rsidRDefault="00215611" w:rsidP="005C20FA">
      <w:pPr>
        <w:spacing w:line="240" w:lineRule="auto"/>
        <w:jc w:val="center"/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="00FC19E4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研究室：教育</w:t>
      </w:r>
      <w:proofErr w:type="gramStart"/>
      <w:r w:rsidR="00FC19E4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一</w:t>
      </w:r>
      <w:proofErr w:type="gramEnd"/>
      <w:r w:rsidR="00FC19E4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館511室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</w:t>
      </w:r>
      <w:r w:rsidR="00FC19E4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分機：36403  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="00FC19E4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="00FC19E4" w:rsidRPr="00215611">
        <w:rPr>
          <w:rFonts w:ascii="微軟正黑體" w:eastAsia="微軟正黑體" w:hAnsi="微軟正黑體"/>
          <w:sz w:val="24"/>
          <w:szCs w:val="24"/>
          <w:lang w:eastAsia="zh-TW"/>
        </w:rPr>
        <w:t xml:space="preserve">E-mail: </w:t>
      </w:r>
      <w:hyperlink r:id="rId8" w:history="1">
        <w:r w:rsidR="00FC19E4" w:rsidRPr="00215611">
          <w:rPr>
            <w:rStyle w:val="affc"/>
            <w:rFonts w:ascii="微軟正黑體" w:eastAsia="微軟正黑體" w:hAnsi="微軟正黑體"/>
            <w:sz w:val="24"/>
            <w:szCs w:val="24"/>
            <w:lang w:eastAsia="zh-TW"/>
          </w:rPr>
          <w:t>ttcytt@gmail.com</w:t>
        </w:r>
      </w:hyperlink>
    </w:p>
    <w:p w:rsidR="00FC19E4" w:rsidRDefault="00FC19E4" w:rsidP="005C20FA">
      <w:pPr>
        <w:spacing w:line="240" w:lineRule="auto"/>
        <w:jc w:val="center"/>
        <w:rPr>
          <w:rFonts w:ascii="微軟正黑體" w:eastAsia="微軟正黑體" w:hAnsi="微軟正黑體"/>
          <w:sz w:val="24"/>
          <w:szCs w:val="24"/>
          <w:lang w:eastAsia="zh-TW"/>
        </w:rPr>
      </w:pP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>Line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>ID: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proofErr w:type="spellStart"/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>yuhtsuen</w:t>
      </w:r>
      <w:proofErr w:type="spellEnd"/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="00215611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解惑時段：週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一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1</w:t>
      </w:r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>4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:00~</w:t>
      </w:r>
      <w:r w:rsidRPr="00215611">
        <w:rPr>
          <w:rFonts w:ascii="微軟正黑體" w:eastAsia="微軟正黑體" w:hAnsi="微軟正黑體"/>
          <w:sz w:val="24"/>
          <w:szCs w:val="24"/>
          <w:lang w:eastAsia="zh-TW"/>
        </w:rPr>
        <w:t>16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:00</w:t>
      </w:r>
      <w:r w:rsidR="00215611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</w:t>
      </w:r>
      <w:r w:rsid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或</w:t>
      </w:r>
      <w:r w:rsidR="00215611"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</w:t>
      </w:r>
      <w:r w:rsidR="00215611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Pr="00215611">
        <w:rPr>
          <w:rFonts w:ascii="微軟正黑體" w:eastAsia="微軟正黑體" w:hAnsi="微軟正黑體" w:hint="eastAsia"/>
          <w:sz w:val="24"/>
          <w:szCs w:val="24"/>
          <w:lang w:eastAsia="zh-TW"/>
        </w:rPr>
        <w:t>另外預約時段</w:t>
      </w:r>
    </w:p>
    <w:p w:rsidR="001201DA" w:rsidRPr="00D81298" w:rsidRDefault="00AC0BE1" w:rsidP="005C20FA">
      <w:pPr>
        <w:spacing w:line="240" w:lineRule="auto"/>
        <w:jc w:val="center"/>
        <w:rPr>
          <w:rFonts w:ascii="微軟正黑體" w:eastAsia="微軟正黑體" w:hAnsi="微軟正黑體"/>
          <w:szCs w:val="24"/>
          <w:lang w:eastAsia="zh-TW"/>
        </w:rPr>
      </w:pPr>
      <w:r>
        <w:rPr>
          <w:rFonts w:ascii="微軟正黑體" w:eastAsia="微軟正黑體" w:hAnsi="微軟正黑體" w:hint="eastAsia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585460" cy="11430"/>
                <wp:effectExtent l="38100" t="38100" r="72390" b="8382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546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5F29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39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PczgEAAMEDAAAOAAAAZHJzL2Uyb0RvYy54bWysU0uOEzEQ3SNxB8t70t1hMhq10pnFjGCD&#10;IOJzAI+7nFjyT2WT7lyCA4DEjhsgseA+jOYWlJ2kBwHSSIiN22XXe1XvuXp5OVrDdoBRe9fxZlZz&#10;Bk76XrtNx9+9ffbkgrOYhOuF8Q46vofIL1ePHy2H0MLcb73pARmRuNgOoePblEJbVVFuwYo48wEc&#10;XSqPViQKcVP1KAZit6aa1/V5NXjsA3oJMdLp9eGSrwq/UiDTK6UiJGY6Tr2lsmJZb/JarZai3aAI&#10;Wy2PbYh/6MIK7ajoRHUtkmDvUf9BZbVEH71KM+lt5ZXSEooGUtPUv6l5sxUBihYyJ4bJpvj/aOXL&#10;3RqZ7untOHPC0hPdfvp6++3jjw9f7r5/Zk12aAixpcQrt8ZjFMMas9xRoc1fEsLG4up+chXGxCQd&#10;LhYXi7NzMl/SXdOcPS2uV/fggDE9B29Z3nTcaJdFi1bsXsREBSn1lEJBbuZQvuzS3kBONu41KBJC&#10;BecFXUYIrgyynaDHF1KCS0UO8ZXsDFPamAlYPww85mcolPGawM3D4AlRKnuXJrDVzuPfCNJ4alkd&#10;8k8OHHRnC258vy8PU6yhOSmOHWc6D+KvcYHf/3mrnwAAAP//AwBQSwMEFAAGAAgAAAAhAPE52vbZ&#10;AAAABAEAAA8AAABkcnMvZG93bnJldi54bWxMj81OwzAQhO9IvIO1SNyoQyTSNsSpEBISRxo4cHTi&#10;JT/Ea8t2m/TtWU5w29GMZr6tDqudxRlDHB0puN9kIJA6Z0bqFXy8v9ztQMSkyejZESq4YIRDfX1V&#10;6dK4hY54blIvuIRiqRUMKflSytgNaHXcOI/E3pcLVieWoZcm6IXL7SzzLCuk1SPxwqA9Pg/YfTcn&#10;q+AztFP+ell87qai2U8e87cjKnV7sz49gki4pr8w/OIzOtTM1LoTmShmBfxIUlBsQbC52+4LEC0f&#10;DyDrSv6Hr38AAAD//wMAUEsBAi0AFAAGAAgAAAAhALaDOJL+AAAA4QEAABMAAAAAAAAAAAAAAAAA&#10;AAAAAFtDb250ZW50X1R5cGVzXS54bWxQSwECLQAUAAYACAAAACEAOP0h/9YAAACUAQAACwAAAAAA&#10;AAAAAAAAAAAvAQAAX3JlbHMvLnJlbHNQSwECLQAUAAYACAAAACEAYDrz3M4BAADBAwAADgAAAAAA&#10;AAAAAAAAAAAuAgAAZHJzL2Uyb0RvYy54bWxQSwECLQAUAAYACAAAACEA8Tna9tkAAAAEAQAADwAA&#10;AAAAAAAAAAAAAAAoBAAAZHJzL2Rvd25yZXYueG1sUEsFBgAAAAAEAAQA8wAAAC4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9612A9" w:rsidRDefault="0087294D" w:rsidP="009612A9">
      <w:pPr>
        <w:spacing w:line="240" w:lineRule="auto"/>
        <w:rPr>
          <w:rFonts w:ascii="微軟正黑體" w:eastAsia="微軟正黑體" w:hAnsi="微軟正黑體"/>
          <w:b/>
          <w:sz w:val="24"/>
          <w:szCs w:val="24"/>
          <w:u w:val="single"/>
          <w:lang w:eastAsia="zh-TW"/>
        </w:rPr>
      </w:pPr>
      <w:r w:rsidRPr="009612A9">
        <w:rPr>
          <w:rFonts w:ascii="微軟正黑體" w:eastAsia="微軟正黑體" w:hAnsi="微軟正黑體"/>
          <w:b/>
          <w:sz w:val="24"/>
          <w:szCs w:val="24"/>
          <w:u w:val="single"/>
          <w:lang w:eastAsia="zh-TW"/>
        </w:rPr>
        <w:t>課程目標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：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  <w:t>1. 系統</w:t>
      </w:r>
      <w:r w:rsidR="005C20FA">
        <w:rPr>
          <w:rFonts w:ascii="微軟正黑體" w:eastAsia="微軟正黑體" w:hAnsi="微軟正黑體" w:hint="eastAsia"/>
          <w:sz w:val="24"/>
          <w:szCs w:val="24"/>
          <w:lang w:eastAsia="zh-TW"/>
        </w:rPr>
        <w:t>性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掌握從嬰幼兒到青春期的認知發展核心理論（皮亞傑、維高斯基、訊</w:t>
      </w:r>
      <w:r w:rsidR="00276F80" w:rsidRPr="005C20FA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息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處理、核心知識、執行功能、心智理論、語言與讀寫、社會</w:t>
      </w:r>
      <w:r w:rsidR="005C20FA">
        <w:rPr>
          <w:rFonts w:ascii="微軟正黑體" w:eastAsia="微軟正黑體" w:hAnsi="微軟正黑體" w:hint="eastAsia"/>
          <w:sz w:val="24"/>
          <w:szCs w:val="24"/>
          <w:lang w:eastAsia="zh-TW"/>
        </w:rPr>
        <w:t>情緒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認知與動機、神經發展等）。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  <w:t>2. 理解並評析近期發展心理學的研究成果，能夠將證據轉化為教育與教學實踐。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  <w:t>3. 培養學生獨立閱讀、批判分析與設計教學方案的能力。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</w:r>
    </w:p>
    <w:p w:rsidR="009612A9" w:rsidRDefault="0087294D" w:rsidP="009612A9">
      <w:pPr>
        <w:spacing w:line="240" w:lineRule="auto"/>
        <w:rPr>
          <w:rFonts w:ascii="微軟正黑體" w:eastAsia="微軟正黑體" w:hAnsi="微軟正黑體"/>
          <w:b/>
          <w:sz w:val="24"/>
          <w:szCs w:val="24"/>
          <w:u w:val="single"/>
          <w:lang w:eastAsia="zh-TW"/>
        </w:rPr>
      </w:pPr>
      <w:r w:rsidRPr="009612A9">
        <w:rPr>
          <w:rFonts w:ascii="微軟正黑體" w:eastAsia="微軟正黑體" w:hAnsi="微軟正黑體"/>
          <w:b/>
          <w:sz w:val="24"/>
          <w:szCs w:val="24"/>
          <w:u w:val="single"/>
          <w:lang w:eastAsia="zh-TW"/>
        </w:rPr>
        <w:t>學習</w:t>
      </w:r>
      <w:r w:rsidR="00FC19E4" w:rsidRPr="009612A9">
        <w:rPr>
          <w:rFonts w:ascii="微軟正黑體" w:eastAsia="微軟正黑體" w:hAnsi="微軟正黑體" w:cs="微軟正黑體" w:hint="eastAsia"/>
          <w:b/>
          <w:sz w:val="24"/>
          <w:szCs w:val="24"/>
          <w:u w:val="single"/>
          <w:lang w:eastAsia="zh-TW"/>
        </w:rPr>
        <w:t>任務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：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  <w:t>-每週文獻精讀摘要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、評論/批判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（1</w:t>
      </w:r>
      <w:r w:rsidR="00DE4529">
        <w:rPr>
          <w:rFonts w:ascii="微軟正黑體" w:eastAsia="微軟正黑體" w:hAnsi="微軟正黑體"/>
          <w:sz w:val="24"/>
          <w:szCs w:val="24"/>
          <w:lang w:eastAsia="zh-TW"/>
        </w:rPr>
        <w:t>-2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 xml:space="preserve"> 頁）</w:t>
      </w:r>
      <w:r w:rsidR="009612A9"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  <w:t>- 兩次小型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課程架構或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教學設計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試</w:t>
      </w:r>
      <w:r w:rsidR="00DE4529" w:rsidRPr="005C20FA">
        <w:rPr>
          <w:rFonts w:ascii="微軟正黑體" w:eastAsia="微軟正黑體" w:hAnsi="微軟正黑體"/>
          <w:sz w:val="24"/>
          <w:szCs w:val="24"/>
          <w:lang w:eastAsia="zh-TW"/>
        </w:rPr>
        <w:t>作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/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實作</w:t>
      </w:r>
      <w:r w:rsidR="009612A9"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  <w:t>- 期末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主題導向的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整合性論文或實證研究</w:t>
      </w:r>
      <w:r w:rsidR="00276F80" w:rsidRPr="005C20FA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計畫</w:t>
      </w:r>
      <w:r w:rsidR="00DE4529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(小型具可行性或者有前瞻性</w:t>
      </w:r>
      <w:proofErr w:type="gramStart"/>
      <w:r w:rsidR="00DE4529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膽</w:t>
      </w:r>
      <w:proofErr w:type="gramEnd"/>
      <w:r w:rsidR="00DE4529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 xml:space="preserve">未必      </w:t>
      </w:r>
      <w:r w:rsidR="009612A9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 xml:space="preserve"> </w:t>
      </w:r>
      <w:r w:rsidR="00DE4529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立即可行的計畫均可)，篇幅不限，A</w:t>
      </w:r>
      <w:r w:rsidR="00DE4529">
        <w:rPr>
          <w:rFonts w:ascii="微軟正黑體" w:eastAsia="微軟正黑體" w:hAnsi="微軟正黑體" w:cs="微軟正黑體"/>
          <w:sz w:val="24"/>
          <w:szCs w:val="24"/>
          <w:lang w:eastAsia="zh-TW"/>
        </w:rPr>
        <w:t>PA</w:t>
      </w:r>
      <w:r w:rsidR="00DE4529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格式。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所有作業均可使用AI工具，但學習者必須完全掌握</w:t>
      </w:r>
      <w:r w:rsidR="009612A9">
        <w:rPr>
          <w:rFonts w:ascii="微軟正黑體" w:eastAsia="微軟正黑體" w:hAnsi="微軟正黑體" w:hint="eastAsia"/>
          <w:sz w:val="24"/>
          <w:szCs w:val="24"/>
          <w:lang w:eastAsia="zh-TW"/>
        </w:rPr>
        <w:t>讀寫與引用的</w:t>
      </w:r>
      <w:r w:rsidR="00DE4529">
        <w:rPr>
          <w:rFonts w:ascii="微軟正黑體" w:eastAsia="微軟正黑體" w:hAnsi="微軟正黑體" w:hint="eastAsia"/>
          <w:sz w:val="24"/>
          <w:szCs w:val="24"/>
          <w:lang w:eastAsia="zh-TW"/>
        </w:rPr>
        <w:t>內容，</w:t>
      </w:r>
      <w:r w:rsidR="009612A9">
        <w:rPr>
          <w:rFonts w:ascii="微軟正黑體" w:eastAsia="微軟正黑體" w:hAnsi="微軟正黑體" w:hint="eastAsia"/>
          <w:sz w:val="24"/>
          <w:szCs w:val="24"/>
          <w:lang w:eastAsia="zh-TW"/>
        </w:rPr>
        <w:t>並且具體體現在課堂師生對話與實作。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</w:r>
    </w:p>
    <w:p w:rsidR="009612A9" w:rsidRDefault="005C20FA" w:rsidP="005C20FA">
      <w:pPr>
        <w:spacing w:line="240" w:lineRule="auto"/>
        <w:rPr>
          <w:rFonts w:ascii="微軟正黑體" w:eastAsia="微軟正黑體" w:hAnsi="微軟正黑體"/>
          <w:sz w:val="24"/>
          <w:szCs w:val="24"/>
          <w:lang w:eastAsia="zh-TW"/>
        </w:rPr>
      </w:pPr>
      <w:r w:rsidRPr="009612A9">
        <w:rPr>
          <w:rFonts w:ascii="微軟正黑體" w:eastAsia="微軟正黑體" w:hAnsi="微軟正黑體" w:hint="eastAsia"/>
          <w:b/>
          <w:sz w:val="24"/>
          <w:szCs w:val="24"/>
          <w:u w:val="single"/>
          <w:lang w:eastAsia="zh-TW"/>
        </w:rPr>
        <w:t>教學方式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：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講課   討論   課堂報告   實作  分組合作</w:t>
      </w:r>
    </w:p>
    <w:p w:rsidR="009B085E" w:rsidRPr="009612A9" w:rsidRDefault="0087294D" w:rsidP="005C20FA">
      <w:pPr>
        <w:spacing w:line="240" w:lineRule="auto"/>
        <w:rPr>
          <w:rFonts w:ascii="微軟正黑體" w:eastAsia="微軟正黑體" w:hAnsi="微軟正黑體"/>
          <w:b/>
          <w:sz w:val="24"/>
          <w:szCs w:val="24"/>
          <w:u w:val="single"/>
          <w:lang w:eastAsia="zh-TW"/>
        </w:rPr>
      </w:pP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br/>
      </w:r>
      <w:r w:rsidRPr="009612A9">
        <w:rPr>
          <w:rFonts w:ascii="微軟正黑體" w:eastAsia="微軟正黑體" w:hAnsi="微軟正黑體"/>
          <w:b/>
          <w:sz w:val="24"/>
          <w:szCs w:val="24"/>
          <w:u w:val="single"/>
          <w:lang w:eastAsia="zh-TW"/>
        </w:rPr>
        <w:t>評量方式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：課堂參與 20%</w:t>
      </w:r>
      <w:r w:rsidR="005C20FA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="005C20FA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文獻摘要 30%</w:t>
      </w:r>
      <w:r w:rsidR="005C20FA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="005C20FA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>教學設計 20%</w:t>
      </w:r>
      <w:r w:rsidR="005C20FA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Pr="005C20FA">
        <w:rPr>
          <w:rFonts w:ascii="微軟正黑體" w:eastAsia="微軟正黑體" w:hAnsi="微軟正黑體"/>
          <w:sz w:val="24"/>
          <w:szCs w:val="24"/>
          <w:lang w:eastAsia="zh-TW"/>
        </w:rPr>
        <w:t xml:space="preserve"> 期末作業 30%</w:t>
      </w:r>
    </w:p>
    <w:p w:rsidR="00AA79C8" w:rsidRPr="00EA08F8" w:rsidRDefault="00AA79C8" w:rsidP="00AA79C8">
      <w:pPr>
        <w:pStyle w:val="31"/>
        <w:ind w:left="480"/>
        <w:rPr>
          <w:rFonts w:ascii="微軟正黑體" w:eastAsia="微軟正黑體" w:hAnsi="微軟正黑體"/>
          <w:b w:val="0"/>
          <w:color w:val="auto"/>
          <w:sz w:val="28"/>
          <w:szCs w:val="28"/>
        </w:rPr>
      </w:pPr>
      <w:proofErr w:type="spellStart"/>
      <w:r w:rsidRPr="00EA08F8">
        <w:rPr>
          <w:rFonts w:ascii="微軟正黑體" w:eastAsia="微軟正黑體" w:hAnsi="微軟正黑體" w:hint="eastAsia"/>
          <w:color w:val="auto"/>
          <w:sz w:val="28"/>
          <w:szCs w:val="28"/>
        </w:rPr>
        <w:lastRenderedPageBreak/>
        <w:t>課程預定</w:t>
      </w:r>
      <w:proofErr w:type="spellEnd"/>
      <w:r w:rsidRPr="00EA08F8">
        <w:rPr>
          <w:rFonts w:ascii="微軟正黑體" w:eastAsia="微軟正黑體" w:hAnsi="微軟正黑體" w:hint="eastAsia"/>
          <w:color w:val="auto"/>
          <w:sz w:val="28"/>
          <w:szCs w:val="28"/>
          <w:lang w:eastAsia="zh-TW"/>
        </w:rPr>
        <w:t>主題與</w:t>
      </w:r>
      <w:proofErr w:type="spellStart"/>
      <w:r w:rsidRPr="00EA08F8">
        <w:rPr>
          <w:rFonts w:ascii="微軟正黑體" w:eastAsia="微軟正黑體" w:hAnsi="微軟正黑體" w:hint="eastAsia"/>
          <w:color w:val="auto"/>
          <w:sz w:val="28"/>
          <w:szCs w:val="28"/>
        </w:rPr>
        <w:t>進度</w:t>
      </w:r>
      <w:proofErr w:type="spellEnd"/>
    </w:p>
    <w:tbl>
      <w:tblPr>
        <w:tblW w:w="92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121"/>
        <w:gridCol w:w="2693"/>
        <w:gridCol w:w="733"/>
      </w:tblGrid>
      <w:tr w:rsidR="00AA79C8" w:rsidRPr="00A851D1" w:rsidTr="0085632D">
        <w:tc>
          <w:tcPr>
            <w:tcW w:w="1668" w:type="dxa"/>
            <w:shd w:val="clear" w:color="auto" w:fill="auto"/>
          </w:tcPr>
          <w:p w:rsidR="00AA79C8" w:rsidRPr="002F42A9" w:rsidRDefault="00AA79C8" w:rsidP="001D73BB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2F42A9">
              <w:rPr>
                <w:rFonts w:ascii="微軟正黑體" w:eastAsia="微軟正黑體" w:hAnsi="微軟正黑體" w:hint="eastAsia"/>
                <w:sz w:val="24"/>
                <w:szCs w:val="24"/>
              </w:rPr>
              <w:t>週次</w:t>
            </w:r>
            <w:proofErr w:type="spellEnd"/>
            <w:r w:rsidRPr="002F42A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2F42A9">
              <w:rPr>
                <w:rFonts w:ascii="微軟正黑體" w:eastAsia="微軟正黑體" w:hAnsi="微軟正黑體"/>
                <w:sz w:val="24"/>
                <w:szCs w:val="24"/>
              </w:rPr>
              <w:t xml:space="preserve">&amp; </w:t>
            </w:r>
            <w:proofErr w:type="spellStart"/>
            <w:r w:rsidRPr="002F42A9">
              <w:rPr>
                <w:rFonts w:ascii="微軟正黑體" w:eastAsia="微軟正黑體" w:hAnsi="微軟正黑體" w:hint="eastAsia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4121" w:type="dxa"/>
            <w:shd w:val="clear" w:color="auto" w:fill="auto"/>
          </w:tcPr>
          <w:p w:rsidR="00AA79C8" w:rsidRPr="002F42A9" w:rsidRDefault="00AA79C8" w:rsidP="001D73BB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2F42A9">
              <w:rPr>
                <w:rFonts w:ascii="微軟正黑體" w:eastAsia="微軟正黑體" w:hAnsi="微軟正黑體" w:hint="eastAsia"/>
                <w:sz w:val="24"/>
                <w:szCs w:val="24"/>
              </w:rPr>
              <w:t>主題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A79C8" w:rsidRPr="002F42A9" w:rsidRDefault="00AA79C8" w:rsidP="001D73BB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2F42A9">
              <w:rPr>
                <w:rFonts w:ascii="微軟正黑體" w:eastAsia="微軟正黑體" w:hAnsi="微軟正黑體" w:hint="eastAsia"/>
                <w:sz w:val="24"/>
                <w:szCs w:val="24"/>
              </w:rPr>
              <w:t>閱讀內容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AA79C8" w:rsidRPr="002F42A9" w:rsidRDefault="00AA79C8" w:rsidP="001D73BB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2F42A9">
              <w:rPr>
                <w:rFonts w:ascii="微軟正黑體" w:eastAsia="微軟正黑體" w:hAnsi="微軟正黑體" w:hint="eastAsia"/>
                <w:sz w:val="24"/>
                <w:szCs w:val="24"/>
              </w:rPr>
              <w:t>備註</w:t>
            </w:r>
            <w:proofErr w:type="spellEnd"/>
          </w:p>
        </w:tc>
      </w:tr>
      <w:tr w:rsidR="007A392D" w:rsidRPr="00A851D1" w:rsidTr="0085632D">
        <w:tc>
          <w:tcPr>
            <w:tcW w:w="1668" w:type="dxa"/>
            <w:shd w:val="clear" w:color="auto" w:fill="auto"/>
          </w:tcPr>
          <w:p w:rsidR="007A392D" w:rsidRPr="00A851D1" w:rsidRDefault="007A392D" w:rsidP="007A392D">
            <w:pPr>
              <w:pStyle w:val="affa"/>
              <w:widowControl w:val="0"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微軟正黑體" w:eastAsia="微軟正黑體" w:hAnsi="微軟正黑體"/>
              </w:rPr>
            </w:pPr>
            <w:r w:rsidRPr="00A851D1">
              <w:rPr>
                <w:rFonts w:ascii="微軟正黑體" w:eastAsia="微軟正黑體" w:hAnsi="微軟正黑體" w:hint="eastAsia"/>
              </w:rPr>
              <w:t>02/</w:t>
            </w:r>
            <w:r>
              <w:rPr>
                <w:rFonts w:ascii="微軟正黑體" w:eastAsia="微軟正黑體" w:hAnsi="微軟正黑體"/>
              </w:rPr>
              <w:t>24</w:t>
            </w:r>
          </w:p>
        </w:tc>
        <w:tc>
          <w:tcPr>
            <w:tcW w:w="4121" w:type="dxa"/>
            <w:shd w:val="clear" w:color="auto" w:fill="auto"/>
          </w:tcPr>
          <w:p w:rsidR="007A392D" w:rsidRPr="00AC0C37" w:rsidRDefault="007A392D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課程導論</w:t>
            </w:r>
          </w:p>
          <w:p w:rsidR="007A392D" w:rsidRDefault="007A392D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認知發展的範疇、方法與倫理；</w:t>
            </w:r>
          </w:p>
          <w:p w:rsidR="007A392D" w:rsidRPr="00AC0C37" w:rsidRDefault="007A392D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教育連結</w:t>
            </w:r>
          </w:p>
        </w:tc>
        <w:tc>
          <w:tcPr>
            <w:tcW w:w="2693" w:type="dxa"/>
            <w:shd w:val="clear" w:color="auto" w:fill="auto"/>
          </w:tcPr>
          <w:p w:rsidR="007A392D" w:rsidRPr="00AC0C37" w:rsidRDefault="007A392D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Annual Review of</w:t>
            </w:r>
            <w:r w:rsidRPr="00AC0C37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</w:t>
            </w:r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Developmental Psychology</w:t>
            </w:r>
          </w:p>
        </w:tc>
        <w:tc>
          <w:tcPr>
            <w:tcW w:w="733" w:type="dxa"/>
            <w:shd w:val="clear" w:color="auto" w:fill="auto"/>
          </w:tcPr>
          <w:p w:rsidR="007A392D" w:rsidRPr="002F42A9" w:rsidRDefault="007A392D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7A392D" w:rsidRPr="00A851D1" w:rsidTr="0085632D">
        <w:tc>
          <w:tcPr>
            <w:tcW w:w="1668" w:type="dxa"/>
            <w:shd w:val="clear" w:color="auto" w:fill="auto"/>
          </w:tcPr>
          <w:p w:rsidR="007A392D" w:rsidRPr="00A851D1" w:rsidRDefault="007A392D" w:rsidP="007A392D">
            <w:pPr>
              <w:pStyle w:val="affa"/>
              <w:widowControl w:val="0"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微軟正黑體" w:eastAsia="微軟正黑體" w:hAnsi="微軟正黑體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3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03</w:t>
            </w:r>
          </w:p>
        </w:tc>
        <w:tc>
          <w:tcPr>
            <w:tcW w:w="4121" w:type="dxa"/>
            <w:shd w:val="clear" w:color="auto" w:fill="auto"/>
          </w:tcPr>
          <w:p w:rsidR="007A392D" w:rsidRPr="00AC0C37" w:rsidRDefault="00836877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皮亞傑的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認知發展</w:t>
            </w: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理論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I</w:t>
            </w:r>
          </w:p>
        </w:tc>
        <w:tc>
          <w:tcPr>
            <w:tcW w:w="2693" w:type="dxa"/>
            <w:shd w:val="clear" w:color="auto" w:fill="auto"/>
          </w:tcPr>
          <w:p w:rsidR="007A392D" w:rsidRPr="00AC0C37" w:rsidRDefault="007A392D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皮亞傑原著選讀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7A392D" w:rsidRPr="002F42A9" w:rsidRDefault="007A392D" w:rsidP="007A392D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7A392D" w:rsidRPr="00A851D1" w:rsidTr="0085632D">
        <w:tc>
          <w:tcPr>
            <w:tcW w:w="1668" w:type="dxa"/>
            <w:shd w:val="clear" w:color="auto" w:fill="auto"/>
          </w:tcPr>
          <w:p w:rsidR="007A392D" w:rsidRPr="007D1D8B" w:rsidRDefault="007A392D" w:rsidP="007A392D">
            <w:pPr>
              <w:pStyle w:val="affa"/>
              <w:widowControl w:val="0"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微軟正黑體" w:eastAsia="微軟正黑體" w:hAnsi="微軟正黑體" w:hint="eastAsia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3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4121" w:type="dxa"/>
            <w:shd w:val="clear" w:color="auto" w:fill="auto"/>
          </w:tcPr>
          <w:p w:rsidR="007A392D" w:rsidRPr="000647A5" w:rsidRDefault="000647A5" w:rsidP="007A392D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0647A5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自主學習 I</w:t>
            </w:r>
          </w:p>
        </w:tc>
        <w:tc>
          <w:tcPr>
            <w:tcW w:w="2693" w:type="dxa"/>
            <w:shd w:val="clear" w:color="auto" w:fill="auto"/>
          </w:tcPr>
          <w:p w:rsidR="007A392D" w:rsidRPr="00AC0C37" w:rsidRDefault="007A392D" w:rsidP="007A392D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  <w:tc>
          <w:tcPr>
            <w:tcW w:w="733" w:type="dxa"/>
            <w:shd w:val="clear" w:color="auto" w:fill="auto"/>
          </w:tcPr>
          <w:p w:rsidR="007A392D" w:rsidRPr="002F42A9" w:rsidRDefault="007A392D" w:rsidP="007A392D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pStyle w:val="affa"/>
              <w:widowControl w:val="0"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微軟正黑體" w:eastAsia="微軟正黑體" w:hAnsi="微軟正黑體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3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17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皮亞傑的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認知發展</w:t>
            </w: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理論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I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I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皮亞傑原著選讀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3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24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維高斯基的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認知發展</w:t>
            </w: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理論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I</w:t>
            </w:r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維高斯基原著選讀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3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31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維高斯基的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認知發展</w:t>
            </w: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理論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II</w:t>
            </w:r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維高斯基原著選讀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  <w:shd w:val="pct15" w:color="auto" w:fill="FFFFFF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4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07</w:t>
            </w:r>
          </w:p>
        </w:tc>
        <w:tc>
          <w:tcPr>
            <w:tcW w:w="4121" w:type="dxa"/>
            <w:shd w:val="clear" w:color="auto" w:fill="auto"/>
          </w:tcPr>
          <w:p w:rsidR="005A0D86" w:rsidRPr="00F81395" w:rsidRDefault="005A0D86" w:rsidP="005A0D86">
            <w:pPr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F81395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校際活動</w:t>
            </w:r>
          </w:p>
        </w:tc>
        <w:tc>
          <w:tcPr>
            <w:tcW w:w="2693" w:type="dxa"/>
            <w:shd w:val="clear" w:color="auto" w:fill="auto"/>
          </w:tcPr>
          <w:p w:rsidR="005A0D86" w:rsidRPr="00F81395" w:rsidRDefault="005A0D86" w:rsidP="005A0D86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F81395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停課!</w:t>
            </w:r>
          </w:p>
        </w:tc>
        <w:tc>
          <w:tcPr>
            <w:tcW w:w="733" w:type="dxa"/>
            <w:shd w:val="clear" w:color="auto" w:fill="auto"/>
          </w:tcPr>
          <w:p w:rsidR="005A0D86" w:rsidRPr="000F241F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F074F5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 w:hint="eastAsia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4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14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訊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息</w:t>
            </w: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處理理論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訊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息</w:t>
            </w: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處理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的發展模型</w:t>
            </w: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4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21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核心知識理論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Spelke</w:t>
            </w:r>
            <w:proofErr w:type="spellEnd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等人的</w:t>
            </w: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研究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4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 w:rsidRPr="00A851D1"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執行功能與自我控制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 xml:space="preserve">Miyake </w:t>
            </w:r>
            <w:r w:rsidRPr="00AC0C37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等人的</w:t>
            </w: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模型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5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05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心智理論（</w:t>
            </w: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ToM</w:t>
            </w:r>
            <w:proofErr w:type="spellEnd"/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）與社會認知</w:t>
            </w:r>
          </w:p>
          <w:p w:rsidR="005A0D86" w:rsidRPr="000F241F" w:rsidRDefault="005A0D86" w:rsidP="005A0D86">
            <w:pPr>
              <w:rPr>
                <w:lang w:eastAsia="zh-TW"/>
              </w:rPr>
            </w:pPr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ToM</w:t>
            </w:r>
            <w:proofErr w:type="spellEnd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經典實驗研究</w:t>
            </w:r>
            <w:proofErr w:type="spellEnd"/>
          </w:p>
          <w:p w:rsidR="005A0D86" w:rsidRDefault="005A0D86" w:rsidP="005A0D86"/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5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12</w:t>
            </w:r>
          </w:p>
        </w:tc>
        <w:tc>
          <w:tcPr>
            <w:tcW w:w="4121" w:type="dxa"/>
            <w:shd w:val="clear" w:color="auto" w:fill="auto"/>
          </w:tcPr>
          <w:p w:rsidR="005A0D86" w:rsidRPr="00913233" w:rsidRDefault="005A0D86" w:rsidP="005A0D86">
            <w:pPr>
              <w:pStyle w:val="affa"/>
              <w:spacing w:line="240" w:lineRule="auto"/>
              <w:ind w:leftChars="0"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13233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社會情緒發展</w:t>
            </w:r>
          </w:p>
        </w:tc>
        <w:tc>
          <w:tcPr>
            <w:tcW w:w="2693" w:type="dxa"/>
            <w:shd w:val="clear" w:color="auto" w:fill="auto"/>
          </w:tcPr>
          <w:p w:rsidR="005A0D86" w:rsidRPr="00913233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913233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社會情緒主要理論</w:t>
            </w:r>
          </w:p>
          <w:p w:rsidR="005A0D86" w:rsidRPr="002F42A9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lastRenderedPageBreak/>
              <w:t>0</w:t>
            </w:r>
            <w:r w:rsidRPr="00A851D1">
              <w:rPr>
                <w:rFonts w:ascii="微軟正黑體" w:eastAsia="微軟正黑體" w:hAnsi="微軟正黑體"/>
              </w:rPr>
              <w:t>5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 w:rsidRPr="00A851D1"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4121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AC0C37">
              <w:rPr>
                <w:rFonts w:ascii="微軟正黑體" w:eastAsia="微軟正黑體" w:hAnsi="微軟正黑體"/>
                <w:sz w:val="24"/>
                <w:szCs w:val="24"/>
              </w:rPr>
              <w:t>語言與讀寫發展</w:t>
            </w:r>
            <w:proofErr w:type="spellEnd"/>
          </w:p>
          <w:p w:rsidR="005A0D86" w:rsidRPr="00AC0C37" w:rsidRDefault="005A0D86" w:rsidP="005A0D86">
            <w:pPr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A0D86" w:rsidRPr="00AC0C37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AC0C37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語音意識、詞彙、語法、讀寫習得</w:t>
            </w: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5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26</w:t>
            </w:r>
          </w:p>
        </w:tc>
        <w:tc>
          <w:tcPr>
            <w:tcW w:w="4121" w:type="dxa"/>
            <w:shd w:val="clear" w:color="auto" w:fill="auto"/>
          </w:tcPr>
          <w:p w:rsidR="005A0D86" w:rsidRPr="003B1801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3B1801">
              <w:rPr>
                <w:rFonts w:ascii="微軟正黑體" w:eastAsia="微軟正黑體" w:hAnsi="微軟正黑體"/>
                <w:sz w:val="24"/>
                <w:szCs w:val="24"/>
              </w:rPr>
              <w:t>學習動機與認知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0D86" w:rsidRPr="002F42A9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由</w:t>
            </w:r>
            <w:r>
              <w:rPr>
                <w:lang w:eastAsia="zh-TW"/>
              </w:rPr>
              <w:t>Bandura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到自主學習</w:t>
            </w:r>
            <w:r>
              <w:rPr>
                <w:lang w:eastAsia="zh-TW"/>
              </w:rPr>
              <w:t>理論</w:t>
            </w: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6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4121" w:type="dxa"/>
            <w:shd w:val="clear" w:color="auto" w:fill="auto"/>
          </w:tcPr>
          <w:p w:rsidR="005A0D86" w:rsidRPr="00F4291A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4291A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大腦發展與</w:t>
            </w:r>
            <w:proofErr w:type="spellStart"/>
            <w:r w:rsidRPr="00F4291A">
              <w:rPr>
                <w:rFonts w:ascii="微軟正黑體" w:eastAsia="微軟正黑體" w:hAnsi="微軟正黑體"/>
                <w:sz w:val="24"/>
                <w:szCs w:val="24"/>
              </w:rPr>
              <w:t>認知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0D86" w:rsidRPr="007B14C1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7B14C1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突觸修剪</w:t>
            </w:r>
            <w:proofErr w:type="gramEnd"/>
            <w:r w:rsidRPr="007B14C1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、獎賞/控制系統、決策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等文獻</w:t>
            </w: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7D1D8B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 w:hint="eastAsia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6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 w:rsidRPr="00A851D1"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4121" w:type="dxa"/>
            <w:shd w:val="clear" w:color="auto" w:fill="auto"/>
          </w:tcPr>
          <w:p w:rsidR="005A0D86" w:rsidRPr="0085632D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85632D">
              <w:rPr>
                <w:rFonts w:ascii="微軟正黑體" w:eastAsia="微軟正黑體" w:hAnsi="微軟正黑體"/>
                <w:sz w:val="24"/>
                <w:szCs w:val="24"/>
              </w:rPr>
              <w:t>數位環境與認知發展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A0D86" w:rsidRPr="0085632D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85632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早期</w:t>
            </w:r>
            <w:r w:rsidRPr="008563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3</w:t>
            </w:r>
            <w:r w:rsidRPr="0085632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C</w:t>
            </w:r>
            <w:r w:rsidRPr="008563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產品使用與網路社群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對兒童的影響</w:t>
            </w: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 w:hint="eastAsia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6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4121" w:type="dxa"/>
            <w:shd w:val="clear" w:color="auto" w:fill="auto"/>
          </w:tcPr>
          <w:p w:rsidR="005A0D86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F18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逆境、社經地位與認知</w:t>
            </w:r>
          </w:p>
          <w:p w:rsidR="005A0D86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+</w:t>
            </w:r>
          </w:p>
          <w:p w:rsidR="005A0D86" w:rsidRPr="00BF1868" w:rsidRDefault="005A0D86" w:rsidP="005A0D86">
            <w:pP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學生分享</w:t>
            </w:r>
          </w:p>
        </w:tc>
        <w:tc>
          <w:tcPr>
            <w:tcW w:w="2693" w:type="dxa"/>
            <w:shd w:val="clear" w:color="auto" w:fill="auto"/>
          </w:tcPr>
          <w:p w:rsidR="005A0D86" w:rsidRPr="00BF1868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F18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貧困、壓力、虐待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等</w:t>
            </w:r>
            <w:r w:rsidRPr="00BF186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對認知的影響</w:t>
            </w: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5A0D86" w:rsidRPr="00A851D1" w:rsidTr="0085632D">
        <w:tc>
          <w:tcPr>
            <w:tcW w:w="1668" w:type="dxa"/>
            <w:shd w:val="clear" w:color="auto" w:fill="auto"/>
          </w:tcPr>
          <w:p w:rsidR="005A0D86" w:rsidRPr="00A851D1" w:rsidRDefault="005A0D86" w:rsidP="005A0D8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  <w:r w:rsidRPr="00A851D1">
              <w:rPr>
                <w:rFonts w:ascii="微軟正黑體" w:eastAsia="微軟正黑體" w:hAnsi="微軟正黑體" w:hint="eastAsia"/>
              </w:rPr>
              <w:t>0</w:t>
            </w:r>
            <w:r w:rsidRPr="00A851D1">
              <w:rPr>
                <w:rFonts w:ascii="微軟正黑體" w:eastAsia="微軟正黑體" w:hAnsi="微軟正黑體"/>
              </w:rPr>
              <w:t>6</w:t>
            </w:r>
            <w:r w:rsidRPr="00A851D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23</w:t>
            </w:r>
          </w:p>
        </w:tc>
        <w:tc>
          <w:tcPr>
            <w:tcW w:w="4121" w:type="dxa"/>
            <w:shd w:val="clear" w:color="auto" w:fill="auto"/>
          </w:tcPr>
          <w:p w:rsidR="005A0D86" w:rsidRPr="00F81395" w:rsidRDefault="005A0D86" w:rsidP="005A0D86">
            <w:pP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</w:pPr>
            <w:r w:rsidRPr="00F81395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自主學習 II</w:t>
            </w:r>
          </w:p>
        </w:tc>
        <w:tc>
          <w:tcPr>
            <w:tcW w:w="2693" w:type="dxa"/>
            <w:shd w:val="clear" w:color="auto" w:fill="auto"/>
          </w:tcPr>
          <w:p w:rsidR="005A0D86" w:rsidRPr="002F42A9" w:rsidRDefault="005A0D86" w:rsidP="005A0D8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</w:tcPr>
          <w:p w:rsidR="005A0D86" w:rsidRPr="002F42A9" w:rsidRDefault="005A0D86" w:rsidP="005A0D86">
            <w:pPr>
              <w:pStyle w:val="affa"/>
              <w:spacing w:line="240" w:lineRule="auto"/>
              <w:ind w:left="4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:rsidR="00AA79C8" w:rsidRDefault="00AA79C8" w:rsidP="00AA79C8">
      <w:pPr>
        <w:rPr>
          <w:rFonts w:ascii="微軟正黑體" w:eastAsia="微軟正黑體" w:hAnsi="微軟正黑體"/>
        </w:rPr>
      </w:pPr>
    </w:p>
    <w:p w:rsidR="009B085E" w:rsidRDefault="0087294D">
      <w:pPr>
        <w:rPr>
          <w:lang w:eastAsia="zh-TW"/>
        </w:rPr>
      </w:pPr>
      <w:r>
        <w:rPr>
          <w:lang w:eastAsia="zh-TW"/>
        </w:rPr>
        <w:t>。</w:t>
      </w:r>
    </w:p>
    <w:p w:rsidR="009B085E" w:rsidRDefault="0087294D">
      <w:pPr>
        <w:pStyle w:val="21"/>
      </w:pPr>
      <w:r>
        <w:t xml:space="preserve">A. </w:t>
      </w:r>
      <w:r>
        <w:t>經典理論書籍</w:t>
      </w:r>
    </w:p>
    <w:p w:rsidR="009B085E" w:rsidRDefault="0087294D">
      <w:r>
        <w:t>1. Piaget, J. (1952). The Origins of Intelligence in Children. International Universities Press.</w:t>
      </w:r>
      <w:r>
        <w:br/>
        <w:t>2. Vygotsky, L. S. (1978). Mind in Society: The Development of Higher Psychological Processes. Harvard University Press.</w:t>
      </w:r>
      <w:r>
        <w:br/>
        <w:t>3. Bruner, J. S. (1960). The Process of Education. Harvard University Press.</w:t>
      </w:r>
      <w:r>
        <w:br/>
        <w:t>4. Flavell, J. H. (1985). Cognitive Development (2nd ed.). Prentice Hall.</w:t>
      </w:r>
      <w:r>
        <w:br/>
        <w:t>5. Neisser, U. (1967). Cognitive Psychology. Prentice Hall.</w:t>
      </w:r>
    </w:p>
    <w:p w:rsidR="009B085E" w:rsidRDefault="0087294D">
      <w:pPr>
        <w:pStyle w:val="21"/>
        <w:rPr>
          <w:lang w:eastAsia="zh-TW"/>
        </w:rPr>
      </w:pPr>
      <w:r>
        <w:t xml:space="preserve">B. </w:t>
      </w:r>
      <w:r>
        <w:rPr>
          <w:lang w:eastAsia="zh-TW"/>
        </w:rPr>
        <w:t xml:space="preserve"> </w:t>
      </w:r>
      <w:r w:rsidR="005E39D5">
        <w:rPr>
          <w:rFonts w:ascii="微軟正黑體" w:eastAsia="微軟正黑體" w:hAnsi="微軟正黑體" w:cs="微軟正黑體" w:hint="eastAsia"/>
          <w:lang w:eastAsia="zh-TW"/>
        </w:rPr>
        <w:t>參考文獻</w:t>
      </w:r>
    </w:p>
    <w:p w:rsidR="009B085E" w:rsidRDefault="0087294D">
      <w:r>
        <w:t>1. Diamond, A. (2013). Executive functions. Annual Review of Psychology, 64, 135–168.</w:t>
      </w:r>
      <w:r>
        <w:br/>
        <w:t>2. Zelazo, P. D., &amp; Carlson, S. M. (2020). The neurodevelopment of executive function skills. Psychology &amp; Neuroscience, 13(2), 267–275.</w:t>
      </w:r>
      <w:r>
        <w:br/>
        <w:t xml:space="preserve">3. Sodian, B. (2023). Theory of Mind development: New perspectives. Trends in Cognitive </w:t>
      </w:r>
      <w:r>
        <w:lastRenderedPageBreak/>
        <w:t>Sciences, 27(1), 15–28.</w:t>
      </w:r>
      <w:r>
        <w:br/>
      </w:r>
      <w:r w:rsidR="005E39D5">
        <w:t>4</w:t>
      </w:r>
      <w:r>
        <w:t xml:space="preserve">. </w:t>
      </w:r>
      <w:proofErr w:type="spellStart"/>
      <w:r>
        <w:t>Spelke</w:t>
      </w:r>
      <w:proofErr w:type="spellEnd"/>
      <w:r>
        <w:t>, E. S., &amp; Kinzler, K. D. (2007). Core knowledge. Developmental Science, 10(1), 89–96.</w:t>
      </w:r>
      <w:r>
        <w:br/>
      </w:r>
      <w:r w:rsidR="005E39D5">
        <w:t>5</w:t>
      </w:r>
      <w:r>
        <w:t xml:space="preserve">. </w:t>
      </w:r>
      <w:proofErr w:type="spellStart"/>
      <w:r>
        <w:t>Nussenbaum</w:t>
      </w:r>
      <w:proofErr w:type="spellEnd"/>
      <w:r>
        <w:t>, K., &amp; Hartley, C. A. (2019). Reinforcement learning across development. Developmental Cognitive Neuroscience, 40, 100733.</w:t>
      </w:r>
      <w:r>
        <w:br/>
      </w:r>
      <w:r w:rsidR="005E39D5">
        <w:t>6</w:t>
      </w:r>
      <w:r>
        <w:t>. Crone, E. A., &amp; Dahl, R. E. (2012). Understanding adolescence. Nature Reviews Neuroscience, 13(9), 636–650.</w:t>
      </w:r>
      <w:r>
        <w:br/>
      </w:r>
      <w:r w:rsidR="005E39D5">
        <w:t>7</w:t>
      </w:r>
      <w:r>
        <w:t>. Paulus, M., &amp; Hunnius, S. (2022). Digital media and children’s cognitive development. Child Development Perspectives, 16(2), 79–85.</w:t>
      </w:r>
      <w:r>
        <w:br/>
      </w:r>
      <w:r w:rsidR="005E39D5">
        <w:t>8</w:t>
      </w:r>
      <w:r>
        <w:t>. Sheridan, M. A., &amp; McLaughlin, K. A. (2020). Early experience and neural development. Trends in Cognitive Sciences, 24(8), 580–593.</w:t>
      </w:r>
    </w:p>
    <w:p w:rsidR="00F5087D" w:rsidRDefault="00F5087D"/>
    <w:sectPr w:rsidR="00F508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13" w:rsidRDefault="000F5113" w:rsidP="007C241F">
      <w:pPr>
        <w:spacing w:after="0" w:line="240" w:lineRule="auto"/>
      </w:pPr>
      <w:r>
        <w:separator/>
      </w:r>
    </w:p>
  </w:endnote>
  <w:endnote w:type="continuationSeparator" w:id="0">
    <w:p w:rsidR="000F5113" w:rsidRDefault="000F5113" w:rsidP="007C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13" w:rsidRDefault="000F5113" w:rsidP="007C241F">
      <w:pPr>
        <w:spacing w:after="0" w:line="240" w:lineRule="auto"/>
      </w:pPr>
      <w:r>
        <w:separator/>
      </w:r>
    </w:p>
  </w:footnote>
  <w:footnote w:type="continuationSeparator" w:id="0">
    <w:p w:rsidR="000F5113" w:rsidRDefault="000F5113" w:rsidP="007C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E05C77"/>
    <w:multiLevelType w:val="hybridMultilevel"/>
    <w:tmpl w:val="0592120C"/>
    <w:lvl w:ilvl="0" w:tplc="C56C6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F1"/>
    <w:rsid w:val="00033A27"/>
    <w:rsid w:val="00034616"/>
    <w:rsid w:val="0006063C"/>
    <w:rsid w:val="000647A5"/>
    <w:rsid w:val="000829EE"/>
    <w:rsid w:val="00091253"/>
    <w:rsid w:val="000F241F"/>
    <w:rsid w:val="000F5113"/>
    <w:rsid w:val="001201DA"/>
    <w:rsid w:val="001262B7"/>
    <w:rsid w:val="0015074B"/>
    <w:rsid w:val="001D73EE"/>
    <w:rsid w:val="00215611"/>
    <w:rsid w:val="00216C84"/>
    <w:rsid w:val="00252EBE"/>
    <w:rsid w:val="00276F80"/>
    <w:rsid w:val="0029639D"/>
    <w:rsid w:val="002F42A9"/>
    <w:rsid w:val="00326F90"/>
    <w:rsid w:val="003B1801"/>
    <w:rsid w:val="00435C10"/>
    <w:rsid w:val="00492E92"/>
    <w:rsid w:val="004B2192"/>
    <w:rsid w:val="004C058A"/>
    <w:rsid w:val="00526710"/>
    <w:rsid w:val="00531FC3"/>
    <w:rsid w:val="005376EE"/>
    <w:rsid w:val="00553F44"/>
    <w:rsid w:val="005A0D86"/>
    <w:rsid w:val="005C20FA"/>
    <w:rsid w:val="005E39D5"/>
    <w:rsid w:val="00715B1B"/>
    <w:rsid w:val="00780ADD"/>
    <w:rsid w:val="007A392D"/>
    <w:rsid w:val="007B14C1"/>
    <w:rsid w:val="007C241F"/>
    <w:rsid w:val="00836877"/>
    <w:rsid w:val="0085632D"/>
    <w:rsid w:val="0087294D"/>
    <w:rsid w:val="008A5CEC"/>
    <w:rsid w:val="00913233"/>
    <w:rsid w:val="009612A9"/>
    <w:rsid w:val="009975B2"/>
    <w:rsid w:val="009B085E"/>
    <w:rsid w:val="00AA1D8D"/>
    <w:rsid w:val="00AA79C8"/>
    <w:rsid w:val="00AC0BE1"/>
    <w:rsid w:val="00AC0C37"/>
    <w:rsid w:val="00B034F7"/>
    <w:rsid w:val="00B47730"/>
    <w:rsid w:val="00BA7787"/>
    <w:rsid w:val="00BF1868"/>
    <w:rsid w:val="00CB0664"/>
    <w:rsid w:val="00DE4529"/>
    <w:rsid w:val="00EA08F8"/>
    <w:rsid w:val="00F14AE8"/>
    <w:rsid w:val="00F4291A"/>
    <w:rsid w:val="00F5087D"/>
    <w:rsid w:val="00F81395"/>
    <w:rsid w:val="00FC19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474DE3"/>
  <w14:defaultImageDpi w14:val="300"/>
  <w15:docId w15:val="{DF7C825C-EC04-4174-B2D1-1057C861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ody Text Indent"/>
    <w:basedOn w:val="a1"/>
    <w:link w:val="affb"/>
    <w:unhideWhenUsed/>
    <w:rsid w:val="00AA79C8"/>
    <w:pPr>
      <w:spacing w:after="120"/>
      <w:ind w:leftChars="200" w:left="480"/>
    </w:pPr>
  </w:style>
  <w:style w:type="character" w:customStyle="1" w:styleId="affb">
    <w:name w:val="本文縮排 字元"/>
    <w:basedOn w:val="a2"/>
    <w:link w:val="affa"/>
    <w:uiPriority w:val="99"/>
    <w:semiHidden/>
    <w:rsid w:val="00AA79C8"/>
  </w:style>
  <w:style w:type="character" w:styleId="affc">
    <w:name w:val="Hyperlink"/>
    <w:rsid w:val="00FC19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cyt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888C3-E883-44C2-8379-17BDEEBF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7</cp:revision>
  <dcterms:created xsi:type="dcterms:W3CDTF">2026-02-23T03:41:00Z</dcterms:created>
  <dcterms:modified xsi:type="dcterms:W3CDTF">2026-02-23T04:02:00Z</dcterms:modified>
  <cp:category/>
</cp:coreProperties>
</file>