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84" w:rsidRDefault="003A4D84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Times New Roman"/>
          <w:b/>
          <w:bCs/>
          <w:sz w:val="44"/>
          <w:szCs w:val="44"/>
        </w:rPr>
      </w:pPr>
      <w:r w:rsidRPr="00EC7545">
        <w:rPr>
          <w:rFonts w:ascii="微軟正黑體" w:eastAsia="微軟正黑體" w:hAnsi="微軟正黑體" w:cs="微軟正黑體" w:hint="eastAsia"/>
          <w:b/>
          <w:bCs/>
          <w:sz w:val="44"/>
          <w:szCs w:val="44"/>
        </w:rPr>
        <w:t>國立中正大學課程大綱</w:t>
      </w:r>
    </w:p>
    <w:p w:rsidR="003A4D84" w:rsidRPr="00A5210C" w:rsidRDefault="003A4D84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A5210C">
        <w:rPr>
          <w:rFonts w:ascii="微軟正黑體" w:eastAsia="微軟正黑體" w:hAnsi="微軟正黑體" w:cs="微軟正黑體"/>
          <w:b/>
          <w:bCs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23"/>
        <w:gridCol w:w="581"/>
        <w:gridCol w:w="3460"/>
        <w:gridCol w:w="32"/>
        <w:gridCol w:w="2290"/>
        <w:gridCol w:w="2847"/>
      </w:tblGrid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課號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3A4D84" w:rsidRPr="008C6267" w:rsidRDefault="003A4D84" w:rsidP="003A4D84">
            <w:pPr>
              <w:spacing w:before="0" w:beforeAutospacing="0" w:line="320" w:lineRule="exact"/>
              <w:ind w:left="31680" w:firstLineChars="100" w:firstLine="31680"/>
              <w:rPr>
                <w:rFonts w:eastAsia="微軟正黑體" w:cs="Times New Roman"/>
                <w:lang w:eastAsia="zh-TW"/>
              </w:rPr>
            </w:pPr>
            <w:r w:rsidRPr="00313C64">
              <w:rPr>
                <w:rFonts w:eastAsia="微軟正黑體"/>
                <w:b/>
                <w:bCs/>
              </w:rPr>
              <w:t>260</w:t>
            </w:r>
            <w:r>
              <w:rPr>
                <w:rFonts w:eastAsia="微軟正黑體"/>
                <w:b/>
                <w:bCs/>
                <w:lang w:eastAsia="zh-TW"/>
              </w:rPr>
              <w:t>5211</w:t>
            </w:r>
            <w:r w:rsidRPr="00313C64">
              <w:rPr>
                <w:rFonts w:eastAsia="微軟正黑體"/>
                <w:b/>
                <w:bCs/>
              </w:rPr>
              <w:t xml:space="preserve"> 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全英文授課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3A4D84" w:rsidRPr="00AA5F4C" w:rsidRDefault="003A4D84" w:rsidP="003A4D84">
            <w:pPr>
              <w:spacing w:line="320" w:lineRule="exact"/>
              <w:ind w:left="31680" w:firstLineChars="100" w:firstLine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是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否</w:t>
            </w:r>
          </w:p>
        </w:tc>
      </w:tr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微軟正黑體" w:hint="eastAsia"/>
                <w:b/>
                <w:bCs/>
              </w:rPr>
              <w:t>課程類別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AA5F4C" w:rsidRDefault="003A4D84" w:rsidP="003A4D84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spacing w:val="-4"/>
              </w:rPr>
              <w:t>人文關懷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競賽專題課程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問題導向課程</w:t>
            </w:r>
          </w:p>
          <w:p w:rsidR="003A4D84" w:rsidRDefault="003A4D84" w:rsidP="003A4D84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專題導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向課程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總整課程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kern w:val="24"/>
              </w:rPr>
              <w:t>實作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Times New Roman" w:eastAsia="微軟正黑體" w:hAnsi="Times New Roman"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E35F40">
              <w:rPr>
                <w:rFonts w:ascii="微軟正黑體" w:eastAsia="微軟正黑體" w:hAnsi="微軟正黑體" w:cs="微軟正黑體" w:hint="eastAsia"/>
                <w:b/>
                <w:bCs/>
              </w:rPr>
              <w:t>實習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>■</w:t>
            </w:r>
            <w:r w:rsidRPr="00ED7269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</w:p>
        </w:tc>
      </w:tr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課程名稱（中文）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313C64" w:rsidRDefault="003A4D84" w:rsidP="003A4D84">
            <w:pPr>
              <w:spacing w:before="0" w:beforeAutospacing="0" w:line="320" w:lineRule="exact"/>
              <w:ind w:left="31680" w:firstLineChars="100" w:firstLine="31680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  <w:lang w:eastAsia="zh-TW"/>
              </w:rPr>
              <w:t>高等</w:t>
            </w:r>
            <w:r w:rsidRPr="00313C64">
              <w:rPr>
                <w:rFonts w:hint="eastAsia"/>
                <w:b/>
                <w:bCs/>
              </w:rPr>
              <w:t>有機化學</w:t>
            </w:r>
            <w:r w:rsidRPr="00313C64">
              <w:rPr>
                <w:b/>
                <w:bCs/>
              </w:rPr>
              <w:t xml:space="preserve"> (</w:t>
            </w:r>
            <w:r>
              <w:rPr>
                <w:rFonts w:hint="eastAsia"/>
                <w:b/>
                <w:bCs/>
                <w:lang w:eastAsia="zh-TW"/>
              </w:rPr>
              <w:t>一</w:t>
            </w:r>
            <w:r w:rsidRPr="00313C64">
              <w:rPr>
                <w:b/>
                <w:bCs/>
              </w:rPr>
              <w:t>)</w:t>
            </w:r>
          </w:p>
        </w:tc>
      </w:tr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課程名稱（英文）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English course name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313C64" w:rsidRDefault="003A4D84" w:rsidP="003A4D84">
            <w:pPr>
              <w:spacing w:before="0" w:beforeAutospacing="0" w:line="320" w:lineRule="exact"/>
              <w:ind w:left="31680" w:firstLineChars="100" w:firstLine="31680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 xml:space="preserve">Advanced </w:t>
            </w:r>
            <w:r w:rsidRPr="00313C64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Organic Chemistry (I)</w:t>
            </w:r>
          </w:p>
        </w:tc>
      </w:tr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學年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學期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A5210C" w:rsidRDefault="003A4D84" w:rsidP="003A4D84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114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學年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/</w:t>
            </w:r>
            <w:r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下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/>
            </w:tblPr>
            <w:tblGrid>
              <w:gridCol w:w="2058"/>
            </w:tblGrid>
            <w:tr w:rsidR="003A4D84" w:rsidRPr="008C6267">
              <w:trPr>
                <w:trHeight w:val="309"/>
              </w:trPr>
              <w:tc>
                <w:tcPr>
                  <w:tcW w:w="2058" w:type="dxa"/>
                </w:tcPr>
                <w:p w:rsidR="003A4D84" w:rsidRPr="00F66AEE" w:rsidRDefault="003A4D84" w:rsidP="003A4D84">
                  <w:pPr>
                    <w:spacing w:before="0" w:beforeAutospacing="0" w:line="320" w:lineRule="exact"/>
                    <w:ind w:leftChars="-5" w:left="31680" w:hangingChars="129" w:firstLine="31680"/>
                    <w:jc w:val="center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學分</w:t>
                  </w:r>
                </w:p>
                <w:p w:rsidR="003A4D84" w:rsidRPr="00F66AEE" w:rsidRDefault="003A4D84" w:rsidP="003A4D84">
                  <w:pPr>
                    <w:spacing w:before="0" w:beforeAutospacing="0" w:line="320" w:lineRule="exact"/>
                    <w:ind w:leftChars="5" w:left="31680" w:hangingChars="129" w:firstLine="31680"/>
                    <w:jc w:val="center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credits</w:t>
                  </w:r>
                </w:p>
              </w:tc>
            </w:tr>
          </w:tbl>
          <w:p w:rsidR="003A4D84" w:rsidRPr="00F66AEE" w:rsidRDefault="003A4D84" w:rsidP="003A4D84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3A4D84" w:rsidRPr="007A6F9D" w:rsidRDefault="003A4D84" w:rsidP="003A4D84">
            <w:pPr>
              <w:spacing w:line="320" w:lineRule="exact"/>
              <w:ind w:left="31680" w:firstLineChars="50" w:firstLine="31680"/>
              <w:rPr>
                <w:rFonts w:eastAsia="微軟正黑體" w:cs="Times New Roman"/>
                <w:b/>
                <w:bCs/>
                <w:lang w:eastAsia="zh-TW"/>
              </w:rPr>
            </w:pPr>
            <w:r>
              <w:rPr>
                <w:rFonts w:eastAsia="微軟正黑體"/>
                <w:b/>
                <w:bCs/>
                <w:lang w:eastAsia="zh-TW"/>
              </w:rPr>
              <w:t>3</w:t>
            </w:r>
          </w:p>
        </w:tc>
      </w:tr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學系（所）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313C64" w:rsidRDefault="003A4D84" w:rsidP="003A4D84">
            <w:pPr>
              <w:spacing w:before="0" w:beforeAutospacing="0" w:line="320" w:lineRule="exact"/>
              <w:ind w:left="31680" w:hangingChars="100" w:firstLine="31680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化學暨生物化學系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必選修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3A4D84" w:rsidRPr="007B34D7" w:rsidRDefault="003A4D84" w:rsidP="003A4D84">
            <w:pPr>
              <w:spacing w:line="320" w:lineRule="exact"/>
              <w:ind w:left="31680" w:firstLineChars="100" w:firstLine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7B34D7">
              <w:rPr>
                <w:rFonts w:ascii="微軟正黑體" w:eastAsia="微軟正黑體" w:hAnsi="微軟正黑體" w:cs="微軟正黑體" w:hint="eastAsia"/>
                <w:b/>
                <w:bCs/>
              </w:rPr>
              <w:t>必修</w:t>
            </w:r>
            <w:r w:rsidRPr="007B34D7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■</w:t>
            </w:r>
            <w:r w:rsidRPr="007B34D7">
              <w:rPr>
                <w:rFonts w:ascii="微軟正黑體" w:eastAsia="微軟正黑體" w:hAnsi="微軟正黑體" w:cs="微軟正黑體" w:hint="eastAsia"/>
                <w:b/>
                <w:bCs/>
              </w:rPr>
              <w:t>選修</w:t>
            </w:r>
          </w:p>
        </w:tc>
      </w:tr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上課時間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A44889" w:rsidRDefault="003A4D84" w:rsidP="003A4D84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週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五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>10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>:1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>5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>13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>:00)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上課地點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3A4D84" w:rsidRPr="008C6267" w:rsidRDefault="003A4D84" w:rsidP="003A4D84">
            <w:pPr>
              <w:spacing w:line="320" w:lineRule="exact"/>
              <w:ind w:leftChars="100" w:left="31680"/>
              <w:rPr>
                <w:rFonts w:eastAsia="微軟正黑體" w:cs="Times New Roman"/>
                <w:lang w:eastAsia="zh-TW"/>
              </w:rPr>
            </w:pPr>
            <w:r w:rsidRPr="00313C64">
              <w:rPr>
                <w:rFonts w:eastAsia="微軟正黑體" w:cs="微軟正黑體" w:hint="eastAsia"/>
                <w:b/>
                <w:bCs/>
                <w:lang w:eastAsia="zh-TW"/>
              </w:rPr>
              <w:t>化生系</w:t>
            </w:r>
            <w:r>
              <w:rPr>
                <w:rFonts w:eastAsia="微軟正黑體"/>
                <w:b/>
                <w:bCs/>
                <w:lang w:eastAsia="zh-TW"/>
              </w:rPr>
              <w:t>502</w:t>
            </w:r>
            <w:r w:rsidRPr="00313C64">
              <w:rPr>
                <w:rFonts w:eastAsia="微軟正黑體" w:cs="微軟正黑體" w:hint="eastAsia"/>
                <w:b/>
                <w:bCs/>
                <w:lang w:eastAsia="zh-TW"/>
              </w:rPr>
              <w:t>室</w:t>
            </w:r>
          </w:p>
        </w:tc>
      </w:tr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7A6F9D" w:rsidRDefault="003A4D84" w:rsidP="003A4D84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  <w:r w:rsidRPr="007A6F9D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許岱欣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email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3A4D84" w:rsidRPr="007A6F9D" w:rsidRDefault="003A4D84" w:rsidP="003A4D84">
            <w:pPr>
              <w:spacing w:line="320" w:lineRule="exact"/>
              <w:ind w:left="31680"/>
              <w:rPr>
                <w:rFonts w:eastAsia="微軟正黑體"/>
                <w:b/>
                <w:bCs/>
                <w:lang w:eastAsia="zh-TW"/>
              </w:rPr>
            </w:pPr>
            <w:r w:rsidRPr="007A6F9D">
              <w:rPr>
                <w:rFonts w:eastAsia="微軟正黑體"/>
                <w:b/>
                <w:bCs/>
                <w:lang w:eastAsia="zh-TW"/>
              </w:rPr>
              <w:t>chedsh@ccu.edu.tw</w:t>
            </w:r>
          </w:p>
        </w:tc>
      </w:tr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助教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A5210C" w:rsidRDefault="003A4D84" w:rsidP="003A4D84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微軟正黑體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助教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email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3A4D84" w:rsidRPr="008C6267" w:rsidRDefault="003A4D84" w:rsidP="003A4D84">
            <w:pPr>
              <w:spacing w:line="320" w:lineRule="exact"/>
              <w:ind w:left="31680"/>
              <w:rPr>
                <w:rFonts w:eastAsia="微軟正黑體" w:cs="Times New Roman"/>
              </w:rPr>
            </w:pPr>
          </w:p>
        </w:tc>
      </w:tr>
      <w:tr w:rsidR="003A4D84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先修科目或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先備能力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7A6F9D" w:rsidRDefault="003A4D84" w:rsidP="003A4D84">
            <w:pPr>
              <w:spacing w:before="0" w:beforeAutospacing="0" w:line="320" w:lineRule="exact"/>
              <w:ind w:left="31680"/>
              <w:rPr>
                <w:rFonts w:eastAsia="微軟正黑體" w:cs="Times New Roman"/>
                <w:b/>
                <w:bCs/>
              </w:rPr>
            </w:pPr>
            <w:r w:rsidRPr="00313C64">
              <w:rPr>
                <w:rFonts w:hint="eastAsia"/>
                <w:b/>
                <w:bCs/>
              </w:rPr>
              <w:t>有機化學</w:t>
            </w:r>
          </w:p>
          <w:p w:rsidR="003A4D84" w:rsidRPr="008C6267" w:rsidRDefault="003A4D84" w:rsidP="003A4D84">
            <w:pPr>
              <w:spacing w:before="0" w:beforeAutospacing="0" w:line="320" w:lineRule="exact"/>
              <w:ind w:left="31680"/>
              <w:rPr>
                <w:rFonts w:eastAsia="微軟正黑體" w:cs="Times New Roman"/>
              </w:rPr>
            </w:pPr>
          </w:p>
        </w:tc>
      </w:tr>
      <w:tr w:rsidR="003A4D84" w:rsidRPr="008C6267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課程概述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3E5900" w:rsidRDefault="003A4D84" w:rsidP="003A4D84">
            <w:pPr>
              <w:spacing w:before="0" w:beforeAutospacing="0" w:line="320" w:lineRule="exact"/>
              <w:ind w:leftChars="132" w:left="31680" w:hangingChars="2" w:firstLine="31680"/>
              <w:rPr>
                <w:rFonts w:eastAsia="微軟正黑體" w:cs="Times New Roman"/>
                <w:b/>
                <w:bCs/>
              </w:rPr>
            </w:pPr>
            <w:r w:rsidRPr="003E5900">
              <w:rPr>
                <w:b/>
                <w:bCs/>
              </w:rPr>
              <w:t>This course is designed for students who have taken one-year undergraduate organic chemistry course. It is divided into the three fundamental aspects of the study of organic chemistry: reactions, mechanisms and structure. A student who has completed this course should be able to approach the literature directory, with a sound knowledge of modern basic organic chemistry.</w:t>
            </w:r>
          </w:p>
        </w:tc>
      </w:tr>
      <w:tr w:rsidR="003A4D84" w:rsidRPr="008C6267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學習目標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7A6F9D" w:rsidRDefault="003A4D84" w:rsidP="00313C64">
            <w:pPr>
              <w:pStyle w:val="ListParagraph"/>
              <w:spacing w:before="0" w:beforeAutospacing="0"/>
              <w:ind w:leftChars="0" w:left="316"/>
              <w:rPr>
                <w:rFonts w:eastAsia="微軟正黑體" w:cs="Times New Roman"/>
                <w:b/>
                <w:bCs/>
              </w:rPr>
            </w:pPr>
          </w:p>
        </w:tc>
      </w:tr>
      <w:tr w:rsidR="003A4D84" w:rsidRPr="008C6267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教科書及參考書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textbooks and 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3E5900" w:rsidRDefault="003A4D84" w:rsidP="003A4D84">
            <w:pPr>
              <w:spacing w:before="0" w:beforeAutospacing="0" w:line="320" w:lineRule="exact"/>
              <w:ind w:left="31680"/>
              <w:rPr>
                <w:rFonts w:eastAsia="微軟正黑體" w:cs="Times New Roman"/>
                <w:b/>
                <w:bCs/>
              </w:rPr>
            </w:pPr>
            <w:r w:rsidRPr="003E5900">
              <w:rPr>
                <w:rFonts w:eastAsia="標楷體" w:hAnsi="標楷體"/>
                <w:b/>
                <w:bCs/>
              </w:rPr>
              <w:t xml:space="preserve">Advanced </w:t>
            </w:r>
            <w:r w:rsidRPr="003E5900">
              <w:rPr>
                <w:rFonts w:eastAsia="標楷體"/>
                <w:b/>
                <w:bCs/>
                <w:color w:val="000000"/>
              </w:rPr>
              <w:t>Organic Chemistry, Part A: Structure and Mechanism, 5/E, 2007</w:t>
            </w:r>
            <w:r w:rsidRPr="003E5900">
              <w:rPr>
                <w:rFonts w:eastAsia="標楷體"/>
                <w:b/>
                <w:bCs/>
                <w:color w:val="000000"/>
                <w:lang w:eastAsia="zh-TW"/>
              </w:rPr>
              <w:t xml:space="preserve">, </w:t>
            </w:r>
            <w:r w:rsidRPr="003E5900">
              <w:rPr>
                <w:rFonts w:eastAsia="標楷體" w:hAnsi="標楷體"/>
                <w:b/>
                <w:bCs/>
              </w:rPr>
              <w:t>Francis A. Carey</w:t>
            </w:r>
          </w:p>
        </w:tc>
      </w:tr>
      <w:tr w:rsidR="003A4D84" w:rsidRPr="008C626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3A4D84" w:rsidRPr="008C6267" w:rsidRDefault="003A4D84" w:rsidP="003A4D84">
            <w:pPr>
              <w:spacing w:line="320" w:lineRule="exact"/>
              <w:ind w:left="31680"/>
              <w:jc w:val="center"/>
              <w:rPr>
                <w:rFonts w:eastAsia="微軟正黑體" w:cs="Times New Roman"/>
                <w:b/>
                <w:bCs/>
              </w:rPr>
            </w:pPr>
            <w:r w:rsidRPr="008C6267">
              <w:rPr>
                <w:rFonts w:eastAsia="微軟正黑體" w:cs="微軟正黑體" w:hint="eastAsia"/>
                <w:b/>
                <w:bCs/>
              </w:rPr>
              <w:t>教學要點概述</w:t>
            </w:r>
          </w:p>
        </w:tc>
      </w:tr>
      <w:tr w:rsidR="003A4D84" w:rsidRPr="008C626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教材編選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50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teaching 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50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AA5F4C" w:rsidRDefault="003A4D84" w:rsidP="003A4D84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自製簡報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>(ppt)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課程講義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自編教科書</w:t>
            </w:r>
          </w:p>
          <w:p w:rsidR="003A4D84" w:rsidRPr="008C6267" w:rsidRDefault="003A4D84" w:rsidP="003A4D84">
            <w:pPr>
              <w:spacing w:line="320" w:lineRule="exact"/>
              <w:ind w:left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教學程式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自製教學影片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3A4D84" w:rsidRPr="008C626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教學方法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teaching 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AA5F4C" w:rsidRDefault="003A4D84" w:rsidP="003A4D84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講述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小組討論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學生口頭報告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問題導向學習</w:t>
            </w:r>
          </w:p>
          <w:p w:rsidR="003A4D84" w:rsidRPr="008C6267" w:rsidRDefault="003A4D84" w:rsidP="003A4D84">
            <w:pPr>
              <w:spacing w:line="320" w:lineRule="exact"/>
              <w:ind w:left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個案研究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3A4D84" w:rsidRPr="008C626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評量工具</w:t>
            </w:r>
          </w:p>
          <w:p w:rsidR="003A4D84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Evaluation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AA5F4C" w:rsidRDefault="003A4D84" w:rsidP="003A4D84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期中考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期末考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隨堂測驗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隨堂作業</w:t>
            </w:r>
          </w:p>
          <w:p w:rsidR="003A4D84" w:rsidRPr="00AA5F4C" w:rsidRDefault="003A4D84" w:rsidP="003A4D84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課後作業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期中報告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期末報告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專題報告</w:t>
            </w:r>
          </w:p>
          <w:p w:rsidR="003A4D84" w:rsidRPr="008C6267" w:rsidRDefault="003A4D84" w:rsidP="003A4D84">
            <w:pPr>
              <w:spacing w:line="320" w:lineRule="exact"/>
              <w:ind w:leftChars="0" w:left="0" w:firstLineChars="123" w:firstLine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評量尺規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3A4D84" w:rsidRPr="008C626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教學資源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</w:rPr>
              <w:t>t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eaching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AA5F4C" w:rsidRDefault="003A4D84" w:rsidP="003A4D84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課程網站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教材電子檔供下載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實習網站</w:t>
            </w:r>
          </w:p>
        </w:tc>
      </w:tr>
      <w:tr w:rsidR="003A4D84" w:rsidRPr="008C626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相關訊息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instructor’s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A4D84" w:rsidRPr="008C6267" w:rsidRDefault="003A4D84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 w:cs="Times New Roman"/>
              </w:rPr>
            </w:pPr>
          </w:p>
        </w:tc>
      </w:tr>
      <w:tr w:rsidR="003A4D84" w:rsidRPr="008C626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每週課程內容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weekly scheduled contents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1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Stereochemistry, conformation, and stereoselectivity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2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Stereochemistry, conformation, and stereoselectivity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3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Stereochemistry, conformation, and stereoselectivity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4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Structural effects on stability and reactivity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5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Structural effects on stability and reactivity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6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Structural effects on stability and reactivity</w:t>
            </w:r>
            <w:r w:rsidRPr="00F66AEE">
              <w:rPr>
                <w:rFonts w:ascii="Times New Roman" w:eastAsia="微軟正黑體" w:hAnsi="Times New Roman" w:cs="Times New Roman"/>
                <w:lang w:eastAsia="zh-TW"/>
              </w:rPr>
              <w:t xml:space="preserve"> 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C704D2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7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Nucleophilic substitution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8</w:t>
            </w:r>
            <w:r>
              <w:rPr>
                <w:rFonts w:hint="eastAsia"/>
                <w:color w:val="000000"/>
                <w:lang w:eastAsia="zh-TW"/>
              </w:rPr>
              <w:t>：</w:t>
            </w:r>
            <w:r>
              <w:rPr>
                <w:rFonts w:eastAsia="全真中黑體"/>
              </w:rPr>
              <w:t>Nucleophilic substitution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C704D2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9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Nucleophilic substitution</w:t>
            </w:r>
            <w:r>
              <w:rPr>
                <w:color w:val="000000"/>
              </w:rPr>
              <w:t xml:space="preserve">, </w:t>
            </w:r>
            <w:r w:rsidRPr="00471611">
              <w:rPr>
                <w:rFonts w:hint="eastAsia"/>
              </w:rPr>
              <w:t>期中考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0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Polar addition and elimination reactions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1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Polar addition and elimination reactions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2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Polar addition and elimination reactions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3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Carbanions and other carbon nucleophiles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4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rFonts w:eastAsia="全真中黑體"/>
              </w:rPr>
              <w:t>Carbanions and other carbon nucleophiles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5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t>Addition, condensation and substitution reactions of carbonyl compounds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 w:cs="Times New Roman"/>
                <w:lang w:eastAsia="zh-TW"/>
              </w:rPr>
              <w:t>1</w:t>
            </w:r>
            <w:r w:rsidRPr="00313C64">
              <w:rPr>
                <w:rFonts w:ascii="微軟正黑體" w:eastAsia="微軟正黑體" w:hAnsi="Times New Roman" w:cs="微軟正黑體"/>
                <w:lang w:eastAsia="zh-TW"/>
              </w:rPr>
              <w:t>6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t>Addition, condensation and substitution reactions of carbonyl compounds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7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84" w:rsidRPr="00F66AEE" w:rsidRDefault="003A4D84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8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rFonts w:hint="eastAsia"/>
                <w:color w:val="000000"/>
              </w:rPr>
              <w:t>期末考</w:t>
            </w:r>
          </w:p>
        </w:tc>
      </w:tr>
      <w:tr w:rsidR="003A4D84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3A4D84" w:rsidRPr="00F66AEE" w:rsidRDefault="003A4D84" w:rsidP="003A4D84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核心能力</w:t>
            </w:r>
          </w:p>
          <w:p w:rsidR="003A4D84" w:rsidRPr="00F66AEE" w:rsidRDefault="003A4D84" w:rsidP="003A4D84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core competencies </w:t>
            </w:r>
          </w:p>
        </w:tc>
      </w:tr>
      <w:tr w:rsidR="003A4D84" w:rsidRPr="008C6267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3A4D84" w:rsidRPr="008C6267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核心能力</w:t>
                  </w:r>
                </w:p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本課程與核心能力關聯強度</w:t>
                  </w:r>
                </w:p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ies</w:t>
                  </w:r>
                </w:p>
              </w:tc>
            </w:tr>
            <w:tr w:rsidR="003A4D84" w:rsidRPr="008C6267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5</w:t>
                  </w:r>
                </w:p>
              </w:tc>
            </w:tr>
            <w:tr w:rsidR="003A4D84" w:rsidRPr="008C6267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專業能力</w:t>
                  </w:r>
                </w:p>
                <w:p w:rsidR="003A4D84" w:rsidRDefault="003A4D84" w:rsidP="003A4D84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>Specific</w:t>
                  </w:r>
                </w:p>
                <w:p w:rsidR="003A4D84" w:rsidRPr="00FF66D4" w:rsidRDefault="003A4D84" w:rsidP="003A4D84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A4D84" w:rsidRPr="00F66AEE" w:rsidRDefault="003A4D84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7A6F9D">
                    <w:rPr>
                      <w:rFonts w:ascii="微軟正黑體" w:eastAsia="微軟正黑體" w:hAnsi="Times New Roman" w:cs="微軟正黑體"/>
                      <w:b/>
                      <w:bCs/>
                      <w:lang w:eastAsia="zh-TW"/>
                    </w:rPr>
                    <w:t>1</w:t>
                  </w:r>
                  <w:r>
                    <w:rPr>
                      <w:rFonts w:ascii="微軟正黑體" w:eastAsia="微軟正黑體" w:hAnsi="Times New Roman" w:cs="微軟正黑體" w:hint="eastAsia"/>
                      <w:b/>
                      <w:bCs/>
                      <w:lang w:eastAsia="zh-TW"/>
                    </w:rPr>
                    <w:t>：</w:t>
                  </w:r>
                  <w:r w:rsidRPr="003E5900">
                    <w:rPr>
                      <w:rFonts w:hint="eastAsia"/>
                      <w:b/>
                      <w:bCs/>
                    </w:rPr>
                    <w:t>具備化學、生物化學或材料化學之專業知識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7A6F9D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V</w:t>
                  </w:r>
                </w:p>
              </w:tc>
            </w:tr>
            <w:tr w:rsidR="003A4D84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A4D84" w:rsidRPr="00F66AEE" w:rsidRDefault="003A4D84" w:rsidP="003E5900">
                  <w:pPr>
                    <w:adjustRightInd w:val="0"/>
                    <w:snapToGrid w:val="0"/>
                    <w:ind w:leftChars="0" w:left="1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7A6F9D">
                    <w:rPr>
                      <w:rFonts w:ascii="微軟正黑體" w:eastAsia="微軟正黑體" w:hAnsi="Times New Roman" w:cs="微軟正黑體"/>
                      <w:b/>
                      <w:bCs/>
                      <w:lang w:eastAsia="zh-TW"/>
                    </w:rPr>
                    <w:t>2</w:t>
                  </w:r>
                  <w:r>
                    <w:rPr>
                      <w:rFonts w:ascii="微軟正黑體" w:eastAsia="微軟正黑體" w:hAnsi="Times New Roman" w:cs="微軟正黑體" w:hint="eastAsia"/>
                      <w:b/>
                      <w:bCs/>
                      <w:lang w:eastAsia="zh-TW"/>
                    </w:rPr>
                    <w:t>：</w:t>
                  </w:r>
                  <w:r w:rsidRPr="003E5900">
                    <w:rPr>
                      <w:rFonts w:hint="eastAsia"/>
                      <w:b/>
                      <w:bCs/>
                    </w:rPr>
                    <w:t>創新思考、解決問題及獨立研究之能力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7A6F9D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V</w:t>
                  </w:r>
                </w:p>
              </w:tc>
            </w:tr>
            <w:tr w:rsidR="003A4D84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A4D84" w:rsidRPr="00F66AEE" w:rsidRDefault="003A4D84" w:rsidP="003A4D84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3A4D84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A4D84" w:rsidRPr="00F66AEE" w:rsidRDefault="003A4D84" w:rsidP="003A4D84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3A4D84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D84" w:rsidRPr="00F66AEE" w:rsidRDefault="003A4D84" w:rsidP="003A4D84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3A4D84" w:rsidRPr="008C6267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3A4D84" w:rsidRDefault="003A4D84" w:rsidP="003A4D84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能力</w:t>
                  </w:r>
                </w:p>
                <w:p w:rsidR="003A4D84" w:rsidRPr="00FF66D4" w:rsidRDefault="003A4D84" w:rsidP="003A4D84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General</w:t>
                  </w:r>
                </w:p>
                <w:p w:rsidR="003A4D84" w:rsidRPr="00FF66D4" w:rsidRDefault="003A4D84" w:rsidP="003A4D84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A4D84" w:rsidRPr="00F66AEE" w:rsidRDefault="003A4D84" w:rsidP="003A4D84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3A4D84" w:rsidRPr="008C6267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A4D84" w:rsidRPr="00FF66D4" w:rsidRDefault="003A4D84" w:rsidP="003A4D84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A4D84" w:rsidRPr="00F66AEE" w:rsidRDefault="003A4D84" w:rsidP="003A4D84">
                  <w:pPr>
                    <w:adjustRightInd w:val="0"/>
                    <w:snapToGrid w:val="0"/>
                    <w:spacing w:before="0" w:beforeAutospacing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3A4D84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textAlignment w:val="bottom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A4D84" w:rsidRPr="00F66AEE" w:rsidRDefault="003A4D84" w:rsidP="003A4D84">
                  <w:pPr>
                    <w:adjustRightInd w:val="0"/>
                    <w:snapToGrid w:val="0"/>
                    <w:spacing w:before="0" w:beforeAutospacing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3A4D84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3A4D84" w:rsidRPr="00FF66D4" w:rsidRDefault="003A4D84" w:rsidP="003A4D84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3A4D84" w:rsidRPr="00F66AEE" w:rsidRDefault="003A4D84" w:rsidP="003A4D84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3A4D84" w:rsidRPr="008C6267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3A4D84" w:rsidRPr="00FF66D4" w:rsidRDefault="003A4D84" w:rsidP="003A4D84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A4D84" w:rsidRPr="00F66AEE" w:rsidRDefault="003A4D84" w:rsidP="003A4D84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A4D84" w:rsidRPr="00F66AEE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A4D84" w:rsidRPr="00FF66D4" w:rsidRDefault="003A4D84" w:rsidP="003A4D8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</w:tbl>
          <w:p w:rsidR="003A4D84" w:rsidRPr="008C6267" w:rsidRDefault="003A4D84" w:rsidP="003A4D84">
            <w:pPr>
              <w:spacing w:line="320" w:lineRule="exact"/>
              <w:ind w:left="31680"/>
              <w:rPr>
                <w:rFonts w:eastAsia="微軟正黑體" w:cs="Times New Roman"/>
                <w:lang w:eastAsia="zh-TW"/>
              </w:rPr>
            </w:pPr>
            <w:r w:rsidRPr="008C6267">
              <w:rPr>
                <w:rFonts w:eastAsia="微軟正黑體" w:cs="微軟正黑體" w:hint="eastAsia"/>
                <w:b/>
                <w:bCs/>
              </w:rPr>
              <w:t>註：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關聯強度</w:t>
            </w:r>
            <w:r>
              <w:rPr>
                <w:rFonts w:ascii="Times New Roman" w:eastAsia="微軟正黑體" w:hAnsi="Times New Roman" w:cs="微軟正黑體" w:hint="eastAsia"/>
                <w:b/>
                <w:bCs/>
              </w:rPr>
              <w:t>以五點量表標示，</w:t>
            </w:r>
            <w:r w:rsidRPr="008C6267">
              <w:rPr>
                <w:rFonts w:eastAsia="微軟正黑體"/>
                <w:b/>
                <w:bCs/>
                <w:lang w:eastAsia="zh-TW"/>
              </w:rPr>
              <w:t>1</w:t>
            </w:r>
            <w:r w:rsidRPr="008C6267">
              <w:rPr>
                <w:rFonts w:eastAsia="微軟正黑體" w:cs="微軟正黑體" w:hint="eastAsia"/>
                <w:b/>
                <w:bCs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bCs/>
                <w:lang w:eastAsia="zh-TW"/>
              </w:rPr>
              <w:t>5</w:t>
            </w:r>
            <w:r w:rsidRPr="008C6267">
              <w:rPr>
                <w:rFonts w:eastAsia="微軟正黑體" w:cs="微軟正黑體" w:hint="eastAsia"/>
                <w:b/>
                <w:bCs/>
                <w:lang w:eastAsia="zh-TW"/>
              </w:rPr>
              <w:t>表示非常有關聯。</w:t>
            </w:r>
          </w:p>
        </w:tc>
      </w:tr>
    </w:tbl>
    <w:p w:rsidR="003A4D84" w:rsidRPr="001C052A" w:rsidRDefault="003A4D84" w:rsidP="003A4D84">
      <w:pPr>
        <w:ind w:left="31680"/>
        <w:rPr>
          <w:rFonts w:cs="Times New Roman"/>
        </w:rPr>
      </w:pPr>
    </w:p>
    <w:p w:rsidR="003A4D84" w:rsidRPr="001C052A" w:rsidRDefault="003A4D84" w:rsidP="006133AB">
      <w:pPr>
        <w:ind w:left="31680"/>
        <w:rPr>
          <w:rFonts w:cs="Times New Roman"/>
        </w:rPr>
      </w:pPr>
    </w:p>
    <w:p w:rsidR="003A4D84" w:rsidRPr="003E7C8A" w:rsidRDefault="003A4D84" w:rsidP="003E7C8A">
      <w:pPr>
        <w:spacing w:before="0" w:beforeAutospacing="0"/>
        <w:ind w:leftChars="0" w:left="0"/>
        <w:jc w:val="center"/>
        <w:rPr>
          <w:rFonts w:ascii="標楷體" w:eastAsia="標楷體" w:hAnsi="標楷體" w:cs="Times New Roman"/>
          <w:sz w:val="44"/>
          <w:szCs w:val="44"/>
          <w:lang w:eastAsia="zh-TW"/>
        </w:rPr>
      </w:pPr>
    </w:p>
    <w:sectPr w:rsidR="003A4D84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D84" w:rsidRDefault="003A4D84" w:rsidP="004C381E">
      <w:pPr>
        <w:spacing w:before="0"/>
        <w:ind w:left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4D84" w:rsidRDefault="003A4D84" w:rsidP="004C381E">
      <w:pPr>
        <w:spacing w:before="0"/>
        <w:ind w:left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真中黑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D84" w:rsidRDefault="003A4D84" w:rsidP="004C381E">
      <w:pPr>
        <w:spacing w:before="0"/>
        <w:ind w:left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4D84" w:rsidRDefault="003A4D84" w:rsidP="004C381E">
      <w:pPr>
        <w:spacing w:before="0"/>
        <w:ind w:left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4C4F"/>
    <w:rsid w:val="001424D0"/>
    <w:rsid w:val="00156A09"/>
    <w:rsid w:val="00185033"/>
    <w:rsid w:val="001A3D56"/>
    <w:rsid w:val="001B416E"/>
    <w:rsid w:val="001B56F5"/>
    <w:rsid w:val="001C052A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2340"/>
    <w:rsid w:val="00275662"/>
    <w:rsid w:val="00286DDE"/>
    <w:rsid w:val="00287831"/>
    <w:rsid w:val="00291D25"/>
    <w:rsid w:val="002D309E"/>
    <w:rsid w:val="002D3E62"/>
    <w:rsid w:val="002F18F8"/>
    <w:rsid w:val="002F2160"/>
    <w:rsid w:val="00313C64"/>
    <w:rsid w:val="00315BF1"/>
    <w:rsid w:val="00342694"/>
    <w:rsid w:val="00345C60"/>
    <w:rsid w:val="00347BFD"/>
    <w:rsid w:val="00363EE7"/>
    <w:rsid w:val="003866FE"/>
    <w:rsid w:val="003A2A12"/>
    <w:rsid w:val="003A4D84"/>
    <w:rsid w:val="003A4DF0"/>
    <w:rsid w:val="003A6442"/>
    <w:rsid w:val="003B04CD"/>
    <w:rsid w:val="003B196B"/>
    <w:rsid w:val="003B2943"/>
    <w:rsid w:val="003C19DC"/>
    <w:rsid w:val="003C5530"/>
    <w:rsid w:val="003E0932"/>
    <w:rsid w:val="003E5900"/>
    <w:rsid w:val="003E7C8A"/>
    <w:rsid w:val="003F0401"/>
    <w:rsid w:val="003F079B"/>
    <w:rsid w:val="003F7C77"/>
    <w:rsid w:val="004255C4"/>
    <w:rsid w:val="004263C5"/>
    <w:rsid w:val="00430CF5"/>
    <w:rsid w:val="004424E7"/>
    <w:rsid w:val="00471611"/>
    <w:rsid w:val="004A22ED"/>
    <w:rsid w:val="004C381E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82D90"/>
    <w:rsid w:val="005B7B0D"/>
    <w:rsid w:val="005D00B8"/>
    <w:rsid w:val="005E5E9E"/>
    <w:rsid w:val="005F259C"/>
    <w:rsid w:val="006133AB"/>
    <w:rsid w:val="00613EFB"/>
    <w:rsid w:val="006202DB"/>
    <w:rsid w:val="00622350"/>
    <w:rsid w:val="00656E5E"/>
    <w:rsid w:val="006620EE"/>
    <w:rsid w:val="006827BB"/>
    <w:rsid w:val="006B376A"/>
    <w:rsid w:val="007607E9"/>
    <w:rsid w:val="0076496B"/>
    <w:rsid w:val="007A6F9D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6267"/>
    <w:rsid w:val="008D29F6"/>
    <w:rsid w:val="008F28CD"/>
    <w:rsid w:val="008F2E1B"/>
    <w:rsid w:val="00916AE0"/>
    <w:rsid w:val="009323A7"/>
    <w:rsid w:val="009533AF"/>
    <w:rsid w:val="0096101D"/>
    <w:rsid w:val="009636D0"/>
    <w:rsid w:val="00965BE9"/>
    <w:rsid w:val="00977AA8"/>
    <w:rsid w:val="00981C3B"/>
    <w:rsid w:val="0099199D"/>
    <w:rsid w:val="009A17F2"/>
    <w:rsid w:val="009E48E1"/>
    <w:rsid w:val="009F1228"/>
    <w:rsid w:val="009F53E0"/>
    <w:rsid w:val="00A005E5"/>
    <w:rsid w:val="00A336D5"/>
    <w:rsid w:val="00A41B7F"/>
    <w:rsid w:val="00A44889"/>
    <w:rsid w:val="00A5210C"/>
    <w:rsid w:val="00A63746"/>
    <w:rsid w:val="00A642A3"/>
    <w:rsid w:val="00A7454F"/>
    <w:rsid w:val="00A92675"/>
    <w:rsid w:val="00A94058"/>
    <w:rsid w:val="00AA5F4C"/>
    <w:rsid w:val="00AC099B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D5A67"/>
    <w:rsid w:val="00CE72FE"/>
    <w:rsid w:val="00D3209B"/>
    <w:rsid w:val="00D346A1"/>
    <w:rsid w:val="00D5686E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B0016"/>
    <w:rsid w:val="00EC360C"/>
    <w:rsid w:val="00EC7545"/>
    <w:rsid w:val="00ED555D"/>
    <w:rsid w:val="00ED7269"/>
    <w:rsid w:val="00F15A64"/>
    <w:rsid w:val="00F215AE"/>
    <w:rsid w:val="00F22674"/>
    <w:rsid w:val="00F345EA"/>
    <w:rsid w:val="00F60695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 w:cs="新細明體"/>
      <w:kern w:val="0"/>
      <w:szCs w:val="24"/>
      <w:lang w:eastAsia="zh-H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2675"/>
    <w:pPr>
      <w:widowControl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92675"/>
    <w:rPr>
      <w:rFonts w:ascii="新細明體" w:eastAsia="新細明體" w:cs="新細明體"/>
      <w:color w:val="000000"/>
      <w:kern w:val="0"/>
      <w:sz w:val="20"/>
      <w:szCs w:val="20"/>
      <w:lang w:eastAsia="zh-HK"/>
    </w:rPr>
  </w:style>
  <w:style w:type="paragraph" w:styleId="ListParagraph">
    <w:name w:val="List Paragraph"/>
    <w:basedOn w:val="Normal"/>
    <w:uiPriority w:val="99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068E"/>
    <w:rPr>
      <w:rFonts w:ascii="新細明體" w:eastAsia="新細明體" w:cs="新細明體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068E"/>
    <w:rPr>
      <w:rFonts w:ascii="新細明體" w:eastAsia="新細明體" w:cs="新細明體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rsid w:val="006827BB"/>
    <w:pPr>
      <w:spacing w:after="100" w:afterAutospacing="1"/>
      <w:ind w:leftChars="0" w:left="0"/>
      <w:jc w:val="left"/>
    </w:pPr>
    <w:rPr>
      <w:lang w:eastAsia="zh-TW"/>
    </w:rPr>
  </w:style>
  <w:style w:type="table" w:styleId="TableGrid">
    <w:name w:val="Table Grid"/>
    <w:basedOn w:val="TableNormal"/>
    <w:uiPriority w:val="99"/>
    <w:rsid w:val="006B376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3</Pages>
  <Words>435</Words>
  <Characters>2484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CCU</cp:lastModifiedBy>
  <cp:revision>8</cp:revision>
  <cp:lastPrinted>2023-06-26T09:36:00Z</cp:lastPrinted>
  <dcterms:created xsi:type="dcterms:W3CDTF">2023-10-06T06:32:00Z</dcterms:created>
  <dcterms:modified xsi:type="dcterms:W3CDTF">2025-12-23T02:57:00Z</dcterms:modified>
</cp:coreProperties>
</file>