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A26" w:rsidRDefault="00587A26" w:rsidP="00587A26">
      <w:pPr>
        <w:rPr>
          <w:rFonts w:hint="eastAsia"/>
        </w:rPr>
      </w:pPr>
      <w:r>
        <w:rPr>
          <w:rFonts w:hint="eastAsia"/>
        </w:rPr>
        <w:t>壹、課程目標</w:t>
      </w:r>
    </w:p>
    <w:p w:rsidR="00587A26" w:rsidRDefault="00587A26" w:rsidP="00587A26">
      <w:pPr>
        <w:rPr>
          <w:rFonts w:hint="eastAsia"/>
        </w:rPr>
      </w:pPr>
      <w:r>
        <w:rPr>
          <w:rFonts w:hint="eastAsia"/>
        </w:rPr>
        <w:t xml:space="preserve">    </w:t>
      </w:r>
      <w:r>
        <w:rPr>
          <w:rFonts w:hint="eastAsia"/>
        </w:rPr>
        <w:t>本課程之教學宗旨，旨在發展身、心、靈全人發展之法學教育，培養二十一世紀法學家之基本能力。為達到上述宗旨，本課程有之教學目標</w:t>
      </w:r>
      <w:proofErr w:type="gramStart"/>
      <w:r>
        <w:rPr>
          <w:rFonts w:hint="eastAsia"/>
        </w:rPr>
        <w:t>三</w:t>
      </w:r>
      <w:proofErr w:type="gramEnd"/>
      <w:r>
        <w:rPr>
          <w:rFonts w:hint="eastAsia"/>
        </w:rPr>
        <w:t>：第一、引導學生學習我國繼承法的基本原則與規範體系。第二、引領學生掌握繼承法實務上的重要課題。第三、培育學生之高尚人格、注重婚姻與家庭倫理、熟悉繼承法則並具備回答國家考試身分法的基本法學思考與答題能力。</w:t>
      </w:r>
    </w:p>
    <w:p w:rsidR="00587A26" w:rsidRDefault="00587A26" w:rsidP="00587A26"/>
    <w:p w:rsidR="00587A26" w:rsidRDefault="00587A26" w:rsidP="00587A26">
      <w:pPr>
        <w:rPr>
          <w:rFonts w:hint="eastAsia"/>
        </w:rPr>
      </w:pPr>
      <w:r>
        <w:rPr>
          <w:rFonts w:hint="eastAsia"/>
        </w:rPr>
        <w:t>貳、成績評量</w:t>
      </w:r>
    </w:p>
    <w:p w:rsidR="00587A26" w:rsidRDefault="00587A26" w:rsidP="00587A26">
      <w:pPr>
        <w:rPr>
          <w:rFonts w:hint="eastAsia"/>
        </w:rPr>
      </w:pPr>
      <w:r>
        <w:rPr>
          <w:rFonts w:hint="eastAsia"/>
        </w:rPr>
        <w:t xml:space="preserve">    </w:t>
      </w:r>
      <w:r>
        <w:rPr>
          <w:rFonts w:hint="eastAsia"/>
        </w:rPr>
        <w:t>本課程之學期成績由期中與期末考筆試成績、以及平常成績這兩部分組成。首先，在筆試成績方面，舉行期中考與期末考成績，合計共</w:t>
      </w:r>
      <w:proofErr w:type="gramStart"/>
      <w:r>
        <w:rPr>
          <w:rFonts w:hint="eastAsia"/>
        </w:rPr>
        <w:t>佔</w:t>
      </w:r>
      <w:proofErr w:type="gramEnd"/>
      <w:r>
        <w:rPr>
          <w:rFonts w:hint="eastAsia"/>
        </w:rPr>
        <w:t>學期總成績之</w:t>
      </w:r>
      <w:r>
        <w:rPr>
          <w:rFonts w:hint="eastAsia"/>
        </w:rPr>
        <w:t>80</w:t>
      </w:r>
      <w:r>
        <w:rPr>
          <w:rFonts w:hint="eastAsia"/>
        </w:rPr>
        <w:t>％。原則上期中考</w:t>
      </w:r>
      <w:proofErr w:type="gramStart"/>
      <w:r>
        <w:rPr>
          <w:rFonts w:hint="eastAsia"/>
        </w:rPr>
        <w:t>佔</w:t>
      </w:r>
      <w:proofErr w:type="gramEnd"/>
      <w:r>
        <w:rPr>
          <w:rFonts w:hint="eastAsia"/>
        </w:rPr>
        <w:t>40</w:t>
      </w:r>
      <w:r>
        <w:rPr>
          <w:rFonts w:hint="eastAsia"/>
        </w:rPr>
        <w:t>％，期末考成績</w:t>
      </w:r>
      <w:proofErr w:type="gramStart"/>
      <w:r>
        <w:rPr>
          <w:rFonts w:hint="eastAsia"/>
        </w:rPr>
        <w:t>佔</w:t>
      </w:r>
      <w:proofErr w:type="gramEnd"/>
      <w:r>
        <w:rPr>
          <w:rFonts w:hint="eastAsia"/>
        </w:rPr>
        <w:t>40</w:t>
      </w:r>
      <w:r>
        <w:rPr>
          <w:rFonts w:hint="eastAsia"/>
        </w:rPr>
        <w:t>％。</w:t>
      </w:r>
    </w:p>
    <w:p w:rsidR="00587A26" w:rsidRDefault="00587A26" w:rsidP="00587A26">
      <w:pPr>
        <w:rPr>
          <w:rFonts w:hint="eastAsia"/>
        </w:rPr>
      </w:pPr>
      <w:r>
        <w:rPr>
          <w:rFonts w:hint="eastAsia"/>
        </w:rPr>
        <w:t xml:space="preserve">    </w:t>
      </w:r>
      <w:r>
        <w:rPr>
          <w:rFonts w:hint="eastAsia"/>
        </w:rPr>
        <w:t>其次，平常成績</w:t>
      </w:r>
      <w:proofErr w:type="gramStart"/>
      <w:r>
        <w:rPr>
          <w:rFonts w:hint="eastAsia"/>
        </w:rPr>
        <w:t>佔</w:t>
      </w:r>
      <w:proofErr w:type="gramEnd"/>
      <w:r>
        <w:rPr>
          <w:rFonts w:hint="eastAsia"/>
        </w:rPr>
        <w:t>學期總成績</w:t>
      </w:r>
      <w:r>
        <w:rPr>
          <w:rFonts w:hint="eastAsia"/>
        </w:rPr>
        <w:t>20</w:t>
      </w:r>
      <w:r>
        <w:rPr>
          <w:rFonts w:hint="eastAsia"/>
        </w:rPr>
        <w:t>％。本課程學生應積極出席上課，認真學習課程內容，老師平常不定時隨堂小考。又為達到身心靈全人發展之法學教育的課程宗旨，老師鼓勵同學協助製作或校正共筆、培養每天定時運動的習慣、培養每天早睡早起之習慣、選修外文課程、自由參加老師所推薦的學術研討會、生命教育講座、親職教育活動（寫給媽媽的</w:t>
      </w:r>
      <w:proofErr w:type="gramStart"/>
      <w:r>
        <w:rPr>
          <w:rFonts w:hint="eastAsia"/>
        </w:rPr>
        <w:t>一</w:t>
      </w:r>
      <w:proofErr w:type="gramEnd"/>
      <w:r>
        <w:rPr>
          <w:rFonts w:hint="eastAsia"/>
        </w:rPr>
        <w:t>封信）、觀賞與繳交和身分法有關電影之心得、考量學生出席狀況與專注程度、參加老師推薦的課外演講等活動。這些考核評量乃作為平常成績，</w:t>
      </w:r>
      <w:proofErr w:type="gramStart"/>
      <w:r>
        <w:rPr>
          <w:rFonts w:hint="eastAsia"/>
        </w:rPr>
        <w:t>佔</w:t>
      </w:r>
      <w:proofErr w:type="gramEnd"/>
      <w:r>
        <w:rPr>
          <w:rFonts w:hint="eastAsia"/>
        </w:rPr>
        <w:t>總成績</w:t>
      </w:r>
      <w:r>
        <w:rPr>
          <w:rFonts w:hint="eastAsia"/>
        </w:rPr>
        <w:t>20</w:t>
      </w:r>
      <w:r>
        <w:rPr>
          <w:rFonts w:hint="eastAsia"/>
        </w:rPr>
        <w:t>％。</w:t>
      </w:r>
    </w:p>
    <w:p w:rsidR="00587A26" w:rsidRDefault="00587A26" w:rsidP="00587A26"/>
    <w:p w:rsidR="00587A26" w:rsidRDefault="00587A26" w:rsidP="00587A26">
      <w:pPr>
        <w:rPr>
          <w:rFonts w:hint="eastAsia"/>
        </w:rPr>
      </w:pPr>
      <w:r>
        <w:rPr>
          <w:rFonts w:hint="eastAsia"/>
        </w:rPr>
        <w:t>參、上課內容</w:t>
      </w:r>
    </w:p>
    <w:p w:rsidR="00587A26" w:rsidRDefault="00587A26" w:rsidP="00587A26">
      <w:pPr>
        <w:rPr>
          <w:rFonts w:hint="eastAsia"/>
        </w:rPr>
      </w:pPr>
      <w:r>
        <w:rPr>
          <w:rFonts w:hint="eastAsia"/>
        </w:rPr>
        <w:t>一、介紹本學期的課程內容與上課方式</w:t>
      </w:r>
    </w:p>
    <w:p w:rsidR="00587A26" w:rsidRDefault="00587A26" w:rsidP="00587A26">
      <w:pPr>
        <w:rPr>
          <w:rFonts w:hint="eastAsia"/>
        </w:rPr>
      </w:pPr>
      <w:r>
        <w:rPr>
          <w:rFonts w:hint="eastAsia"/>
        </w:rPr>
        <w:t>二、繼承法的憲法基礎與結構原則</w:t>
      </w:r>
    </w:p>
    <w:p w:rsidR="00587A26" w:rsidRDefault="00587A26" w:rsidP="00587A26">
      <w:pPr>
        <w:rPr>
          <w:rFonts w:hint="eastAsia"/>
        </w:rPr>
      </w:pPr>
      <w:r>
        <w:rPr>
          <w:rFonts w:hint="eastAsia"/>
        </w:rPr>
        <w:t>三、法定繼承人與應繼分</w:t>
      </w:r>
    </w:p>
    <w:p w:rsidR="00587A26" w:rsidRDefault="00587A26" w:rsidP="00587A26">
      <w:pPr>
        <w:rPr>
          <w:rFonts w:hint="eastAsia"/>
        </w:rPr>
      </w:pPr>
      <w:r>
        <w:rPr>
          <w:rFonts w:hint="eastAsia"/>
        </w:rPr>
        <w:t>四、繼承權的取得與喪失</w:t>
      </w:r>
    </w:p>
    <w:p w:rsidR="00587A26" w:rsidRDefault="00587A26" w:rsidP="00587A26">
      <w:pPr>
        <w:rPr>
          <w:rFonts w:hint="eastAsia"/>
        </w:rPr>
      </w:pPr>
      <w:r>
        <w:rPr>
          <w:rFonts w:hint="eastAsia"/>
        </w:rPr>
        <w:t>五、代位繼承</w:t>
      </w:r>
    </w:p>
    <w:p w:rsidR="00587A26" w:rsidRDefault="00587A26" w:rsidP="00587A26">
      <w:pPr>
        <w:rPr>
          <w:rFonts w:hint="eastAsia"/>
        </w:rPr>
      </w:pPr>
      <w:r>
        <w:rPr>
          <w:rFonts w:hint="eastAsia"/>
        </w:rPr>
        <w:t>六、繼承回覆請求權</w:t>
      </w:r>
    </w:p>
    <w:p w:rsidR="00587A26" w:rsidRDefault="00587A26" w:rsidP="00587A26">
      <w:pPr>
        <w:rPr>
          <w:rFonts w:hint="eastAsia"/>
        </w:rPr>
      </w:pPr>
      <w:r>
        <w:rPr>
          <w:rFonts w:hint="eastAsia"/>
        </w:rPr>
        <w:t>七、限定繼承</w:t>
      </w:r>
    </w:p>
    <w:p w:rsidR="00587A26" w:rsidRDefault="00587A26" w:rsidP="00587A26">
      <w:pPr>
        <w:rPr>
          <w:rFonts w:hint="eastAsia"/>
        </w:rPr>
      </w:pPr>
      <w:r>
        <w:rPr>
          <w:rFonts w:hint="eastAsia"/>
        </w:rPr>
        <w:t>八、共同繼承與遺產分割</w:t>
      </w:r>
    </w:p>
    <w:p w:rsidR="00587A26" w:rsidRDefault="00587A26" w:rsidP="00587A26">
      <w:pPr>
        <w:rPr>
          <w:rFonts w:hint="eastAsia"/>
        </w:rPr>
      </w:pPr>
      <w:r>
        <w:rPr>
          <w:rFonts w:hint="eastAsia"/>
        </w:rPr>
        <w:t>九、期中考試</w:t>
      </w:r>
    </w:p>
    <w:p w:rsidR="00587A26" w:rsidRDefault="00587A26" w:rsidP="00587A26">
      <w:pPr>
        <w:rPr>
          <w:rFonts w:hint="eastAsia"/>
        </w:rPr>
      </w:pPr>
      <w:r>
        <w:rPr>
          <w:rFonts w:hint="eastAsia"/>
        </w:rPr>
        <w:t>十、拋棄繼承與無人承認之繼承</w:t>
      </w:r>
    </w:p>
    <w:p w:rsidR="00587A26" w:rsidRDefault="00587A26" w:rsidP="00587A26">
      <w:pPr>
        <w:rPr>
          <w:rFonts w:hint="eastAsia"/>
        </w:rPr>
      </w:pPr>
      <w:r>
        <w:rPr>
          <w:rFonts w:hint="eastAsia"/>
        </w:rPr>
        <w:lastRenderedPageBreak/>
        <w:t>十一、遺囑之意義、內容、能力及生效</w:t>
      </w:r>
    </w:p>
    <w:p w:rsidR="00587A26" w:rsidRDefault="00587A26" w:rsidP="00587A26">
      <w:pPr>
        <w:rPr>
          <w:rFonts w:hint="eastAsia"/>
        </w:rPr>
      </w:pPr>
      <w:r>
        <w:rPr>
          <w:rFonts w:hint="eastAsia"/>
        </w:rPr>
        <w:t>十二、遺囑之方式、</w:t>
      </w:r>
    </w:p>
    <w:p w:rsidR="00587A26" w:rsidRDefault="00587A26" w:rsidP="00587A26">
      <w:pPr>
        <w:rPr>
          <w:rFonts w:hint="eastAsia"/>
        </w:rPr>
      </w:pPr>
      <w:r>
        <w:rPr>
          <w:rFonts w:hint="eastAsia"/>
        </w:rPr>
        <w:t>十三、遺囑之撤回</w:t>
      </w:r>
    </w:p>
    <w:p w:rsidR="00587A26" w:rsidRDefault="00587A26" w:rsidP="00587A26">
      <w:pPr>
        <w:rPr>
          <w:rFonts w:hint="eastAsia"/>
        </w:rPr>
      </w:pPr>
      <w:r>
        <w:rPr>
          <w:rFonts w:hint="eastAsia"/>
        </w:rPr>
        <w:t>十四、遺囑之執行</w:t>
      </w:r>
    </w:p>
    <w:p w:rsidR="00587A26" w:rsidRDefault="00587A26" w:rsidP="00587A26">
      <w:pPr>
        <w:rPr>
          <w:rFonts w:hint="eastAsia"/>
        </w:rPr>
      </w:pPr>
      <w:r>
        <w:rPr>
          <w:rFonts w:hint="eastAsia"/>
        </w:rPr>
        <w:t>十五、遺贈</w:t>
      </w:r>
    </w:p>
    <w:p w:rsidR="00587A26" w:rsidRDefault="00587A26" w:rsidP="00587A26">
      <w:pPr>
        <w:rPr>
          <w:rFonts w:hint="eastAsia"/>
        </w:rPr>
      </w:pPr>
      <w:r>
        <w:rPr>
          <w:rFonts w:hint="eastAsia"/>
        </w:rPr>
        <w:t>十六、特留分</w:t>
      </w:r>
    </w:p>
    <w:p w:rsidR="00587A26" w:rsidRDefault="00587A26" w:rsidP="00587A26">
      <w:pPr>
        <w:rPr>
          <w:rFonts w:hint="eastAsia"/>
        </w:rPr>
      </w:pPr>
      <w:r>
        <w:rPr>
          <w:rFonts w:hint="eastAsia"/>
        </w:rPr>
        <w:t>十七、繼承法的體系構成與實例解說</w:t>
      </w:r>
    </w:p>
    <w:p w:rsidR="00587A26" w:rsidRDefault="00587A26" w:rsidP="00587A26">
      <w:pPr>
        <w:rPr>
          <w:rFonts w:hint="eastAsia"/>
        </w:rPr>
      </w:pPr>
      <w:r>
        <w:rPr>
          <w:rFonts w:hint="eastAsia"/>
        </w:rPr>
        <w:t>十八、期末考試</w:t>
      </w:r>
    </w:p>
    <w:p w:rsidR="00587A26" w:rsidRDefault="00587A26" w:rsidP="00587A26"/>
    <w:p w:rsidR="00587A26" w:rsidRDefault="00587A26" w:rsidP="00587A26">
      <w:pPr>
        <w:rPr>
          <w:rFonts w:hint="eastAsia"/>
        </w:rPr>
      </w:pPr>
      <w:r>
        <w:rPr>
          <w:rFonts w:hint="eastAsia"/>
        </w:rPr>
        <w:t>肆、接見學生之時間與地點</w:t>
      </w:r>
    </w:p>
    <w:p w:rsidR="00587A26" w:rsidRDefault="00587A26" w:rsidP="00587A26">
      <w:pPr>
        <w:rPr>
          <w:rFonts w:hint="eastAsia"/>
        </w:rPr>
      </w:pPr>
      <w:r>
        <w:rPr>
          <w:rFonts w:hint="eastAsia"/>
        </w:rPr>
        <w:t xml:space="preserve">    </w:t>
      </w:r>
      <w:r>
        <w:rPr>
          <w:rFonts w:hint="eastAsia"/>
        </w:rPr>
        <w:t>於課程之下課時間，在上課教室；或是另約時間，在老師之研究室。</w:t>
      </w:r>
    </w:p>
    <w:p w:rsidR="00587A26" w:rsidRDefault="00587A26" w:rsidP="00587A26"/>
    <w:p w:rsidR="00587A26" w:rsidRDefault="00587A26" w:rsidP="00587A26">
      <w:pPr>
        <w:rPr>
          <w:rFonts w:hint="eastAsia"/>
        </w:rPr>
      </w:pPr>
      <w:r>
        <w:rPr>
          <w:rFonts w:hint="eastAsia"/>
        </w:rPr>
        <w:t>伍、參考書籍</w:t>
      </w:r>
    </w:p>
    <w:p w:rsidR="00D3149C" w:rsidRPr="00587A26" w:rsidRDefault="00587A26" w:rsidP="00587A26">
      <w:r>
        <w:rPr>
          <w:rFonts w:hint="eastAsia"/>
        </w:rPr>
        <w:t xml:space="preserve">    </w:t>
      </w:r>
      <w:r>
        <w:rPr>
          <w:rFonts w:hint="eastAsia"/>
        </w:rPr>
        <w:t>老師會於第一次上課時宣布本課程之參考教科書，或指定上課共筆、而由學生自行影印，配合課程進度參考使用。</w:t>
      </w:r>
      <w:bookmarkStart w:id="0" w:name="_GoBack"/>
      <w:bookmarkEnd w:id="0"/>
    </w:p>
    <w:sectPr w:rsidR="00D3149C" w:rsidRPr="00587A26" w:rsidSect="00D3149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46042"/>
    <w:multiLevelType w:val="multilevel"/>
    <w:tmpl w:val="2B32632A"/>
    <w:styleLink w:val="QQQQQQ"/>
    <w:lvl w:ilvl="0">
      <w:start w:val="1"/>
      <w:numFmt w:val="ideographLegalTraditional"/>
      <w:lvlText w:val="%1."/>
      <w:lvlJc w:val="left"/>
      <w:pPr>
        <w:ind w:left="240" w:hanging="360"/>
      </w:pPr>
      <w:rPr>
        <w:rFonts w:hint="default"/>
      </w:rPr>
    </w:lvl>
    <w:lvl w:ilvl="1">
      <w:start w:val="1"/>
      <w:numFmt w:val="taiwaneseCountingThousand"/>
      <w:lvlText w:val="%2."/>
      <w:lvlJc w:val="left"/>
      <w:pPr>
        <w:ind w:left="480" w:hanging="360"/>
      </w:pPr>
      <w:rPr>
        <w:rFonts w:ascii="Arial" w:hAnsi="Arial" w:cs="Arial" w:hint="default"/>
        <w:sz w:val="24"/>
        <w:szCs w:val="24"/>
      </w:rPr>
    </w:lvl>
    <w:lvl w:ilvl="2">
      <w:start w:val="1"/>
      <w:numFmt w:val="decimal"/>
      <w:lvlText w:val="%3."/>
      <w:lvlJc w:val="left"/>
      <w:pPr>
        <w:ind w:left="840" w:hanging="360"/>
      </w:pPr>
      <w:rPr>
        <w:rFonts w:hint="eastAsia"/>
      </w:rPr>
    </w:lvl>
    <w:lvl w:ilvl="3">
      <w:start w:val="1"/>
      <w:numFmt w:val="upperLetter"/>
      <w:lvlText w:val="%4."/>
      <w:lvlJc w:val="left"/>
      <w:pPr>
        <w:ind w:left="1200" w:hanging="360"/>
      </w:pPr>
      <w:rPr>
        <w:rFonts w:hint="eastAsia"/>
      </w:rPr>
    </w:lvl>
    <w:lvl w:ilvl="4">
      <w:start w:val="1"/>
      <w:numFmt w:val="lowerLetter"/>
      <w:lvlText w:val="%5."/>
      <w:lvlJc w:val="left"/>
      <w:pPr>
        <w:ind w:left="1560" w:hanging="360"/>
      </w:pPr>
      <w:rPr>
        <w:rFonts w:hint="eastAsia"/>
      </w:rPr>
    </w:lvl>
    <w:lvl w:ilvl="5">
      <w:start w:val="1"/>
      <w:numFmt w:val="upperRoman"/>
      <w:lvlText w:val="%6."/>
      <w:lvlJc w:val="left"/>
      <w:pPr>
        <w:ind w:left="1920" w:hanging="360"/>
      </w:pPr>
      <w:rPr>
        <w:rFonts w:hint="eastAsia"/>
      </w:rPr>
    </w:lvl>
    <w:lvl w:ilvl="6">
      <w:start w:val="1"/>
      <w:numFmt w:val="lowerRoman"/>
      <w:lvlText w:val="%7."/>
      <w:lvlJc w:val="left"/>
      <w:pPr>
        <w:ind w:left="2280" w:hanging="360"/>
      </w:pPr>
      <w:rPr>
        <w:rFonts w:hint="eastAsia"/>
      </w:rPr>
    </w:lvl>
    <w:lvl w:ilvl="7">
      <w:start w:val="1"/>
      <w:numFmt w:val="none"/>
      <w:lvlText w:val="%8."/>
      <w:lvlJc w:val="left"/>
      <w:pPr>
        <w:ind w:left="2880" w:hanging="360"/>
      </w:pPr>
      <w:rPr>
        <w:rFonts w:hint="eastAsia"/>
      </w:rPr>
    </w:lvl>
    <w:lvl w:ilvl="8">
      <w:start w:val="1"/>
      <w:numFmt w:val="lowerRoman"/>
      <w:lvlText w:val="%9."/>
      <w:lvlJc w:val="left"/>
      <w:pPr>
        <w:ind w:left="324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2E"/>
    <w:rsid w:val="0009705F"/>
    <w:rsid w:val="00315DED"/>
    <w:rsid w:val="00422521"/>
    <w:rsid w:val="004B7D17"/>
    <w:rsid w:val="00587A26"/>
    <w:rsid w:val="005A16FC"/>
    <w:rsid w:val="006C201E"/>
    <w:rsid w:val="007A2D0D"/>
    <w:rsid w:val="00A2422E"/>
    <w:rsid w:val="00B91ECC"/>
    <w:rsid w:val="00BE3F85"/>
    <w:rsid w:val="00D3149C"/>
    <w:rsid w:val="00D44EA5"/>
    <w:rsid w:val="00F12E0F"/>
    <w:rsid w:val="00F16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B3DE"/>
  <w15:chartTrackingRefBased/>
  <w15:docId w15:val="{7EA11F93-6E50-463F-A010-890D657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2E0F"/>
    <w:pPr>
      <w:widowControl w:val="0"/>
      <w:snapToGrid w:val="0"/>
      <w:spacing w:line="360" w:lineRule="auto"/>
      <w:jc w:val="both"/>
    </w:pPr>
    <w:rPr>
      <w:rFonts w:ascii="Calibri" w:eastAsia="標楷體" w:hAnsi="Calibri" w:cs="Calibri"/>
      <w:kern w:val="0"/>
      <w:szCs w:val="28"/>
    </w:rPr>
  </w:style>
  <w:style w:type="paragraph" w:styleId="1">
    <w:name w:val="heading 1"/>
    <w:basedOn w:val="a"/>
    <w:next w:val="a"/>
    <w:link w:val="10"/>
    <w:autoRedefine/>
    <w:qFormat/>
    <w:rsid w:val="00F12E0F"/>
    <w:pPr>
      <w:keepNext/>
      <w:keepLines/>
      <w:outlineLvl w:val="0"/>
    </w:pPr>
    <w:rPr>
      <w:sz w:val="28"/>
      <w:szCs w:val="48"/>
    </w:rPr>
  </w:style>
  <w:style w:type="paragraph" w:styleId="2">
    <w:name w:val="heading 2"/>
    <w:basedOn w:val="a"/>
    <w:next w:val="a"/>
    <w:link w:val="20"/>
    <w:uiPriority w:val="9"/>
    <w:unhideWhenUsed/>
    <w:qFormat/>
    <w:rsid w:val="005A16FC"/>
    <w:pPr>
      <w:keepNext/>
      <w:keepLines/>
      <w:spacing w:before="200"/>
      <w:outlineLvl w:val="1"/>
    </w:pPr>
    <w:rPr>
      <w:rFonts w:asciiTheme="majorHAnsi" w:hAnsiTheme="majorHAnsi" w:cstheme="majorBidi"/>
      <w:b/>
      <w:bCs/>
      <w:sz w:val="40"/>
      <w:szCs w:val="26"/>
    </w:rPr>
  </w:style>
  <w:style w:type="paragraph" w:styleId="3">
    <w:name w:val="heading 3"/>
    <w:basedOn w:val="a"/>
    <w:next w:val="a"/>
    <w:link w:val="30"/>
    <w:uiPriority w:val="9"/>
    <w:unhideWhenUsed/>
    <w:qFormat/>
    <w:rsid w:val="005A16FC"/>
    <w:pPr>
      <w:keepNext/>
      <w:keepLines/>
      <w:spacing w:before="200"/>
      <w:outlineLvl w:val="2"/>
    </w:pPr>
    <w:rPr>
      <w:rFonts w:asciiTheme="majorHAnsi" w:hAnsiTheme="majorHAnsi"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uiPriority w:val="1"/>
    <w:qFormat/>
    <w:rsid w:val="005A16FC"/>
    <w:pPr>
      <w:ind w:left="1605"/>
      <w:outlineLvl w:val="1"/>
    </w:pPr>
    <w:rPr>
      <w:rFonts w:ascii="標楷體" w:hAnsi="標楷體" w:cs="標楷體"/>
      <w:sz w:val="30"/>
      <w:szCs w:val="30"/>
      <w:lang w:eastAsia="en-US"/>
    </w:rPr>
  </w:style>
  <w:style w:type="paragraph" w:customStyle="1" w:styleId="21">
    <w:name w:val="標題 21"/>
    <w:basedOn w:val="a"/>
    <w:uiPriority w:val="1"/>
    <w:qFormat/>
    <w:rsid w:val="005A16FC"/>
    <w:pPr>
      <w:spacing w:before="15"/>
      <w:ind w:left="1605"/>
      <w:outlineLvl w:val="2"/>
    </w:pPr>
    <w:rPr>
      <w:rFonts w:ascii="標楷體" w:hAnsi="標楷體" w:cs="標楷體"/>
      <w:sz w:val="26"/>
      <w:szCs w:val="26"/>
      <w:lang w:eastAsia="en-US"/>
    </w:rPr>
  </w:style>
  <w:style w:type="paragraph" w:customStyle="1" w:styleId="31">
    <w:name w:val="標題 31"/>
    <w:basedOn w:val="a"/>
    <w:uiPriority w:val="1"/>
    <w:qFormat/>
    <w:rsid w:val="005A16FC"/>
    <w:pPr>
      <w:spacing w:before="1"/>
      <w:ind w:left="1919"/>
      <w:outlineLvl w:val="3"/>
    </w:pPr>
    <w:rPr>
      <w:rFonts w:ascii="標楷體" w:hAnsi="標楷體" w:cs="標楷體"/>
      <w:lang w:eastAsia="en-US"/>
    </w:rPr>
  </w:style>
  <w:style w:type="character" w:customStyle="1" w:styleId="10">
    <w:name w:val="標題 1 字元"/>
    <w:basedOn w:val="a0"/>
    <w:link w:val="1"/>
    <w:rsid w:val="00F12E0F"/>
    <w:rPr>
      <w:rFonts w:ascii="Calibri" w:eastAsia="標楷體" w:hAnsi="Calibri" w:cs="Calibri"/>
      <w:kern w:val="0"/>
      <w:sz w:val="28"/>
      <w:szCs w:val="48"/>
    </w:rPr>
  </w:style>
  <w:style w:type="character" w:customStyle="1" w:styleId="20">
    <w:name w:val="標題 2 字元"/>
    <w:basedOn w:val="a0"/>
    <w:link w:val="2"/>
    <w:uiPriority w:val="9"/>
    <w:rsid w:val="005A16FC"/>
    <w:rPr>
      <w:rFonts w:asciiTheme="majorHAnsi" w:eastAsia="新細明體" w:hAnsiTheme="majorHAnsi" w:cstheme="majorBidi"/>
      <w:b/>
      <w:bCs/>
      <w:sz w:val="40"/>
      <w:szCs w:val="26"/>
    </w:rPr>
  </w:style>
  <w:style w:type="character" w:customStyle="1" w:styleId="30">
    <w:name w:val="標題 3 字元"/>
    <w:basedOn w:val="a0"/>
    <w:link w:val="3"/>
    <w:uiPriority w:val="9"/>
    <w:rsid w:val="005A16FC"/>
    <w:rPr>
      <w:rFonts w:asciiTheme="majorHAnsi" w:eastAsia="新細明體" w:hAnsiTheme="majorHAnsi" w:cstheme="majorBidi"/>
      <w:b/>
      <w:bCs/>
      <w:sz w:val="28"/>
    </w:rPr>
  </w:style>
  <w:style w:type="paragraph" w:styleId="a3">
    <w:name w:val="Body Text"/>
    <w:basedOn w:val="a"/>
    <w:link w:val="a4"/>
    <w:uiPriority w:val="1"/>
    <w:qFormat/>
    <w:rsid w:val="005A16FC"/>
    <w:rPr>
      <w:rFonts w:ascii="SimSun" w:eastAsia="SimSun" w:hAnsi="SimSun" w:cs="SimSun"/>
      <w:sz w:val="23"/>
      <w:szCs w:val="23"/>
      <w:lang w:eastAsia="en-US"/>
    </w:rPr>
  </w:style>
  <w:style w:type="character" w:customStyle="1" w:styleId="a4">
    <w:name w:val="本文 字元"/>
    <w:basedOn w:val="a0"/>
    <w:link w:val="a3"/>
    <w:uiPriority w:val="1"/>
    <w:rsid w:val="005A16FC"/>
    <w:rPr>
      <w:rFonts w:ascii="SimSun" w:eastAsia="SimSun" w:hAnsi="SimSun" w:cs="SimSun"/>
      <w:kern w:val="0"/>
      <w:sz w:val="23"/>
      <w:szCs w:val="23"/>
      <w:lang w:eastAsia="en-US"/>
    </w:rPr>
  </w:style>
  <w:style w:type="paragraph" w:styleId="a5">
    <w:name w:val="Title"/>
    <w:basedOn w:val="a"/>
    <w:next w:val="a"/>
    <w:link w:val="a6"/>
    <w:uiPriority w:val="10"/>
    <w:qFormat/>
    <w:rsid w:val="005A16F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6">
    <w:name w:val="標題 字元"/>
    <w:basedOn w:val="a0"/>
    <w:link w:val="a5"/>
    <w:uiPriority w:val="10"/>
    <w:rsid w:val="005A16FC"/>
    <w:rPr>
      <w:rFonts w:asciiTheme="majorHAnsi" w:eastAsiaTheme="majorEastAsia" w:hAnsiTheme="majorHAnsi" w:cstheme="majorBidi"/>
      <w:color w:val="323E4F" w:themeColor="text2" w:themeShade="BF"/>
      <w:spacing w:val="5"/>
      <w:kern w:val="28"/>
      <w:sz w:val="52"/>
      <w:szCs w:val="52"/>
    </w:rPr>
  </w:style>
  <w:style w:type="numbering" w:customStyle="1" w:styleId="QQQQQQ">
    <w:name w:val="QQQQQQ"/>
    <w:uiPriority w:val="99"/>
    <w:rsid w:val="00F16D9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陳宇聖</dc:creator>
  <cp:keywords/>
  <dc:description/>
  <cp:lastModifiedBy>陳宇聖</cp:lastModifiedBy>
  <cp:revision>2</cp:revision>
  <dcterms:created xsi:type="dcterms:W3CDTF">2019-12-20T11:35:00Z</dcterms:created>
  <dcterms:modified xsi:type="dcterms:W3CDTF">2019-12-20T11:35:00Z</dcterms:modified>
</cp:coreProperties>
</file>