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3262"/>
        <w:gridCol w:w="1844"/>
        <w:gridCol w:w="3251"/>
      </w:tblGrid>
      <w:tr w:rsidR="00684438" w:rsidRPr="00C94BCF" w14:paraId="2CEA8368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857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57F3664" w:rsidR="002023EC" w:rsidRPr="00C94BCF" w:rsidRDefault="004E4076" w:rsidP="00A91CB4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A91CB4">
              <w:rPr>
                <w:rFonts w:ascii="標楷體" w:eastAsia="標楷體" w:hAnsi="標楷體"/>
              </w:rPr>
              <w:t>V</w:t>
            </w:r>
            <w:r w:rsidR="00A91CB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1F3E47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5B399" w14:textId="6EA9AC1E" w:rsidR="001F3E47" w:rsidRPr="00C94BCF" w:rsidRDefault="00E10268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1F3E47"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="001F3E47" w:rsidRPr="00C94BCF">
              <w:rPr>
                <w:rFonts w:ascii="標楷體" w:eastAsia="標楷體" w:hAnsi="標楷體"/>
                <w:szCs w:val="24"/>
              </w:rPr>
              <w:t>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1F3E47" w:rsidRPr="00C94BCF">
              <w:rPr>
                <w:rFonts w:ascii="標楷體" w:eastAsia="標楷體" w:hAnsi="標楷體"/>
              </w:rPr>
              <w:t>□競賽</w:t>
            </w:r>
            <w:r w:rsidR="001F3E47" w:rsidRPr="00C94BCF">
              <w:rPr>
                <w:rFonts w:ascii="標楷體" w:eastAsia="標楷體" w:hAnsi="標楷體"/>
                <w:szCs w:val="24"/>
              </w:rPr>
              <w:t>專題課程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1F3E47" w:rsidRPr="00C94BCF">
              <w:rPr>
                <w:rFonts w:ascii="標楷體" w:eastAsia="標楷體" w:hAnsi="標楷體"/>
                <w:szCs w:val="24"/>
              </w:rPr>
              <w:t>問題導向課程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1F3E47"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="001F3E47"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5D67DB7F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Pr="00C94BCF">
              <w:rPr>
                <w:rFonts w:ascii="標楷體" w:eastAsia="標楷體" w:hAnsi="標楷體"/>
              </w:rPr>
              <w:t>□實習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93F8544" w:rsidR="002023EC" w:rsidRPr="00C94BCF" w:rsidRDefault="00E10268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故事學專題研究</w:t>
            </w: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50F5314" w:rsidR="002023EC" w:rsidRPr="00A91CB4" w:rsidRDefault="00A91CB4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</w:rPr>
            </w:pPr>
            <w:r w:rsidRPr="00A91CB4">
              <w:rPr>
                <w:rFonts w:ascii="Arial" w:hAnsi="Arial" w:cs="Arial"/>
                <w:color w:val="000080"/>
                <w:szCs w:val="24"/>
              </w:rPr>
              <w:t>Studies on Narratology</w:t>
            </w:r>
          </w:p>
        </w:tc>
      </w:tr>
      <w:tr w:rsidR="00684438" w:rsidRPr="00C94BCF" w14:paraId="585712CF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BE090CB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B2D97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D077E1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4E8485D" w:rsidR="002023EC" w:rsidRPr="00C94BCF" w:rsidRDefault="00E10268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684438" w:rsidRPr="00C94BCF" w14:paraId="028A81B4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8E9E0A4" w:rsidR="00A37E96" w:rsidRPr="00C94BCF" w:rsidRDefault="00C94BCF" w:rsidP="00E1026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中國文學系</w:t>
            </w:r>
            <w:r w:rsidR="00E75CB7" w:rsidRPr="00D077E1">
              <w:rPr>
                <w:rFonts w:ascii="Times New Roman" w:eastAsia="標楷體" w:hAnsi="Times New Roman" w:hint="eastAsia"/>
                <w:color w:val="FF0000"/>
                <w:u w:val="single"/>
              </w:rPr>
              <w:t>碩博合開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253A67F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E75CB7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D077E1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C7CD3C6" w:rsidR="002023EC" w:rsidRPr="006062E2" w:rsidRDefault="00684438" w:rsidP="00E1026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E10268">
              <w:rPr>
                <w:rFonts w:eastAsia="標楷體" w:hAnsi="標楷體" w:hint="eastAsia"/>
                <w:szCs w:val="24"/>
                <w:lang w:eastAsia="zh-TW"/>
              </w:rPr>
              <w:t>一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E10268">
              <w:rPr>
                <w:rFonts w:ascii="Times New Roman" w:eastAsia="標楷體" w:hAnsi="Times New Roman" w:hint="eastAsia"/>
                <w:szCs w:val="24"/>
                <w:lang w:eastAsia="zh-TW"/>
              </w:rPr>
              <w:t>13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="00E10268">
              <w:rPr>
                <w:rFonts w:ascii="Times New Roman" w:eastAsia="標楷體" w:hAnsi="Times New Roman" w:hint="eastAsia"/>
                <w:szCs w:val="24"/>
                <w:lang w:eastAsia="zh-TW"/>
              </w:rPr>
              <w:t>16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16FA1C34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D663DD5" w:rsidR="002023EC" w:rsidRPr="00C94BCF" w:rsidRDefault="00E10268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lang w:eastAsia="zh-TW"/>
              </w:rPr>
              <w:t>文</w:t>
            </w:r>
            <w:r>
              <w:rPr>
                <w:rFonts w:ascii="Times New Roman" w:eastAsia="標楷體" w:hAnsi="Times New Roman" w:hint="eastAsia"/>
                <w:lang w:eastAsia="zh-TW"/>
              </w:rPr>
              <w:t>202</w:t>
            </w:r>
          </w:p>
        </w:tc>
      </w:tr>
      <w:tr w:rsidR="00684438" w:rsidRPr="00C94BCF" w14:paraId="326474A0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0946C2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E10268">
              <w:rPr>
                <w:rFonts w:ascii="Times New Roman" w:eastAsia="標楷體" w:hAnsi="Times New Roman" w:hint="eastAsia"/>
                <w:lang w:eastAsia="zh-TW"/>
              </w:rPr>
              <w:t>謝明勳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52671300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0E937846" w:rsidR="002023EC" w:rsidRPr="00C94BCF" w:rsidRDefault="004B3189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616AA12" w:rsidR="002023EC" w:rsidRPr="00C94BCF" w:rsidRDefault="00F86E9E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課程講授以誘導及啟發為主，學者須於課前閱讀指定及相關文獻資料，以彼此互動之雙軌並進方式授課，期能達到對中國之傳說、故事的外在敘事方式及內在文化意涵，有更為完整之瞭解，並以此為鑑，去理解其他中國文學之故事與傳說。</w:t>
            </w:r>
          </w:p>
        </w:tc>
      </w:tr>
      <w:tr w:rsidR="002023EC" w:rsidRPr="00C94BCF" w14:paraId="4E1DA0BC" w14:textId="77777777" w:rsidTr="00A37E96">
        <w:trPr>
          <w:trHeight w:val="120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5B1082" w14:textId="77777777" w:rsidR="00F86E9E" w:rsidRPr="00285E3B" w:rsidRDefault="00F86E9E" w:rsidP="00F86E9E">
            <w:pPr>
              <w:ind w:leftChars="76" w:left="1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85E3B">
              <w:rPr>
                <w:rFonts w:ascii="標楷體" w:eastAsia="標楷體" w:hAnsi="標楷體" w:hint="eastAsia"/>
              </w:rPr>
              <w:t>通過故事之詮釋與說明，使學者充份理解該則故事之「外在」形式特點與敘事技巧，以及「內在」潛藏之故事意義。</w:t>
            </w:r>
          </w:p>
          <w:p w14:paraId="6FE56341" w14:textId="4F953C4B" w:rsidR="002023EC" w:rsidRPr="00C94BCF" w:rsidRDefault="00F86E9E" w:rsidP="00F86E9E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85E3B">
              <w:rPr>
                <w:rFonts w:ascii="標楷體" w:eastAsia="標楷體" w:hAnsi="標楷體" w:hint="eastAsia"/>
              </w:rPr>
              <w:t>本學期授課內容，以「中國傳說」及「故事本事」為中心，於其事流變及故事內容進行深入討論，並以之與當代社會、文化、價值相連結，務使學者對於本事意涵有更為深入之理解，厚植其人文素質及文學涵養。</w:t>
            </w:r>
          </w:p>
        </w:tc>
      </w:tr>
      <w:tr w:rsidR="002023EC" w:rsidRPr="00C94BCF" w14:paraId="07DFDDA4" w14:textId="77777777" w:rsidTr="00A37E96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0C65C6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1.</w:t>
            </w:r>
            <w:r w:rsidRPr="00F86E9E">
              <w:rPr>
                <w:rFonts w:ascii="標楷體" w:eastAsia="標楷體" w:hAnsi="標楷體" w:hint="eastAsia"/>
              </w:rPr>
              <w:t>魯迅《魯迅小說史論文集》：臺北，里仁書局，</w:t>
            </w:r>
            <w:r w:rsidRPr="00F86E9E">
              <w:rPr>
                <w:rFonts w:ascii="標楷體" w:eastAsia="標楷體" w:hAnsi="標楷體"/>
              </w:rPr>
              <w:t>1992</w:t>
            </w:r>
            <w:r w:rsidRPr="00F86E9E">
              <w:rPr>
                <w:rFonts w:ascii="標楷體" w:eastAsia="標楷體" w:hAnsi="標楷體" w:hint="eastAsia"/>
              </w:rPr>
              <w:t>。</w:t>
            </w:r>
          </w:p>
          <w:p w14:paraId="6CA96020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2.</w:t>
            </w:r>
            <w:r w:rsidRPr="00F86E9E">
              <w:rPr>
                <w:rFonts w:ascii="標楷體" w:eastAsia="標楷體" w:hAnsi="標楷體" w:hint="eastAsia"/>
              </w:rPr>
              <w:t>葉慶炳《古典小說論評》：臺北，幼獅文化公司，</w:t>
            </w:r>
            <w:r w:rsidRPr="00F86E9E">
              <w:rPr>
                <w:rFonts w:ascii="標楷體" w:eastAsia="標楷體" w:hAnsi="標楷體"/>
              </w:rPr>
              <w:t>1985</w:t>
            </w:r>
            <w:r w:rsidRPr="00F86E9E">
              <w:rPr>
                <w:rFonts w:ascii="標楷體" w:eastAsia="標楷體" w:hAnsi="標楷體" w:hint="eastAsia"/>
              </w:rPr>
              <w:t>。</w:t>
            </w:r>
          </w:p>
          <w:p w14:paraId="38D9ADED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3.</w:t>
            </w:r>
            <w:r w:rsidRPr="00F86E9E">
              <w:rPr>
                <w:rFonts w:ascii="標楷體" w:eastAsia="標楷體" w:hAnsi="標楷體" w:hint="eastAsia"/>
              </w:rPr>
              <w:t>王夢鷗等《中國古典文學論叢（三）神話與小說之部》：臺北，中外文學月刊社。</w:t>
            </w:r>
          </w:p>
          <w:p w14:paraId="11F23225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4.</w:t>
            </w:r>
            <w:r w:rsidRPr="00F86E9E">
              <w:rPr>
                <w:rFonts w:ascii="標楷體" w:eastAsia="標楷體" w:hAnsi="標楷體" w:hint="eastAsia"/>
              </w:rPr>
              <w:t>《中國神話與傳說學術研討會論文集》：臺北，漢學研究中心，</w:t>
            </w:r>
            <w:r w:rsidRPr="00F86E9E">
              <w:rPr>
                <w:rFonts w:ascii="標楷體" w:eastAsia="標楷體" w:hAnsi="標楷體"/>
              </w:rPr>
              <w:t>1996</w:t>
            </w:r>
            <w:r w:rsidRPr="00F86E9E">
              <w:rPr>
                <w:rFonts w:ascii="標楷體" w:eastAsia="標楷體" w:hAnsi="標楷體" w:hint="eastAsia"/>
              </w:rPr>
              <w:t>。</w:t>
            </w:r>
          </w:p>
          <w:p w14:paraId="137A6F24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5.</w:t>
            </w:r>
            <w:r w:rsidRPr="00F86E9E">
              <w:rPr>
                <w:rFonts w:ascii="標楷體" w:eastAsia="標楷體" w:hAnsi="標楷體" w:hint="eastAsia"/>
              </w:rPr>
              <w:t>劉守華《比較故事學》：上海，上海文藝出版社，1995。</w:t>
            </w:r>
          </w:p>
          <w:p w14:paraId="5B06664F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6.</w:t>
            </w:r>
            <w:r w:rsidRPr="00F86E9E">
              <w:rPr>
                <w:rFonts w:ascii="標楷體" w:eastAsia="標楷體" w:hAnsi="標楷體" w:hint="eastAsia"/>
              </w:rPr>
              <w:t>劉守華《中國民間故事史》：漢口，湖北教育出版社，1999。</w:t>
            </w:r>
          </w:p>
          <w:p w14:paraId="1F8FC150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7.</w:t>
            </w:r>
            <w:r w:rsidRPr="00F86E9E">
              <w:rPr>
                <w:rFonts w:ascii="標楷體" w:eastAsia="標楷體" w:hAnsi="標楷體" w:hint="eastAsia"/>
              </w:rPr>
              <w:t>潘一禾《故事與解釋––世界文學經典通論》：上海，學林出版社，2000。</w:t>
            </w:r>
          </w:p>
          <w:p w14:paraId="68F7E104" w14:textId="77777777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8.</w:t>
            </w:r>
            <w:r w:rsidRPr="00F86E9E">
              <w:rPr>
                <w:rFonts w:ascii="標楷體" w:eastAsia="標楷體" w:hAnsi="標楷體" w:hint="eastAsia"/>
              </w:rPr>
              <w:t>吳恩培《文化的爭奪》：天津，百花文藝出版社，200</w:t>
            </w:r>
            <w:r w:rsidRPr="00F86E9E">
              <w:rPr>
                <w:rFonts w:ascii="標楷體" w:eastAsia="標楷體" w:hAnsi="標楷體"/>
              </w:rPr>
              <w:t>1</w:t>
            </w:r>
            <w:r w:rsidRPr="00F86E9E">
              <w:rPr>
                <w:rFonts w:ascii="標楷體" w:eastAsia="標楷體" w:hAnsi="標楷體" w:hint="eastAsia"/>
              </w:rPr>
              <w:t>。</w:t>
            </w:r>
          </w:p>
          <w:p w14:paraId="0880572F" w14:textId="2796CCA4" w:rsid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 w:rsidRPr="00F86E9E">
              <w:rPr>
                <w:rFonts w:ascii="標楷體" w:eastAsia="標楷體" w:hAnsi="標楷體" w:hint="eastAsia"/>
              </w:rPr>
              <w:t>0</w:t>
            </w:r>
            <w:r w:rsidRPr="00F86E9E">
              <w:rPr>
                <w:rFonts w:ascii="標楷體" w:eastAsia="標楷體" w:hAnsi="標楷體"/>
              </w:rPr>
              <w:t>9.</w:t>
            </w:r>
            <w:r w:rsidRPr="00F86E9E">
              <w:rPr>
                <w:rFonts w:ascii="標楷體" w:eastAsia="標楷體" w:hAnsi="標楷體" w:hint="eastAsia"/>
              </w:rPr>
              <w:t>萬建中《解讀禁忌––中國神話、傳說和故事中的禁忌主題》：北京，商務印書館，200</w:t>
            </w:r>
            <w:r w:rsidRPr="00F86E9E">
              <w:rPr>
                <w:rFonts w:ascii="標楷體" w:eastAsia="標楷體" w:hAnsi="標楷體"/>
              </w:rPr>
              <w:t>1</w:t>
            </w:r>
            <w:r w:rsidRPr="00F86E9E">
              <w:rPr>
                <w:rFonts w:ascii="標楷體" w:eastAsia="標楷體" w:hAnsi="標楷體" w:hint="eastAsia"/>
              </w:rPr>
              <w:t>。</w:t>
            </w:r>
          </w:p>
          <w:p w14:paraId="5F356E84" w14:textId="568F6784" w:rsid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>
              <w:rPr>
                <w:rFonts w:ascii="標楷體" w:eastAsia="標楷體" w:hAnsi="標楷體"/>
              </w:rPr>
              <w:t>.</w:t>
            </w:r>
            <w:r w:rsidRPr="00F86E9E">
              <w:rPr>
                <w:rFonts w:ascii="標楷體" w:eastAsia="標楷體" w:hAnsi="標楷體" w:hint="eastAsia"/>
              </w:rPr>
              <w:t>金榮華《民間故事論集》：臺北，三民書局，1997。</w:t>
            </w:r>
          </w:p>
          <w:p w14:paraId="56832811" w14:textId="7569337B" w:rsid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11.</w:t>
            </w:r>
            <w:r w:rsidRPr="00F86E9E">
              <w:rPr>
                <w:rFonts w:ascii="標楷體" w:eastAsia="標楷體" w:hAnsi="標楷體" w:hint="eastAsia"/>
              </w:rPr>
              <w:t>胡萬川《真實與想像––神話傳說探微》：新竹，國立清華大學出版社，2004。</w:t>
            </w:r>
          </w:p>
          <w:p w14:paraId="5FE8F56F" w14:textId="0604EFA9" w:rsid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12.</w:t>
            </w:r>
            <w:r w:rsidRPr="00F86E9E">
              <w:rPr>
                <w:rFonts w:ascii="標楷體" w:eastAsia="標楷體" w:hAnsi="標楷體" w:hint="eastAsia"/>
              </w:rPr>
              <w:t>洪淑苓《民間文學的女性研究》：臺北，里仁書局，2004。</w:t>
            </w:r>
          </w:p>
          <w:p w14:paraId="7B56EDE9" w14:textId="54E59C45" w:rsidR="00F86E9E" w:rsidRPr="00F86E9E" w:rsidRDefault="00F86E9E" w:rsidP="00F86E9E">
            <w:pPr>
              <w:spacing w:before="0" w:beforeAutospacing="0"/>
              <w:ind w:leftChars="47" w:hangingChars="87" w:hanging="20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3.</w:t>
            </w:r>
            <w:r w:rsidRPr="00F86E9E">
              <w:rPr>
                <w:rFonts w:ascii="標楷體" w:eastAsia="標楷體" w:hAnsi="標楷體" w:hint="eastAsia"/>
              </w:rPr>
              <w:t>謝明勳《古典小說與民間文學––故事研究論集》：臺北，大安出版社，2004。</w:t>
            </w:r>
          </w:p>
          <w:p w14:paraId="0DCC3BD7" w14:textId="77777777" w:rsidR="00F86E9E" w:rsidRDefault="001D3225" w:rsidP="001D3225">
            <w:pPr>
              <w:spacing w:before="0" w:beforeAutospacing="0"/>
              <w:rPr>
                <w:rFonts w:ascii="標楷體" w:eastAsia="標楷體" w:hAnsi="標楷體"/>
                <w:color w:val="FF0000"/>
              </w:rPr>
            </w:pPr>
            <w:r w:rsidRPr="000E43A9">
              <w:rPr>
                <w:rFonts w:ascii="標楷體" w:eastAsia="標楷體" w:hAnsi="標楷體"/>
                <w:color w:val="FF0000"/>
              </w:rPr>
              <w:t>請尊重智慧財產權，不得非法影印教師指定之教科書籍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60AA7F3B" w14:textId="6D05AD0A" w:rsidR="001D3225" w:rsidRPr="00F86E9E" w:rsidRDefault="001D3225" w:rsidP="001D3225">
            <w:pPr>
              <w:spacing w:before="0" w:beforeAutospacing="0"/>
              <w:rPr>
                <w:rFonts w:ascii="Times New Roman" w:eastAsia="標楷體" w:hAnsi="Times New Roman" w:hint="eastAsia"/>
              </w:rPr>
            </w:pPr>
            <w:bookmarkStart w:id="0" w:name="_GoBack"/>
            <w:bookmarkEnd w:id="0"/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8ACFEF3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F6404E">
              <w:rPr>
                <w:rFonts w:ascii="標楷體" w:eastAsia="標楷體" w:hAnsi="標楷體"/>
                <w:lang w:eastAsia="zh-TW"/>
              </w:rPr>
              <w:t xml:space="preserve">V 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8227833" w:rsidR="002023EC" w:rsidRPr="00C94BCF" w:rsidRDefault="00F6404E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V </w:t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小組討論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TW"/>
              </w:rPr>
              <w:t xml:space="preserve">V </w:t>
            </w:r>
            <w:r w:rsidR="002023EC" w:rsidRPr="00C94BCF">
              <w:rPr>
                <w:rFonts w:ascii="標楷體" w:eastAsia="標楷體" w:hAnsi="標楷體"/>
              </w:rPr>
              <w:t xml:space="preserve">學生口頭報告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V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76054021" w:rsidR="002023EC" w:rsidRPr="00C94BCF" w:rsidRDefault="00F6404E" w:rsidP="00F6404E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V 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9039C28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期末考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6653E3" w:rsidRPr="00C94BCF">
              <w:rPr>
                <w:rFonts w:ascii="標楷體" w:eastAsia="標楷體" w:hAnsi="標楷體"/>
              </w:rPr>
              <w:t>□課後作業</w:t>
            </w:r>
          </w:p>
          <w:p w14:paraId="4A2C685A" w14:textId="68EF68BA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6404E">
              <w:rPr>
                <w:rFonts w:ascii="標楷體" w:eastAsia="標楷體" w:hAnsi="標楷體"/>
                <w:lang w:eastAsia="zh-TW"/>
              </w:rPr>
              <w:t xml:space="preserve">V </w:t>
            </w:r>
            <w:r w:rsidR="002023EC" w:rsidRPr="00C94BCF">
              <w:rPr>
                <w:rFonts w:ascii="標楷體" w:eastAsia="標楷體" w:hAnsi="標楷體"/>
              </w:rPr>
              <w:t xml:space="preserve">期末報告  </w:t>
            </w:r>
            <w:r w:rsidR="00F66AEE" w:rsidRPr="00C94BCF">
              <w:rPr>
                <w:rFonts w:ascii="標楷體" w:eastAsia="標楷體" w:hAnsi="標楷體"/>
              </w:rPr>
              <w:t xml:space="preserve"> </w:t>
            </w:r>
            <w:r w:rsidR="00F6404E">
              <w:rPr>
                <w:rFonts w:ascii="標楷體" w:eastAsia="標楷體" w:hAnsi="標楷體"/>
                <w:lang w:eastAsia="zh-TW"/>
              </w:rPr>
              <w:t xml:space="preserve">V </w:t>
            </w:r>
            <w:r w:rsidR="002023EC" w:rsidRPr="00C94BCF">
              <w:rPr>
                <w:rFonts w:ascii="標楷體" w:eastAsia="標楷體" w:hAnsi="標楷體"/>
              </w:rPr>
              <w:t>專題報告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4B3189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6653E3" w:rsidRPr="00C94BCF">
              <w:rPr>
                <w:rFonts w:ascii="標楷體" w:eastAsia="標楷體" w:hAnsi="標楷體"/>
              </w:rPr>
              <w:t xml:space="preserve">□評量尺規   </w:t>
            </w:r>
            <w:r w:rsidR="006653E3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4B3189">
              <w:rPr>
                <w:rFonts w:ascii="標楷體" w:eastAsia="標楷體" w:hAnsi="標楷體"/>
                <w:lang w:eastAsia="zh-TW"/>
              </w:rPr>
              <w:t>V</w:t>
            </w:r>
            <w:r w:rsidR="004B3189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6653E3" w:rsidRPr="00C94BCF">
              <w:rPr>
                <w:rFonts w:ascii="標楷體" w:eastAsia="標楷體" w:hAnsi="標楷體"/>
              </w:rPr>
              <w:t>其他</w:t>
            </w:r>
          </w:p>
          <w:p w14:paraId="27E5B8AE" w14:textId="04A1C887" w:rsidR="006653E3" w:rsidRPr="004B7D8A" w:rsidRDefault="006653E3" w:rsidP="006653E3">
            <w:pPr>
              <w:snapToGrid w:val="0"/>
              <w:spacing w:before="0" w:beforeAutospacing="0"/>
              <w:ind w:leftChars="50" w:left="120"/>
              <w:rPr>
                <w:rFonts w:eastAsia="標楷體"/>
              </w:rPr>
            </w:pPr>
            <w:r w:rsidRPr="004B7D8A">
              <w:rPr>
                <w:rFonts w:eastAsia="標楷體"/>
              </w:rPr>
              <w:t>說明：</w:t>
            </w:r>
            <w:r w:rsidR="000E2CFF">
              <w:rPr>
                <w:rFonts w:eastAsia="標楷體" w:hint="eastAsia"/>
                <w:lang w:eastAsia="zh-TW"/>
              </w:rPr>
              <w:t>(</w:t>
            </w:r>
            <w:r w:rsidR="000E2CFF">
              <w:rPr>
                <w:rFonts w:eastAsia="標楷體" w:hint="eastAsia"/>
                <w:lang w:eastAsia="zh-TW"/>
              </w:rPr>
              <w:t>請註明配分比例</w:t>
            </w:r>
            <w:r w:rsidR="000E2CFF">
              <w:rPr>
                <w:rFonts w:eastAsia="標楷體" w:hint="eastAsia"/>
                <w:lang w:eastAsia="zh-TW"/>
              </w:rPr>
              <w:t>)</w:t>
            </w:r>
          </w:p>
          <w:p w14:paraId="2F1432EF" w14:textId="54EBCFC8" w:rsidR="009401DD" w:rsidRDefault="009401DD" w:rsidP="009401DD">
            <w:pPr>
              <w:adjustRightInd w:val="0"/>
              <w:snapToGrid w:val="0"/>
              <w:spacing w:before="0" w:beforeAutospacing="0" w:line="280" w:lineRule="exact"/>
              <w:ind w:leftChars="0"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>依期</w:t>
            </w:r>
            <w:r>
              <w:rPr>
                <w:rFonts w:eastAsia="標楷體" w:hint="eastAsia"/>
                <w:lang w:eastAsia="zh-TW"/>
              </w:rPr>
              <w:t>末</w:t>
            </w:r>
            <w:r>
              <w:rPr>
                <w:rFonts w:eastAsia="標楷體" w:hint="eastAsia"/>
              </w:rPr>
              <w:t>報告</w:t>
            </w:r>
            <w:r w:rsidR="004B3189">
              <w:rPr>
                <w:rFonts w:ascii="標楷體" w:eastAsia="標楷體" w:hAnsi="標楷體" w:hint="eastAsia"/>
              </w:rPr>
              <w:t>（</w:t>
            </w:r>
            <w:r w:rsidR="004B3189">
              <w:rPr>
                <w:rFonts w:ascii="標楷體" w:eastAsia="標楷體" w:hAnsi="標楷體" w:hint="eastAsia"/>
                <w:lang w:eastAsia="zh-TW"/>
              </w:rPr>
              <w:t>40</w:t>
            </w:r>
            <w:r w:rsidR="004B3189">
              <w:rPr>
                <w:rFonts w:ascii="標楷體" w:eastAsia="標楷體" w:hAnsi="標楷體"/>
              </w:rPr>
              <w:t>%</w:t>
            </w:r>
            <w:r w:rsidR="004B3189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、</w:t>
            </w:r>
            <w:r w:rsidR="004B3189" w:rsidRPr="00C94BCF">
              <w:rPr>
                <w:rFonts w:ascii="標楷體" w:eastAsia="標楷體" w:hAnsi="標楷體"/>
              </w:rPr>
              <w:t>專題</w:t>
            </w:r>
            <w:r>
              <w:rPr>
                <w:rFonts w:eastAsia="標楷體" w:hint="eastAsia"/>
                <w:lang w:eastAsia="zh-TW"/>
              </w:rPr>
              <w:t>報告</w:t>
            </w:r>
            <w:r w:rsidR="004B3189">
              <w:rPr>
                <w:rFonts w:ascii="標楷體" w:eastAsia="標楷體" w:hAnsi="標楷體" w:hint="eastAsia"/>
              </w:rPr>
              <w:t>（</w:t>
            </w:r>
            <w:r w:rsidR="004B3189">
              <w:rPr>
                <w:rFonts w:ascii="標楷體" w:eastAsia="標楷體" w:hAnsi="標楷體" w:hint="eastAsia"/>
                <w:lang w:eastAsia="zh-TW"/>
              </w:rPr>
              <w:t>30</w:t>
            </w:r>
            <w:r w:rsidR="004B3189">
              <w:rPr>
                <w:rFonts w:ascii="標楷體" w:eastAsia="標楷體" w:hAnsi="標楷體"/>
              </w:rPr>
              <w:t>%</w:t>
            </w:r>
            <w:r w:rsidR="004B3189">
              <w:rPr>
                <w:rFonts w:ascii="標楷體"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>及上課之出席</w:t>
            </w:r>
            <w:r w:rsidR="004B3189">
              <w:rPr>
                <w:rFonts w:eastAsia="標楷體" w:hint="eastAsia"/>
                <w:lang w:eastAsia="zh-TW"/>
              </w:rPr>
              <w:t>狀況</w:t>
            </w:r>
            <w:r>
              <w:rPr>
                <w:rFonts w:eastAsia="標楷體" w:hint="eastAsia"/>
              </w:rPr>
              <w:t>、</w:t>
            </w:r>
            <w:r w:rsidR="004B3189">
              <w:rPr>
                <w:rFonts w:eastAsia="標楷體" w:hint="eastAsia"/>
                <w:lang w:eastAsia="zh-TW"/>
              </w:rPr>
              <w:t>學習態度</w:t>
            </w:r>
            <w:r>
              <w:rPr>
                <w:rFonts w:eastAsia="標楷體" w:hint="eastAsia"/>
              </w:rPr>
              <w:t>、互動關係</w:t>
            </w:r>
            <w:r w:rsidR="004B3189">
              <w:rPr>
                <w:rFonts w:eastAsia="標楷體" w:hint="eastAsia"/>
                <w:lang w:eastAsia="zh-TW"/>
              </w:rPr>
              <w:t>等</w:t>
            </w:r>
            <w:r>
              <w:rPr>
                <w:rFonts w:eastAsia="標楷體" w:hint="eastAsia"/>
              </w:rPr>
              <w:t>綜合評量</w:t>
            </w:r>
            <w:r w:rsidR="004B3189">
              <w:rPr>
                <w:rFonts w:ascii="標楷體" w:eastAsia="標楷體" w:hAnsi="標楷體" w:hint="eastAsia"/>
              </w:rPr>
              <w:t>（</w:t>
            </w:r>
            <w:r w:rsidR="004B3189">
              <w:rPr>
                <w:rFonts w:ascii="標楷體" w:eastAsia="標楷體" w:hAnsi="標楷體" w:hint="eastAsia"/>
                <w:lang w:eastAsia="zh-TW"/>
              </w:rPr>
              <w:t>30</w:t>
            </w:r>
            <w:r w:rsidR="004B3189">
              <w:rPr>
                <w:rFonts w:ascii="標楷體" w:eastAsia="標楷體" w:hAnsi="標楷體"/>
              </w:rPr>
              <w:t>%</w:t>
            </w:r>
            <w:r w:rsidR="004B3189">
              <w:rPr>
                <w:rFonts w:ascii="標楷體"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>。</w:t>
            </w:r>
          </w:p>
          <w:p w14:paraId="473E3A63" w14:textId="77777777" w:rsidR="009401DD" w:rsidRDefault="009401DD" w:rsidP="009401DD">
            <w:pPr>
              <w:spacing w:before="0" w:beforeAutospacing="0"/>
              <w:ind w:leftChars="0"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（二）期末報告：本報告可分兩部份進行撰述：</w:t>
            </w:r>
          </w:p>
          <w:p w14:paraId="39D5CB7F" w14:textId="0B14C7D6" w:rsidR="009401DD" w:rsidRDefault="009401DD" w:rsidP="009401DD">
            <w:pPr>
              <w:spacing w:before="0" w:beforeAutospacing="0"/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1.相關規定：任擇一則中國神話、傳說、小說，就該事之故事意涵作深入探討。文長以「一萬字」為度。</w:t>
            </w:r>
            <w:r>
              <w:rPr>
                <w:rFonts w:ascii="標楷體" w:eastAsia="標楷體" w:hAnsi="標楷體" w:hint="eastAsia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繳交「書面報告」，</w:t>
            </w:r>
            <w:r>
              <w:rPr>
                <w:rFonts w:ascii="標楷體" w:eastAsia="標楷體" w:hAnsi="標楷體" w:hint="eastAsia"/>
                <w:lang w:eastAsia="zh-TW"/>
              </w:rPr>
              <w:t>第14週</w:t>
            </w:r>
            <w:r>
              <w:rPr>
                <w:rFonts w:ascii="標楷體" w:eastAsia="標楷體" w:hAnsi="標楷體" w:hint="eastAsia"/>
              </w:rPr>
              <w:t>起</w:t>
            </w:r>
            <w:r>
              <w:rPr>
                <w:rFonts w:ascii="標楷體" w:eastAsia="標楷體" w:hAnsi="標楷體" w:hint="eastAsia"/>
                <w:lang w:eastAsia="zh-TW"/>
              </w:rPr>
              <w:t>依序進行</w:t>
            </w:r>
            <w:r>
              <w:rPr>
                <w:rFonts w:ascii="標楷體" w:eastAsia="標楷體" w:hAnsi="標楷體" w:hint="eastAsia"/>
              </w:rPr>
              <w:t>「口頭報告」。</w:t>
            </w:r>
          </w:p>
          <w:p w14:paraId="637EE7CC" w14:textId="016DF285" w:rsidR="009401DD" w:rsidRPr="009401DD" w:rsidRDefault="009401DD" w:rsidP="009401DD">
            <w:pPr>
              <w:spacing w:before="0" w:beforeAutospacing="0"/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2.「研讀論文」與「撰寫報告」：先此之前，須先提報題目範圍，並閱讀至少10篇（部）相關之單篇論文（專書），並繳交書面心得報告（提要），每一單位最多以五百字為度（需檢附文本，閱畢交還）。</w:t>
            </w:r>
          </w:p>
          <w:p w14:paraId="24AC2115" w14:textId="34F2D916" w:rsidR="009401DD" w:rsidRPr="006653E3" w:rsidRDefault="009401DD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2023EC" w:rsidRPr="00C94BCF" w:rsidRDefault="00C45345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C94BCF" w:rsidRDefault="002023EC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29C0AA94" w:rsidR="007A1171" w:rsidRPr="00C94BCF" w:rsidRDefault="00F86E9E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65954">
              <w:rPr>
                <w:rFonts w:ascii="標楷體" w:eastAsia="標楷體" w:hint="eastAsia"/>
              </w:rPr>
              <w:t>教學計畫及評量標準說明</w:t>
            </w: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6545CEF5" w:rsidR="007A1171" w:rsidRPr="00C94BCF" w:rsidRDefault="00F86E9E" w:rsidP="00A91CB4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文學（故事）與文化詮釋</w:t>
            </w:r>
            <w:r w:rsidR="00A91CB4">
              <w:rPr>
                <w:rFonts w:ascii="標楷體" w:eastAsia="標楷體" w:hAnsi="標楷體" w:hint="eastAsia"/>
              </w:rPr>
              <w:t>（</w:t>
            </w:r>
            <w:r w:rsidR="00A91CB4">
              <w:rPr>
                <w:rFonts w:ascii="標楷體" w:eastAsia="標楷體" w:hAnsi="標楷體" w:hint="eastAsia"/>
                <w:lang w:eastAsia="zh-TW"/>
              </w:rPr>
              <w:t>1</w:t>
            </w:r>
            <w:r w:rsidR="00A91CB4">
              <w:rPr>
                <w:rFonts w:ascii="標楷體" w:eastAsia="標楷體" w:hAnsi="標楷體" w:hint="eastAsia"/>
              </w:rPr>
              <w:t>）</w:t>
            </w:r>
            <w:r w:rsidRPr="00D65954">
              <w:rPr>
                <w:rFonts w:eastAsia="標楷體" w:hint="eastAsia"/>
              </w:rPr>
              <w:t>：「冥婚」故事（一）</w:t>
            </w: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0CE12BF7" w:rsidR="007A1171" w:rsidRPr="00C94BCF" w:rsidRDefault="00F86E9E" w:rsidP="00F86E9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文學（故事）與文化詮釋</w:t>
            </w:r>
            <w:r w:rsidR="00A91CB4">
              <w:rPr>
                <w:rFonts w:ascii="標楷體" w:eastAsia="標楷體" w:hAnsi="標楷體" w:hint="eastAsia"/>
              </w:rPr>
              <w:t>（</w:t>
            </w:r>
            <w:r w:rsidR="00A91CB4">
              <w:rPr>
                <w:rFonts w:ascii="標楷體" w:eastAsia="標楷體" w:hAnsi="標楷體" w:hint="eastAsia"/>
                <w:lang w:eastAsia="zh-TW"/>
              </w:rPr>
              <w:t>1</w:t>
            </w:r>
            <w:r w:rsidR="00A91CB4">
              <w:rPr>
                <w:rFonts w:ascii="標楷體" w:eastAsia="標楷體" w:hAnsi="標楷體" w:hint="eastAsia"/>
              </w:rPr>
              <w:t>）</w:t>
            </w:r>
            <w:r w:rsidRPr="00D65954">
              <w:rPr>
                <w:rFonts w:eastAsia="標楷體" w:hint="eastAsia"/>
              </w:rPr>
              <w:t>：「冥婚」故事（</w:t>
            </w:r>
            <w:r>
              <w:rPr>
                <w:rFonts w:eastAsia="標楷體" w:hint="eastAsia"/>
                <w:lang w:eastAsia="zh-TW"/>
              </w:rPr>
              <w:t>二</w:t>
            </w:r>
            <w:r w:rsidRPr="00D65954">
              <w:rPr>
                <w:rFonts w:eastAsia="標楷體" w:hint="eastAsia"/>
              </w:rPr>
              <w:t>）</w:t>
            </w:r>
          </w:p>
        </w:tc>
      </w:tr>
      <w:tr w:rsidR="007A1171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37E3EC2B" w:rsidR="007A1171" w:rsidRPr="00C94BCF" w:rsidRDefault="00F86E9E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文學（故事）與宗教：觀</w:t>
            </w:r>
            <w:r>
              <w:rPr>
                <w:rFonts w:eastAsia="標楷體" w:hint="eastAsia"/>
              </w:rPr>
              <w:t>世</w:t>
            </w:r>
            <w:r w:rsidRPr="00D65954">
              <w:rPr>
                <w:rFonts w:eastAsia="標楷體" w:hint="eastAsia"/>
              </w:rPr>
              <w:t>音應驗故事（一）</w:t>
            </w:r>
          </w:p>
        </w:tc>
      </w:tr>
      <w:tr w:rsidR="007A1171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0A45C825" w:rsidR="007A1171" w:rsidRPr="00C94BCF" w:rsidRDefault="00F86E9E" w:rsidP="00F86E9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文學（故事）與宗教：觀</w:t>
            </w:r>
            <w:r>
              <w:rPr>
                <w:rFonts w:eastAsia="標楷體" w:hint="eastAsia"/>
              </w:rPr>
              <w:t>世</w:t>
            </w:r>
            <w:r w:rsidRPr="00D65954">
              <w:rPr>
                <w:rFonts w:eastAsia="標楷體" w:hint="eastAsia"/>
              </w:rPr>
              <w:t>音應驗故事（</w:t>
            </w:r>
            <w:r>
              <w:rPr>
                <w:rFonts w:eastAsia="標楷體" w:hint="eastAsia"/>
                <w:lang w:eastAsia="zh-TW"/>
              </w:rPr>
              <w:t>二</w:t>
            </w:r>
            <w:r w:rsidRPr="00D65954">
              <w:rPr>
                <w:rFonts w:eastAsia="標楷體" w:hint="eastAsia"/>
              </w:rPr>
              <w:t>）</w:t>
            </w:r>
          </w:p>
        </w:tc>
      </w:tr>
      <w:tr w:rsidR="007A1171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34DD96D5" w:rsidR="007A1171" w:rsidRPr="00C94BCF" w:rsidRDefault="00F86E9E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文學（故事）與社會：</w:t>
            </w:r>
            <w:r w:rsidRPr="00D65954">
              <w:rPr>
                <w:rFonts w:ascii="標楷體" w:eastAsia="標楷體" w:hAnsi="標楷體" w:hint="eastAsia"/>
              </w:rPr>
              <w:t>《西遊記》與明世宗</w:t>
            </w:r>
            <w:r w:rsidRPr="00D65954">
              <w:rPr>
                <w:rFonts w:eastAsia="標楷體" w:hint="eastAsia"/>
              </w:rPr>
              <w:t>（一）</w:t>
            </w:r>
          </w:p>
        </w:tc>
      </w:tr>
      <w:tr w:rsidR="007A1171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6DA4A561" w:rsidR="007A1171" w:rsidRPr="00C94BCF" w:rsidRDefault="00F86E9E" w:rsidP="00F86E9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文學（故事）與社會：</w:t>
            </w:r>
            <w:r w:rsidRPr="00D65954">
              <w:rPr>
                <w:rFonts w:ascii="標楷體" w:eastAsia="標楷體" w:hAnsi="標楷體" w:hint="eastAsia"/>
              </w:rPr>
              <w:t>《西遊記》與明世宗</w:t>
            </w:r>
            <w:r w:rsidRPr="00D65954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lang w:eastAsia="zh-TW"/>
              </w:rPr>
              <w:t>二</w:t>
            </w:r>
            <w:r w:rsidRPr="00D65954">
              <w:rPr>
                <w:rFonts w:eastAsia="標楷體" w:hint="eastAsia"/>
              </w:rPr>
              <w:t>）</w:t>
            </w:r>
          </w:p>
        </w:tc>
      </w:tr>
      <w:tr w:rsidR="007A1171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3D78E84A" w:rsidR="007A1171" w:rsidRPr="00C94BCF" w:rsidRDefault="00F86E9E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文學（故事）與觀念詮釋</w:t>
            </w:r>
            <w:r w:rsidR="00A91CB4">
              <w:rPr>
                <w:rFonts w:ascii="標楷體" w:eastAsia="標楷體" w:hAnsi="標楷體" w:hint="eastAsia"/>
              </w:rPr>
              <w:t>（</w:t>
            </w:r>
            <w:r w:rsidR="00A91CB4">
              <w:rPr>
                <w:rFonts w:ascii="標楷體" w:eastAsia="標楷體" w:hAnsi="標楷體" w:hint="eastAsia"/>
                <w:lang w:eastAsia="zh-TW"/>
              </w:rPr>
              <w:t>1</w:t>
            </w:r>
            <w:r w:rsidR="00A91CB4">
              <w:rPr>
                <w:rFonts w:ascii="標楷體" w:eastAsia="標楷體" w:hAnsi="標楷體" w:hint="eastAsia"/>
              </w:rPr>
              <w:t>）</w:t>
            </w:r>
            <w:r w:rsidRPr="00D65954">
              <w:rPr>
                <w:rFonts w:eastAsia="標楷體" w:hint="eastAsia"/>
              </w:rPr>
              <w:t>：「旄頭騎」故事（一）</w:t>
            </w:r>
          </w:p>
        </w:tc>
      </w:tr>
      <w:tr w:rsidR="007A1171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A1171" w:rsidRPr="00C94BCF" w:rsidRDefault="007A1171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3C4B44B2" w:rsidR="007A1171" w:rsidRPr="00C94BCF" w:rsidRDefault="00F86E9E" w:rsidP="00F86E9E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D65954">
              <w:rPr>
                <w:rFonts w:eastAsia="標楷體" w:hint="eastAsia"/>
              </w:rPr>
              <w:t>文學（故事）與觀念詮釋</w:t>
            </w:r>
            <w:r w:rsidR="00A91CB4">
              <w:rPr>
                <w:rFonts w:ascii="標楷體" w:eastAsia="標楷體" w:hAnsi="標楷體" w:hint="eastAsia"/>
              </w:rPr>
              <w:t>（</w:t>
            </w:r>
            <w:r w:rsidR="00A91CB4">
              <w:rPr>
                <w:rFonts w:ascii="標楷體" w:eastAsia="標楷體" w:hAnsi="標楷體" w:hint="eastAsia"/>
                <w:lang w:eastAsia="zh-TW"/>
              </w:rPr>
              <w:t>1</w:t>
            </w:r>
            <w:r w:rsidR="00A91CB4">
              <w:rPr>
                <w:rFonts w:ascii="標楷體" w:eastAsia="標楷體" w:hAnsi="標楷體" w:hint="eastAsia"/>
              </w:rPr>
              <w:t>）</w:t>
            </w:r>
            <w:r w:rsidRPr="00D65954">
              <w:rPr>
                <w:rFonts w:eastAsia="標楷體" w:hint="eastAsia"/>
              </w:rPr>
              <w:t>：「旄頭騎」故事（</w:t>
            </w:r>
            <w:r>
              <w:rPr>
                <w:rFonts w:eastAsia="標楷體" w:hint="eastAsia"/>
                <w:lang w:eastAsia="zh-TW"/>
              </w:rPr>
              <w:t>二</w:t>
            </w:r>
            <w:r w:rsidRPr="00D65954">
              <w:rPr>
                <w:rFonts w:eastAsia="標楷體" w:hint="eastAsia"/>
              </w:rPr>
              <w:t>）</w:t>
            </w:r>
          </w:p>
        </w:tc>
      </w:tr>
      <w:tr w:rsidR="007A1171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4411B5DF" w:rsidR="007A1171" w:rsidRPr="00A91CB4" w:rsidRDefault="00A91CB4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szCs w:val="24"/>
              </w:rPr>
            </w:pPr>
            <w:r w:rsidRPr="00A91CB4">
              <w:rPr>
                <w:rFonts w:eastAsia="標楷體" w:hint="eastAsia"/>
                <w:szCs w:val="24"/>
              </w:rPr>
              <w:t>文學（故事）與文化詮釋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 w:rsidRPr="00A91CB4">
              <w:rPr>
                <w:rFonts w:eastAsia="標楷體" w:hint="eastAsia"/>
                <w:szCs w:val="24"/>
              </w:rPr>
              <w:t>：水鬼漁夫（一）</w:t>
            </w:r>
          </w:p>
        </w:tc>
      </w:tr>
      <w:tr w:rsidR="007A1171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2A2923F0" w:rsidR="007A1171" w:rsidRPr="00A91CB4" w:rsidRDefault="00A91CB4" w:rsidP="00A91CB4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szCs w:val="24"/>
              </w:rPr>
            </w:pPr>
            <w:r w:rsidRPr="00A91CB4">
              <w:rPr>
                <w:rFonts w:eastAsia="標楷體" w:hint="eastAsia"/>
                <w:szCs w:val="24"/>
              </w:rPr>
              <w:t>文學（故事）與文化詮釋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 w:rsidRPr="00A91CB4">
              <w:rPr>
                <w:rFonts w:eastAsia="標楷體" w:hint="eastAsia"/>
                <w:szCs w:val="24"/>
              </w:rPr>
              <w:t>：水鬼漁夫（</w:t>
            </w:r>
            <w:r w:rsidRPr="00A91CB4">
              <w:rPr>
                <w:rFonts w:eastAsia="標楷體" w:hint="eastAsia"/>
                <w:szCs w:val="24"/>
                <w:lang w:eastAsia="zh-TW"/>
              </w:rPr>
              <w:t>二</w:t>
            </w:r>
            <w:r w:rsidRPr="00A91CB4">
              <w:rPr>
                <w:rFonts w:eastAsia="標楷體" w:hint="eastAsia"/>
                <w:szCs w:val="24"/>
              </w:rPr>
              <w:t>）</w:t>
            </w:r>
          </w:p>
        </w:tc>
      </w:tr>
      <w:tr w:rsidR="007A1171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3814D3ED" w:rsidR="007A1171" w:rsidRPr="00A91CB4" w:rsidRDefault="00A91CB4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szCs w:val="24"/>
              </w:rPr>
            </w:pPr>
            <w:r w:rsidRPr="00A91CB4">
              <w:rPr>
                <w:rFonts w:eastAsia="標楷體" w:hint="eastAsia"/>
                <w:szCs w:val="24"/>
              </w:rPr>
              <w:t>文學（故事）與觀念詮釋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 w:rsidRPr="00A91CB4">
              <w:rPr>
                <w:rFonts w:eastAsia="標楷體" w:hint="eastAsia"/>
                <w:szCs w:val="24"/>
              </w:rPr>
              <w:t>：臺灣民間故事「醜女變美女」故事（一）</w:t>
            </w:r>
          </w:p>
        </w:tc>
      </w:tr>
      <w:tr w:rsidR="007A1171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1212F6DA" w:rsidR="007A1171" w:rsidRPr="00C94BCF" w:rsidRDefault="00A91CB4" w:rsidP="00A91CB4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A91CB4">
              <w:rPr>
                <w:rFonts w:eastAsia="標楷體" w:hint="eastAsia"/>
                <w:szCs w:val="24"/>
              </w:rPr>
              <w:t>文學（故事）與觀念詮釋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 w:rsidRPr="00A91CB4">
              <w:rPr>
                <w:rFonts w:eastAsia="標楷體" w:hint="eastAsia"/>
                <w:szCs w:val="24"/>
              </w:rPr>
              <w:t>：臺灣民間故事「醜女變美女」故事（</w:t>
            </w:r>
            <w:r>
              <w:rPr>
                <w:rFonts w:eastAsia="標楷體" w:hint="eastAsia"/>
                <w:szCs w:val="24"/>
                <w:lang w:eastAsia="zh-TW"/>
              </w:rPr>
              <w:t>二</w:t>
            </w:r>
            <w:r w:rsidRPr="00A91CB4">
              <w:rPr>
                <w:rFonts w:eastAsia="標楷體" w:hint="eastAsia"/>
                <w:szCs w:val="24"/>
              </w:rPr>
              <w:t>）</w:t>
            </w:r>
          </w:p>
        </w:tc>
      </w:tr>
      <w:tr w:rsidR="007A1171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1AD57C0E" w:rsidR="007A1171" w:rsidRPr="00A91CB4" w:rsidRDefault="00A91CB4" w:rsidP="00A91CB4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szCs w:val="24"/>
              </w:rPr>
            </w:pPr>
            <w:r w:rsidRPr="00A91CB4">
              <w:rPr>
                <w:rFonts w:ascii="標楷體" w:eastAsia="標楷體" w:hint="eastAsia"/>
                <w:szCs w:val="24"/>
                <w:lang w:eastAsia="zh-TW"/>
              </w:rPr>
              <w:t>口頭</w:t>
            </w:r>
            <w:r w:rsidRPr="00A91CB4">
              <w:rPr>
                <w:rFonts w:ascii="標楷體" w:eastAsia="標楷體" w:hint="eastAsia"/>
                <w:szCs w:val="24"/>
              </w:rPr>
              <w:t>報告（</w:t>
            </w:r>
            <w:r w:rsidRPr="00A91CB4">
              <w:rPr>
                <w:rFonts w:ascii="標楷體" w:eastAsia="標楷體" w:hint="eastAsia"/>
                <w:szCs w:val="24"/>
                <w:lang w:eastAsia="zh-TW"/>
              </w:rPr>
              <w:t>1</w:t>
            </w:r>
            <w:r w:rsidRPr="00A91CB4">
              <w:rPr>
                <w:rFonts w:ascii="標楷體" w:eastAsia="標楷體" w:hint="eastAsia"/>
                <w:szCs w:val="24"/>
              </w:rPr>
              <w:t>）：依選課人數排定次序。</w:t>
            </w:r>
          </w:p>
        </w:tc>
      </w:tr>
      <w:tr w:rsidR="007A1171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60CDFBFF" w:rsidR="007A1171" w:rsidRPr="00C94BCF" w:rsidRDefault="00A91CB4" w:rsidP="00A91CB4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A91CB4">
              <w:rPr>
                <w:rFonts w:ascii="標楷體" w:eastAsia="標楷體" w:hint="eastAsia"/>
                <w:szCs w:val="24"/>
                <w:lang w:eastAsia="zh-TW"/>
              </w:rPr>
              <w:t>口頭</w:t>
            </w:r>
            <w:r w:rsidRPr="00A91CB4">
              <w:rPr>
                <w:rFonts w:ascii="標楷體" w:eastAsia="標楷體" w:hint="eastAsia"/>
                <w:szCs w:val="24"/>
              </w:rPr>
              <w:t>報告（</w:t>
            </w:r>
            <w:r>
              <w:rPr>
                <w:rFonts w:ascii="標楷體" w:eastAsia="標楷體" w:hint="eastAsia"/>
                <w:szCs w:val="24"/>
                <w:lang w:eastAsia="zh-TW"/>
              </w:rPr>
              <w:t>2</w:t>
            </w:r>
            <w:r w:rsidRPr="00A91CB4">
              <w:rPr>
                <w:rFonts w:ascii="標楷體" w:eastAsia="標楷體" w:hint="eastAsia"/>
                <w:szCs w:val="24"/>
              </w:rPr>
              <w:t>）：依選課人數排定次序。</w:t>
            </w: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6B319030" w:rsidR="007A1171" w:rsidRPr="00C94BCF" w:rsidRDefault="00A91CB4" w:rsidP="00A91CB4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A91CB4">
              <w:rPr>
                <w:rFonts w:ascii="標楷體" w:eastAsia="標楷體" w:hint="eastAsia"/>
                <w:szCs w:val="24"/>
                <w:lang w:eastAsia="zh-TW"/>
              </w:rPr>
              <w:t>口頭</w:t>
            </w:r>
            <w:r w:rsidRPr="00A91CB4">
              <w:rPr>
                <w:rFonts w:ascii="標楷體" w:eastAsia="標楷體" w:hint="eastAsia"/>
                <w:szCs w:val="24"/>
              </w:rPr>
              <w:t>報告（</w:t>
            </w:r>
            <w:r>
              <w:rPr>
                <w:rFonts w:ascii="標楷體" w:eastAsia="標楷體" w:hint="eastAsia"/>
                <w:szCs w:val="24"/>
                <w:lang w:eastAsia="zh-TW"/>
              </w:rPr>
              <w:t>3</w:t>
            </w:r>
            <w:r w:rsidRPr="00A91CB4">
              <w:rPr>
                <w:rFonts w:ascii="標楷體" w:eastAsia="標楷體" w:hint="eastAsia"/>
                <w:szCs w:val="24"/>
              </w:rPr>
              <w:t>）：依選課人數排定次序。</w:t>
            </w: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6F4CD0CB" w:rsidR="007A1171" w:rsidRPr="00C94BCF" w:rsidRDefault="00A91CB4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彈性教學</w:t>
            </w: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45FA837F" w:rsidR="007A1171" w:rsidRPr="00C94BCF" w:rsidRDefault="00A91CB4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彈性教學</w:t>
            </w:r>
          </w:p>
        </w:tc>
      </w:tr>
      <w:tr w:rsidR="002023E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2023EC" w:rsidRPr="00C94BCF" w:rsidRDefault="002023EC" w:rsidP="002C61D4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 w:rsidRPr="00C94BCF">
              <w:rPr>
                <w:rFonts w:ascii="Times New Roman" w:eastAsia="標楷體" w:hAnsi="Times New Roman"/>
              </w:rPr>
              <w:t xml:space="preserve">core competencies </w:t>
            </w:r>
          </w:p>
        </w:tc>
      </w:tr>
      <w:tr w:rsidR="002023E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2D3E62" w:rsidRPr="00C94BCF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94BCF" w:rsidRDefault="003A644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</w:t>
                  </w:r>
                  <w:r w:rsidR="002F18F8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關聯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強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度</w:t>
                  </w:r>
                </w:p>
                <w:p w14:paraId="554AC5ED" w14:textId="3CA55939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Degrees of related to core competenc</w:t>
                  </w:r>
                  <w:r w:rsidR="003A6442" w:rsidRPr="00C94BCF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A1171" w:rsidRPr="00C94BCF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94BCF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A1171" w:rsidRPr="00C94BCF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732C0614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0367A7C3" w:rsidR="007A1171" w:rsidRPr="00C94BCF" w:rsidRDefault="004B3189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V</w:t>
                  </w:r>
                </w:p>
              </w:tc>
            </w:tr>
            <w:tr w:rsidR="007A1171" w:rsidRPr="00C94BCF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693AB2F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26BB778C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F34C6CC" w:rsidR="007A1171" w:rsidRPr="00C94BCF" w:rsidRDefault="004B3189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V</w:t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562A9F71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3A9BA2A1" w:rsidR="007A1171" w:rsidRPr="00C94BCF" w:rsidRDefault="004B3189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V</w:t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295A3F7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00E5FE05" w:rsidR="007A1171" w:rsidRPr="00C94BCF" w:rsidRDefault="004B3189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V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EE7536" w14:textId="1DA61BF6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5E2EC2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3EAC9DF6" w:rsidR="007A1171" w:rsidRPr="00C94BCF" w:rsidRDefault="004B3189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V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2023EC" w:rsidRPr="00C94BCF" w:rsidRDefault="00D3209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</w:t>
            </w:r>
            <w:r w:rsidRPr="00C94BCF">
              <w:rPr>
                <w:rFonts w:ascii="Times New Roman" w:eastAsia="標楷體" w:hAnsi="Times New Roman"/>
                <w:lang w:eastAsia="zh-TW"/>
              </w:rPr>
              <w:t>沒有關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聯</w:t>
            </w:r>
            <w:r w:rsidRPr="00C94BCF">
              <w:rPr>
                <w:rFonts w:ascii="Times New Roman" w:eastAsia="標楷體" w:hAnsi="Times New Roman"/>
                <w:lang w:eastAsia="zh-TW"/>
              </w:rPr>
              <w:t>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14A18" w14:textId="77777777" w:rsidR="0030325D" w:rsidRDefault="0030325D" w:rsidP="00E9068E">
      <w:pPr>
        <w:spacing w:before="0"/>
      </w:pPr>
      <w:r>
        <w:separator/>
      </w:r>
    </w:p>
  </w:endnote>
  <w:endnote w:type="continuationSeparator" w:id="0">
    <w:p w14:paraId="696F6D94" w14:textId="77777777" w:rsidR="0030325D" w:rsidRDefault="0030325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CC675" w14:textId="77777777" w:rsidR="0030325D" w:rsidRDefault="0030325D" w:rsidP="00E9068E">
      <w:pPr>
        <w:spacing w:before="0"/>
      </w:pPr>
      <w:r>
        <w:separator/>
      </w:r>
    </w:p>
  </w:footnote>
  <w:footnote w:type="continuationSeparator" w:id="0">
    <w:p w14:paraId="183A297F" w14:textId="77777777" w:rsidR="0030325D" w:rsidRDefault="0030325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6244B"/>
    <w:rsid w:val="0008209B"/>
    <w:rsid w:val="00083BE7"/>
    <w:rsid w:val="000A4CF7"/>
    <w:rsid w:val="000B2C15"/>
    <w:rsid w:val="000B3E3B"/>
    <w:rsid w:val="000B5D10"/>
    <w:rsid w:val="000C472E"/>
    <w:rsid w:val="000D7AC3"/>
    <w:rsid w:val="000E0C0F"/>
    <w:rsid w:val="000E2CFF"/>
    <w:rsid w:val="000F085A"/>
    <w:rsid w:val="001424D0"/>
    <w:rsid w:val="00152B03"/>
    <w:rsid w:val="00156A09"/>
    <w:rsid w:val="001833AE"/>
    <w:rsid w:val="00185033"/>
    <w:rsid w:val="001A3D56"/>
    <w:rsid w:val="001B084E"/>
    <w:rsid w:val="001B2D97"/>
    <w:rsid w:val="001B416E"/>
    <w:rsid w:val="001B56F5"/>
    <w:rsid w:val="001D03F8"/>
    <w:rsid w:val="001D3110"/>
    <w:rsid w:val="001D3225"/>
    <w:rsid w:val="001E2DE7"/>
    <w:rsid w:val="001E41B1"/>
    <w:rsid w:val="001F3587"/>
    <w:rsid w:val="001F3E47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C61D4"/>
    <w:rsid w:val="002D28B7"/>
    <w:rsid w:val="002D309E"/>
    <w:rsid w:val="002D3E62"/>
    <w:rsid w:val="002F18F8"/>
    <w:rsid w:val="002F2160"/>
    <w:rsid w:val="0030325D"/>
    <w:rsid w:val="00315BF1"/>
    <w:rsid w:val="00342694"/>
    <w:rsid w:val="00347BFD"/>
    <w:rsid w:val="003647A7"/>
    <w:rsid w:val="003866FE"/>
    <w:rsid w:val="003A2A12"/>
    <w:rsid w:val="003A4DF0"/>
    <w:rsid w:val="003A6442"/>
    <w:rsid w:val="003B04CD"/>
    <w:rsid w:val="003B2943"/>
    <w:rsid w:val="003B412D"/>
    <w:rsid w:val="003C19DC"/>
    <w:rsid w:val="003D7843"/>
    <w:rsid w:val="003E0932"/>
    <w:rsid w:val="003E1A15"/>
    <w:rsid w:val="003E7C8A"/>
    <w:rsid w:val="003F0401"/>
    <w:rsid w:val="003F079B"/>
    <w:rsid w:val="003F7C77"/>
    <w:rsid w:val="004255C4"/>
    <w:rsid w:val="00430CF5"/>
    <w:rsid w:val="004424E7"/>
    <w:rsid w:val="004A22ED"/>
    <w:rsid w:val="004B094D"/>
    <w:rsid w:val="004B3189"/>
    <w:rsid w:val="004D40CB"/>
    <w:rsid w:val="004D7E19"/>
    <w:rsid w:val="004E4076"/>
    <w:rsid w:val="004F4DFA"/>
    <w:rsid w:val="004F517A"/>
    <w:rsid w:val="00505EBF"/>
    <w:rsid w:val="005249FE"/>
    <w:rsid w:val="005363DA"/>
    <w:rsid w:val="005478D7"/>
    <w:rsid w:val="005506B1"/>
    <w:rsid w:val="00554B7B"/>
    <w:rsid w:val="00563CB8"/>
    <w:rsid w:val="00564E45"/>
    <w:rsid w:val="00577B4A"/>
    <w:rsid w:val="00577C88"/>
    <w:rsid w:val="005B7B0D"/>
    <w:rsid w:val="005D00B8"/>
    <w:rsid w:val="005D4CE7"/>
    <w:rsid w:val="005E5E9E"/>
    <w:rsid w:val="005F259C"/>
    <w:rsid w:val="006062E2"/>
    <w:rsid w:val="00612FCC"/>
    <w:rsid w:val="00613C4C"/>
    <w:rsid w:val="006202DB"/>
    <w:rsid w:val="00622350"/>
    <w:rsid w:val="00656E5E"/>
    <w:rsid w:val="006620EE"/>
    <w:rsid w:val="006653E3"/>
    <w:rsid w:val="006657C8"/>
    <w:rsid w:val="006827BB"/>
    <w:rsid w:val="00684438"/>
    <w:rsid w:val="00697842"/>
    <w:rsid w:val="006B376A"/>
    <w:rsid w:val="007166EB"/>
    <w:rsid w:val="007607E9"/>
    <w:rsid w:val="007A1171"/>
    <w:rsid w:val="007B34D7"/>
    <w:rsid w:val="007C04DC"/>
    <w:rsid w:val="007D4DC5"/>
    <w:rsid w:val="007D754E"/>
    <w:rsid w:val="007F645B"/>
    <w:rsid w:val="008324AE"/>
    <w:rsid w:val="0084469D"/>
    <w:rsid w:val="00862641"/>
    <w:rsid w:val="008675FE"/>
    <w:rsid w:val="0087160C"/>
    <w:rsid w:val="008758A6"/>
    <w:rsid w:val="00880AF7"/>
    <w:rsid w:val="00897965"/>
    <w:rsid w:val="008A5A3D"/>
    <w:rsid w:val="008D29F6"/>
    <w:rsid w:val="008F28CD"/>
    <w:rsid w:val="008F2E1B"/>
    <w:rsid w:val="009323A7"/>
    <w:rsid w:val="009401DD"/>
    <w:rsid w:val="009533AF"/>
    <w:rsid w:val="0096101D"/>
    <w:rsid w:val="009636D0"/>
    <w:rsid w:val="00965BE9"/>
    <w:rsid w:val="00977AA8"/>
    <w:rsid w:val="0099199D"/>
    <w:rsid w:val="009A17F2"/>
    <w:rsid w:val="009B74DD"/>
    <w:rsid w:val="009C5B9C"/>
    <w:rsid w:val="009E48E1"/>
    <w:rsid w:val="009F1228"/>
    <w:rsid w:val="009F53E0"/>
    <w:rsid w:val="00A005E5"/>
    <w:rsid w:val="00A012E9"/>
    <w:rsid w:val="00A336D5"/>
    <w:rsid w:val="00A37E96"/>
    <w:rsid w:val="00A41B7F"/>
    <w:rsid w:val="00A5210C"/>
    <w:rsid w:val="00A63746"/>
    <w:rsid w:val="00A642A3"/>
    <w:rsid w:val="00A91CB4"/>
    <w:rsid w:val="00A92675"/>
    <w:rsid w:val="00A94058"/>
    <w:rsid w:val="00AA5F4C"/>
    <w:rsid w:val="00AB272B"/>
    <w:rsid w:val="00B23992"/>
    <w:rsid w:val="00B3289C"/>
    <w:rsid w:val="00B41D5C"/>
    <w:rsid w:val="00B46395"/>
    <w:rsid w:val="00B644D9"/>
    <w:rsid w:val="00BA061D"/>
    <w:rsid w:val="00BA3B3C"/>
    <w:rsid w:val="00BB3197"/>
    <w:rsid w:val="00BB7AC8"/>
    <w:rsid w:val="00BD6974"/>
    <w:rsid w:val="00BE01CD"/>
    <w:rsid w:val="00C12D8D"/>
    <w:rsid w:val="00C41496"/>
    <w:rsid w:val="00C45345"/>
    <w:rsid w:val="00C453F1"/>
    <w:rsid w:val="00C55C6C"/>
    <w:rsid w:val="00C66749"/>
    <w:rsid w:val="00C704D2"/>
    <w:rsid w:val="00C94BCF"/>
    <w:rsid w:val="00CC4933"/>
    <w:rsid w:val="00CE72FE"/>
    <w:rsid w:val="00D077E1"/>
    <w:rsid w:val="00D3209B"/>
    <w:rsid w:val="00D346A1"/>
    <w:rsid w:val="00D45057"/>
    <w:rsid w:val="00D60A18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10268"/>
    <w:rsid w:val="00E15F38"/>
    <w:rsid w:val="00E35F40"/>
    <w:rsid w:val="00E70A19"/>
    <w:rsid w:val="00E75CB7"/>
    <w:rsid w:val="00E9068E"/>
    <w:rsid w:val="00EC360C"/>
    <w:rsid w:val="00ED7269"/>
    <w:rsid w:val="00F15A64"/>
    <w:rsid w:val="00F215AE"/>
    <w:rsid w:val="00F22674"/>
    <w:rsid w:val="00F345EA"/>
    <w:rsid w:val="00F6404E"/>
    <w:rsid w:val="00F66AEE"/>
    <w:rsid w:val="00F75052"/>
    <w:rsid w:val="00F86E9E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b">
    <w:name w:val="大標題"/>
    <w:basedOn w:val="a"/>
    <w:rsid w:val="00F86E9E"/>
    <w:pPr>
      <w:widowControl w:val="0"/>
      <w:spacing w:after="100" w:afterAutospacing="1" w:line="480" w:lineRule="exact"/>
      <w:ind w:leftChars="0" w:left="0"/>
      <w:jc w:val="left"/>
    </w:pPr>
    <w:rPr>
      <w:rFonts w:ascii="Times New Roman" w:eastAsia="新細明體" w:hAnsi="Times New Roman"/>
      <w:b/>
      <w:kern w:val="2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2093-331C-49CC-8470-D14F1BC2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2023-06-26T09:36:00Z</cp:lastPrinted>
  <dcterms:created xsi:type="dcterms:W3CDTF">2025-12-23T02:20:00Z</dcterms:created>
  <dcterms:modified xsi:type="dcterms:W3CDTF">2025-12-23T02:20:00Z</dcterms:modified>
</cp:coreProperties>
</file>