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AD" w:rsidRPr="00A23C38" w:rsidRDefault="00AD53AD">
      <w:pPr>
        <w:jc w:val="center"/>
        <w:rPr>
          <w:spacing w:val="-6"/>
          <w:sz w:val="28"/>
          <w:szCs w:val="28"/>
        </w:rPr>
      </w:pPr>
      <w:r w:rsidRPr="00A23C38">
        <w:rPr>
          <w:rFonts w:eastAsia="標楷體" w:cs="標楷體"/>
          <w:spacing w:val="-6"/>
          <w:sz w:val="28"/>
          <w:szCs w:val="28"/>
        </w:rPr>
        <w:t>國立中正大學</w:t>
      </w:r>
      <w:r w:rsidR="004A189F" w:rsidRPr="00A23C38">
        <w:rPr>
          <w:rFonts w:eastAsia="標楷體" w:cs="標楷體"/>
          <w:spacing w:val="-6"/>
          <w:sz w:val="28"/>
          <w:szCs w:val="28"/>
        </w:rPr>
        <w:t>1</w:t>
      </w:r>
      <w:r w:rsidR="00905DC8">
        <w:rPr>
          <w:rFonts w:eastAsia="標楷體" w:cs="標楷體" w:hint="cs"/>
          <w:spacing w:val="-6"/>
          <w:sz w:val="28"/>
          <w:szCs w:val="28"/>
        </w:rPr>
        <w:t>1</w:t>
      </w:r>
      <w:r w:rsidR="00D13AB3">
        <w:rPr>
          <w:rFonts w:eastAsia="標楷體" w:cs="標楷體" w:hint="eastAsia"/>
          <w:spacing w:val="-6"/>
          <w:sz w:val="28"/>
          <w:szCs w:val="28"/>
          <w:lang w:eastAsia="zh-TW"/>
        </w:rPr>
        <w:t>4</w:t>
      </w:r>
      <w:r w:rsidRPr="00A23C38">
        <w:rPr>
          <w:rFonts w:eastAsia="標楷體" w:cs="標楷體"/>
          <w:spacing w:val="-6"/>
          <w:sz w:val="28"/>
          <w:szCs w:val="28"/>
        </w:rPr>
        <w:t>學年度第</w:t>
      </w:r>
      <w:r w:rsidR="00D13AB3">
        <w:rPr>
          <w:rFonts w:eastAsia="標楷體" w:cs="標楷體" w:hint="eastAsia"/>
          <w:spacing w:val="-6"/>
          <w:sz w:val="28"/>
          <w:szCs w:val="28"/>
          <w:lang w:eastAsia="zh-TW"/>
        </w:rPr>
        <w:t>1</w:t>
      </w:r>
      <w:r w:rsidRPr="00A23C38">
        <w:rPr>
          <w:rFonts w:eastAsia="標楷體" w:cs="標楷體"/>
          <w:spacing w:val="-6"/>
          <w:sz w:val="28"/>
          <w:szCs w:val="28"/>
        </w:rPr>
        <w:t>學期</w:t>
      </w:r>
      <w:r w:rsidR="00FA034D" w:rsidRPr="00A23C38">
        <w:rPr>
          <w:rFonts w:eastAsia="標楷體" w:cs="標楷體" w:hint="eastAsia"/>
          <w:spacing w:val="-6"/>
          <w:sz w:val="28"/>
          <w:szCs w:val="28"/>
          <w:lang w:eastAsia="zh-TW"/>
        </w:rPr>
        <w:t>教育學</w:t>
      </w:r>
      <w:r w:rsidRPr="00A23C38">
        <w:rPr>
          <w:rFonts w:eastAsia="標楷體" w:cs="標楷體"/>
          <w:spacing w:val="-6"/>
          <w:sz w:val="28"/>
          <w:szCs w:val="28"/>
        </w:rPr>
        <w:t>研究所</w:t>
      </w:r>
      <w:r w:rsidR="003970EC" w:rsidRPr="00A23C38">
        <w:rPr>
          <w:rFonts w:eastAsia="標楷體" w:cs="標楷體"/>
          <w:spacing w:val="-6"/>
          <w:sz w:val="28"/>
          <w:szCs w:val="28"/>
        </w:rPr>
        <w:t>課程</w:t>
      </w:r>
      <w:r w:rsidRPr="00A23C38">
        <w:rPr>
          <w:rFonts w:eastAsia="標楷體" w:cs="標楷體"/>
          <w:spacing w:val="-6"/>
          <w:sz w:val="28"/>
          <w:szCs w:val="28"/>
        </w:rPr>
        <w:t>博士班教學大綱</w:t>
      </w:r>
    </w:p>
    <w:p w:rsidR="00AD53AD" w:rsidRPr="00A23C38" w:rsidRDefault="00AD53AD">
      <w:r w:rsidRPr="00A23C38">
        <w:t>編</w:t>
      </w:r>
      <w:r w:rsidRPr="00A23C38">
        <w:t xml:space="preserve">    </w:t>
      </w:r>
      <w:r w:rsidRPr="00A23C38">
        <w:t>號：</w:t>
      </w:r>
      <w:r w:rsidR="002200C2" w:rsidRPr="00A23C38">
        <w:t>3917003</w:t>
      </w:r>
      <w:r w:rsidRPr="00A23C38">
        <w:t xml:space="preserve">                       </w:t>
      </w:r>
      <w:r w:rsidR="009D187B" w:rsidRPr="00A23C38">
        <w:rPr>
          <w:rFonts w:hint="eastAsia"/>
          <w:lang w:eastAsia="zh-TW"/>
        </w:rPr>
        <w:t xml:space="preserve"> </w:t>
      </w:r>
      <w:r w:rsidRPr="00A23C38">
        <w:t>科目名稱：</w:t>
      </w:r>
      <w:r w:rsidR="00CD4651">
        <w:rPr>
          <w:rFonts w:hint="eastAsia"/>
          <w:lang w:eastAsia="zh-TW"/>
        </w:rPr>
        <w:t>書報討論</w:t>
      </w:r>
      <w:r w:rsidR="00CD4651">
        <w:rPr>
          <w:rFonts w:hint="eastAsia"/>
          <w:lang w:eastAsia="zh-TW"/>
        </w:rPr>
        <w:t>-</w:t>
      </w:r>
      <w:r w:rsidR="00797731" w:rsidRPr="00A23C38">
        <w:rPr>
          <w:rFonts w:ascii="標楷體" w:eastAsia="標楷體" w:hAnsi="標楷體" w:cs="標楷體" w:hint="eastAsia"/>
        </w:rPr>
        <w:t>課程</w:t>
      </w:r>
      <w:r w:rsidR="00DF0FC9">
        <w:rPr>
          <w:rFonts w:ascii="標楷體" w:eastAsia="標楷體" w:hAnsi="標楷體" w:cs="標楷體" w:hint="eastAsia"/>
          <w:lang w:eastAsia="zh-TW"/>
        </w:rPr>
        <w:t>研究</w:t>
      </w:r>
      <w:r w:rsidRPr="00A23C38">
        <w:rPr>
          <w:b/>
        </w:rPr>
        <w:t xml:space="preserve"> </w:t>
      </w:r>
      <w:r w:rsidRPr="00A23C38">
        <w:t xml:space="preserve">    </w:t>
      </w:r>
    </w:p>
    <w:p w:rsidR="00AD53AD" w:rsidRPr="00A23C38" w:rsidRDefault="00AD53AD">
      <w:pPr>
        <w:rPr>
          <w:lang w:eastAsia="zh-TW"/>
        </w:rPr>
      </w:pPr>
      <w:r w:rsidRPr="00A23C38">
        <w:t>英文譯名：</w:t>
      </w:r>
      <w:r w:rsidR="00CD4651">
        <w:t>Seminar</w:t>
      </w:r>
      <w:r w:rsidR="00DF0FC9">
        <w:rPr>
          <w:rFonts w:hint="eastAsia"/>
          <w:lang w:eastAsia="zh-TW"/>
        </w:rPr>
        <w:t>:</w:t>
      </w:r>
      <w:r w:rsidR="00CD4651">
        <w:t xml:space="preserve"> </w:t>
      </w:r>
      <w:r w:rsidR="00DF0FC9" w:rsidRPr="00A23C38">
        <w:t>Curriculum</w:t>
      </w:r>
      <w:r w:rsidR="00CD4651">
        <w:t xml:space="preserve"> </w:t>
      </w:r>
      <w:r w:rsidR="00DF0FC9">
        <w:rPr>
          <w:lang w:eastAsia="zh-TW"/>
        </w:rPr>
        <w:t>Study</w:t>
      </w:r>
      <w:r w:rsidR="00CD4651">
        <w:t xml:space="preserve">          </w:t>
      </w:r>
      <w:r w:rsidR="003C52BF" w:rsidRPr="00A23C38">
        <w:rPr>
          <w:rFonts w:eastAsia="無極豪楷體"/>
        </w:rPr>
        <w:t xml:space="preserve"> </w:t>
      </w:r>
      <w:r w:rsidR="009D187B" w:rsidRPr="00A23C38">
        <w:rPr>
          <w:rFonts w:eastAsia="無極豪楷體" w:hint="eastAsia"/>
          <w:lang w:eastAsia="zh-TW"/>
        </w:rPr>
        <w:t xml:space="preserve">  </w:t>
      </w:r>
      <w:r w:rsidRPr="00A23C38">
        <w:t>授課老師：蔡清田</w:t>
      </w:r>
      <w:r w:rsidRPr="00A23C38">
        <w:t xml:space="preserve"> </w:t>
      </w:r>
      <w:r w:rsidR="00B86886" w:rsidRPr="00A23C38">
        <w:rPr>
          <w:rFonts w:hint="eastAsia"/>
          <w:lang w:eastAsia="zh-TW"/>
        </w:rPr>
        <w:t>教授</w:t>
      </w:r>
    </w:p>
    <w:p w:rsidR="00AD53AD" w:rsidRPr="00A23C38" w:rsidRDefault="00AD53AD">
      <w:r w:rsidRPr="00A23C38">
        <w:t>分機號碼：</w:t>
      </w:r>
      <w:r w:rsidRPr="00A23C38">
        <w:t xml:space="preserve">        </w:t>
      </w:r>
      <w:r w:rsidR="003C52BF" w:rsidRPr="00A23C38">
        <w:t>36402</w:t>
      </w:r>
      <w:r w:rsidRPr="00A23C38">
        <w:t xml:space="preserve">           </w:t>
      </w:r>
      <w:r w:rsidR="003C52BF" w:rsidRPr="00A23C38">
        <w:rPr>
          <w:rFonts w:hint="eastAsia"/>
          <w:lang w:eastAsia="zh-TW"/>
        </w:rPr>
        <w:t xml:space="preserve"> </w:t>
      </w:r>
      <w:r w:rsidRPr="00A23C38">
        <w:t xml:space="preserve"> </w:t>
      </w:r>
      <w:r w:rsidR="009D187B" w:rsidRPr="00A23C38">
        <w:rPr>
          <w:rFonts w:hint="eastAsia"/>
          <w:lang w:eastAsia="zh-TW"/>
        </w:rPr>
        <w:t xml:space="preserve">     </w:t>
      </w:r>
      <w:r w:rsidRPr="00A23C38">
        <w:t xml:space="preserve">E-mail: </w:t>
      </w:r>
      <w:hyperlink r:id="rId7" w:history="1">
        <w:r w:rsidRPr="00A23C38">
          <w:rPr>
            <w:rStyle w:val="a3"/>
            <w:color w:val="auto"/>
          </w:rPr>
          <w:t>ttcctt@ccu.edu.tw</w:t>
        </w:r>
      </w:hyperlink>
    </w:p>
    <w:p w:rsidR="00AD53AD" w:rsidRPr="00A23C38" w:rsidRDefault="00AD53AD">
      <w:pPr>
        <w:rPr>
          <w:rFonts w:ascii="華康儷楷書(P)" w:eastAsia="華康儷楷書(P)" w:hAnsi="華康儷楷書(P)"/>
        </w:rPr>
      </w:pPr>
      <w:r w:rsidRPr="00A23C38">
        <w:t>上課地點：教育學院</w:t>
      </w:r>
      <w:r w:rsidR="002200C2" w:rsidRPr="00A23C38">
        <w:t xml:space="preserve"> </w:t>
      </w:r>
      <w:r w:rsidR="009D187B" w:rsidRPr="00A23C38">
        <w:rPr>
          <w:rFonts w:hint="eastAsia"/>
          <w:lang w:eastAsia="zh-TW"/>
        </w:rPr>
        <w:t>509</w:t>
      </w:r>
      <w:r w:rsidR="003C52BF" w:rsidRPr="00A23C38">
        <w:t xml:space="preserve">            </w:t>
      </w:r>
      <w:r w:rsidR="007E1D74" w:rsidRPr="00A23C38">
        <w:rPr>
          <w:rFonts w:hint="eastAsia"/>
          <w:lang w:eastAsia="zh-TW"/>
        </w:rPr>
        <w:t xml:space="preserve">       </w:t>
      </w:r>
      <w:r w:rsidRPr="00A23C38">
        <w:t>上課時間</w:t>
      </w:r>
      <w:r w:rsidRPr="002046DE">
        <w:rPr>
          <w:color w:val="FF0000"/>
        </w:rPr>
        <w:t>週二</w:t>
      </w:r>
      <w:r w:rsidR="002200C2" w:rsidRPr="002046DE">
        <w:rPr>
          <w:rFonts w:hint="eastAsia"/>
          <w:color w:val="FF0000"/>
        </w:rPr>
        <w:t xml:space="preserve"> 1</w:t>
      </w:r>
      <w:r w:rsidR="00DF0FC9">
        <w:rPr>
          <w:color w:val="FF0000"/>
          <w:lang w:eastAsia="zh-TW"/>
        </w:rPr>
        <w:t>3</w:t>
      </w:r>
      <w:r w:rsidR="002200C2" w:rsidRPr="002046DE">
        <w:rPr>
          <w:rFonts w:hint="eastAsia"/>
          <w:color w:val="FF0000"/>
        </w:rPr>
        <w:t>：</w:t>
      </w:r>
      <w:r w:rsidR="002200C2" w:rsidRPr="002046DE">
        <w:rPr>
          <w:rFonts w:hint="eastAsia"/>
          <w:color w:val="FF0000"/>
        </w:rPr>
        <w:t>10</w:t>
      </w:r>
      <w:r w:rsidR="00A3714F">
        <w:rPr>
          <w:rFonts w:hint="eastAsia"/>
          <w:color w:val="FF0000"/>
          <w:lang w:eastAsia="zh-TW"/>
        </w:rPr>
        <w:t xml:space="preserve"> </w:t>
      </w:r>
      <w:r w:rsidR="002200C2" w:rsidRPr="002046DE">
        <w:rPr>
          <w:rFonts w:hint="eastAsia"/>
          <w:color w:val="FF0000"/>
        </w:rPr>
        <w:t>-</w:t>
      </w:r>
      <w:r w:rsidR="00A3714F">
        <w:rPr>
          <w:rFonts w:hint="eastAsia"/>
          <w:color w:val="FF0000"/>
          <w:lang w:eastAsia="zh-TW"/>
        </w:rPr>
        <w:t>-</w:t>
      </w:r>
      <w:r w:rsidR="002200C2" w:rsidRPr="002046DE">
        <w:rPr>
          <w:rFonts w:hint="eastAsia"/>
          <w:color w:val="FF0000"/>
        </w:rPr>
        <w:t>1</w:t>
      </w:r>
      <w:r w:rsidR="00DF0FC9">
        <w:rPr>
          <w:color w:val="FF0000"/>
          <w:lang w:eastAsia="zh-TW"/>
        </w:rPr>
        <w:t>4</w:t>
      </w:r>
      <w:r w:rsidR="002200C2" w:rsidRPr="002046DE">
        <w:rPr>
          <w:rFonts w:hint="eastAsia"/>
          <w:color w:val="FF0000"/>
        </w:rPr>
        <w:t>：</w:t>
      </w:r>
      <w:r w:rsidR="002200C2" w:rsidRPr="002046DE">
        <w:rPr>
          <w:rFonts w:hint="eastAsia"/>
          <w:color w:val="FF0000"/>
        </w:rPr>
        <w:t>00</w:t>
      </w:r>
    </w:p>
    <w:p w:rsidR="002200C2" w:rsidRPr="00A23C38" w:rsidRDefault="00AD53AD" w:rsidP="002200C2">
      <w:r w:rsidRPr="00A23C38">
        <w:rPr>
          <w:rFonts w:ascii="華康儷楷書(P)" w:eastAsia="華康儷楷書(P)" w:hAnsi="華康儷楷書(P)"/>
        </w:rPr>
        <w:t>教學目標：</w:t>
      </w:r>
      <w:r w:rsidR="002200C2" w:rsidRPr="00A23C38">
        <w:rPr>
          <w:rFonts w:hint="eastAsia"/>
        </w:rPr>
        <w:t>本學科旨在提供選修</w:t>
      </w:r>
      <w:r w:rsidR="00CD4651">
        <w:rPr>
          <w:rFonts w:hint="eastAsia"/>
          <w:lang w:eastAsia="zh-TW"/>
        </w:rPr>
        <w:t>書報討論</w:t>
      </w:r>
      <w:r w:rsidR="002200C2" w:rsidRPr="00A23C38">
        <w:rPr>
          <w:rFonts w:hint="eastAsia"/>
        </w:rPr>
        <w:t>之學生，系統地認識理解</w:t>
      </w:r>
      <w:r w:rsidR="00CD4651" w:rsidRPr="00A23C38">
        <w:rPr>
          <w:rFonts w:ascii="標楷體" w:eastAsia="標楷體" w:hAnsi="標楷體" w:cs="標楷體" w:hint="eastAsia"/>
        </w:rPr>
        <w:t>課程</w:t>
      </w:r>
      <w:r w:rsidR="002200C2" w:rsidRPr="00A23C38">
        <w:rPr>
          <w:rFonts w:hint="eastAsia"/>
        </w:rPr>
        <w:t>研究之概念，並嘗試從討論與練習中應用分析綜合評鑑研究的實作能力，奠定從事研究之實踐能力</w:t>
      </w:r>
      <w:r w:rsidR="002200C2" w:rsidRPr="00513B89">
        <w:rPr>
          <w:rFonts w:asciiTheme="majorEastAsia" w:eastAsiaTheme="majorEastAsia" w:hAnsiTheme="majorEastAsia" w:hint="eastAsia"/>
        </w:rPr>
        <w:t>，</w:t>
      </w:r>
      <w:r w:rsidR="00513B89" w:rsidRPr="00513B89">
        <w:rPr>
          <w:rFonts w:asciiTheme="majorEastAsia" w:eastAsiaTheme="majorEastAsia" w:hAnsiTheme="majorEastAsia"/>
        </w:rPr>
        <w:t>呼應</w:t>
      </w:r>
      <w:r w:rsidR="00513B89" w:rsidRPr="00513B89">
        <w:rPr>
          <w:rFonts w:asciiTheme="majorEastAsia" w:eastAsiaTheme="majorEastAsia" w:hAnsiTheme="majorEastAsia"/>
          <w:color w:val="222222"/>
          <w:shd w:val="clear" w:color="auto" w:fill="FFFFFF"/>
        </w:rPr>
        <w:t>聯合國永續發展目標SDG4優質教育目標確保有教無類、公平及高品質的教育及提倡終身學習</w:t>
      </w:r>
      <w:r w:rsidR="002200C2" w:rsidRPr="00513B89">
        <w:rPr>
          <w:rFonts w:asciiTheme="majorEastAsia" w:eastAsiaTheme="majorEastAsia" w:hAnsiTheme="majorEastAsia" w:hint="eastAsia"/>
        </w:rPr>
        <w:t>。</w:t>
      </w:r>
    </w:p>
    <w:p w:rsidR="00B817AC" w:rsidRPr="00A23C38" w:rsidRDefault="00B817AC" w:rsidP="002200C2">
      <w:pPr>
        <w:ind w:left="1200" w:hanging="1200"/>
        <w:rPr>
          <w:rFonts w:eastAsia="標楷體"/>
          <w:szCs w:val="24"/>
        </w:rPr>
      </w:pPr>
      <w:r w:rsidRPr="00A23C38">
        <w:rPr>
          <w:rFonts w:eastAsia="標楷體" w:hAnsi="標楷體"/>
          <w:szCs w:val="24"/>
        </w:rPr>
        <w:t>本</w:t>
      </w:r>
      <w:r w:rsidRPr="00A23C38">
        <w:rPr>
          <w:rFonts w:eastAsia="標楷體" w:hAnsi="標楷體" w:hint="eastAsia"/>
          <w:szCs w:val="24"/>
        </w:rPr>
        <w:t>教學</w:t>
      </w:r>
      <w:r w:rsidRPr="00A23C38">
        <w:rPr>
          <w:rFonts w:eastAsia="標楷體" w:hAnsi="標楷體"/>
          <w:szCs w:val="24"/>
        </w:rPr>
        <w:t>目標與</w:t>
      </w:r>
      <w:r w:rsidRPr="00A23C38">
        <w:rPr>
          <w:rFonts w:eastAsia="標楷體" w:hAnsi="標楷體" w:hint="eastAsia"/>
          <w:szCs w:val="24"/>
        </w:rPr>
        <w:t>教育</w:t>
      </w:r>
      <w:r w:rsidR="003C52BF" w:rsidRPr="00A23C38">
        <w:rPr>
          <w:rFonts w:eastAsia="標楷體" w:hAnsi="標楷體"/>
          <w:szCs w:val="24"/>
        </w:rPr>
        <w:t>所研究生核心能力指標相關</w:t>
      </w:r>
      <w:r w:rsidRPr="00A23C38">
        <w:rPr>
          <w:rFonts w:eastAsia="標楷體" w:hAnsi="標楷體"/>
          <w:szCs w:val="24"/>
        </w:rPr>
        <w:t>程度如下（</w:t>
      </w:r>
      <w:r w:rsidRPr="00A23C38">
        <w:rPr>
          <w:rFonts w:eastAsia="標楷體"/>
          <w:szCs w:val="24"/>
        </w:rPr>
        <w:t>5</w:t>
      </w:r>
      <w:r w:rsidRPr="00A23C38">
        <w:rPr>
          <w:rFonts w:eastAsia="標楷體" w:hAnsi="標楷體"/>
          <w:szCs w:val="24"/>
        </w:rPr>
        <w:t>分代表完全符合）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1029"/>
        <w:gridCol w:w="1134"/>
      </w:tblGrid>
      <w:tr w:rsidR="00B817AC" w:rsidRPr="00A23C38" w:rsidTr="005D1E72">
        <w:tc>
          <w:tcPr>
            <w:tcW w:w="4068" w:type="dxa"/>
            <w:vMerge w:val="restart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核心能力</w:t>
            </w:r>
          </w:p>
        </w:tc>
        <w:tc>
          <w:tcPr>
            <w:tcW w:w="4971" w:type="dxa"/>
            <w:gridSpan w:val="5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相關程度</w:t>
            </w:r>
          </w:p>
        </w:tc>
      </w:tr>
      <w:tr w:rsidR="00B817AC" w:rsidRPr="00A23C38" w:rsidTr="005D1E72">
        <w:tc>
          <w:tcPr>
            <w:tcW w:w="4068" w:type="dxa"/>
            <w:vMerge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具備教育基礎研究專業知能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運用教育研究方法能力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B817AC" w:rsidRPr="00A23C38" w:rsidTr="005D1E72">
        <w:tc>
          <w:tcPr>
            <w:tcW w:w="4068" w:type="dxa"/>
          </w:tcPr>
          <w:p w:rsidR="00B817AC" w:rsidRPr="00B17AA9" w:rsidRDefault="00B17AA9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17AA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具備教育專業知能、情操暨社會與情緒學習能</w:t>
            </w:r>
            <w:r w:rsidRPr="00B17AA9">
              <w:rPr>
                <w:rFonts w:ascii="標楷體" w:eastAsia="標楷體" w:hAnsi="標楷體" w:hint="eastAsia"/>
                <w:szCs w:val="24"/>
              </w:rPr>
              <w:t>力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23C38">
              <w:rPr>
                <w:rFonts w:ascii="標楷體" w:eastAsia="標楷體" w:hAnsi="標楷體" w:cs="Arial"/>
                <w:szCs w:val="24"/>
                <w:shd w:val="clear" w:color="auto" w:fill="FFFFFF"/>
              </w:rPr>
              <w:t>具備教育問題解決、批判思考能力</w:t>
            </w:r>
          </w:p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cs="Arial"/>
                <w:szCs w:val="24"/>
                <w:shd w:val="clear" w:color="auto" w:fill="FFFFFF"/>
              </w:rPr>
              <w:t>暨教育實踐智慧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展現國際前瞻視野與在地教育關懷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</w:tbl>
    <w:p w:rsidR="006300DE" w:rsidRPr="00513B89" w:rsidRDefault="006300DE" w:rsidP="006300DE">
      <w:r w:rsidRPr="00513B89">
        <w:rPr>
          <w:rFonts w:ascii="華康儷楷書(P)" w:eastAsia="華康儷楷書(P)" w:hAnsi="華康儷楷書(P)"/>
        </w:rPr>
        <w:t>授課大綱與進度：</w:t>
      </w:r>
      <w:r w:rsidRPr="00513B89">
        <w:t xml:space="preserve"> 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</w:t>
      </w:r>
      <w:proofErr w:type="gramStart"/>
      <w:r w:rsidRPr="00513B89">
        <w:t>週</w:t>
      </w:r>
      <w:proofErr w:type="gramEnd"/>
      <w:r w:rsidR="006300DE" w:rsidRPr="00513B89">
        <w:rPr>
          <w:rFonts w:asciiTheme="majorEastAsia" w:eastAsiaTheme="majorEastAsia" w:hAnsiTheme="majorEastAsia" w:hint="eastAsia"/>
          <w:b/>
          <w:lang w:eastAsia="zh-TW"/>
        </w:rPr>
        <w:t>課程研究導論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:1</w:t>
      </w:r>
      <w:r w:rsidR="00FF7E76" w:rsidRPr="00513B89">
        <w:rPr>
          <w:rFonts w:asciiTheme="majorEastAsia" w:eastAsiaTheme="majorEastAsia" w:hAnsiTheme="majorEastAsia"/>
          <w:b/>
          <w:lang w:eastAsia="zh-TW"/>
        </w:rPr>
        <w:t>.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教育類報告與論文撰寫格式；2</w:t>
      </w:r>
      <w:r w:rsidR="00FF7E76" w:rsidRPr="00513B89">
        <w:rPr>
          <w:rFonts w:asciiTheme="majorEastAsia" w:eastAsiaTheme="majorEastAsia" w:hAnsiTheme="majorEastAsia"/>
          <w:b/>
          <w:lang w:eastAsia="zh-TW"/>
        </w:rPr>
        <w:t>.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研究資料蒐集分析方法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2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博士論文計畫研究主題</w:t>
      </w:r>
      <w:r w:rsidR="008B1CCF" w:rsidRPr="00513B89">
        <w:rPr>
          <w:rFonts w:asciiTheme="majorEastAsia" w:eastAsiaTheme="majorEastAsia" w:hAnsiTheme="majorEastAsia" w:hint="eastAsia"/>
          <w:b/>
          <w:lang w:eastAsia="zh-TW"/>
        </w:rPr>
        <w:t>探究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3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問題背景與研究動機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4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研究目的</w:t>
      </w:r>
      <w:proofErr w:type="gramStart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與待答問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題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5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名詞釋義 研究範圍與限制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6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文獻探討(一)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="00763383" w:rsidRPr="00513B89">
        <w:rPr>
          <w:rFonts w:asciiTheme="majorEastAsia" w:eastAsiaTheme="majorEastAsia" w:hAnsiTheme="majorEastAsia"/>
          <w:b/>
          <w:lang w:eastAsia="zh-TW"/>
        </w:rPr>
        <w:t>1.</w:t>
      </w:r>
      <w:r w:rsidR="008C351C" w:rsidRPr="00513B89">
        <w:rPr>
          <w:rFonts w:asciiTheme="majorEastAsia" w:eastAsiaTheme="majorEastAsia" w:hAnsiTheme="majorEastAsia" w:hint="eastAsia"/>
          <w:b/>
          <w:lang w:eastAsia="zh-TW"/>
        </w:rPr>
        <w:t>體育課程</w:t>
      </w:r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。2</w:t>
      </w:r>
      <w:r w:rsidR="00763383" w:rsidRPr="00513B89">
        <w:rPr>
          <w:rFonts w:asciiTheme="majorEastAsia" w:eastAsiaTheme="majorEastAsia" w:hAnsiTheme="majorEastAsia"/>
          <w:b/>
          <w:lang w:eastAsia="zh-TW"/>
        </w:rPr>
        <w:t>.</w:t>
      </w:r>
      <w:r w:rsidR="008C351C" w:rsidRPr="00513B89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8C351C" w:rsidRPr="00513B89">
        <w:rPr>
          <w:rFonts w:ascii="Arial" w:hAnsi="Arial" w:cs="Arial"/>
          <w:shd w:val="clear" w:color="auto" w:fill="FFFFFF"/>
        </w:rPr>
        <w:t>健體領綱</w:t>
      </w:r>
      <w:proofErr w:type="gramEnd"/>
      <w:r w:rsidR="008C351C" w:rsidRPr="00513B89">
        <w:rPr>
          <w:rFonts w:ascii="Arial" w:hAnsi="Arial" w:cs="Arial"/>
          <w:shd w:val="clear" w:color="auto" w:fill="FFFFFF"/>
        </w:rPr>
        <w:t>核心素養與學習重點</w:t>
      </w:r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。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7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文獻探討(二)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="00763383" w:rsidRPr="00513B89">
        <w:rPr>
          <w:rFonts w:asciiTheme="majorEastAsia" w:eastAsiaTheme="majorEastAsia" w:hAnsiTheme="majorEastAsia"/>
          <w:b/>
          <w:lang w:eastAsia="zh-TW"/>
        </w:rPr>
        <w:t>3</w:t>
      </w:r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.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 xml:space="preserve">核心素養的學校本位課程發展。                </w:t>
      </w:r>
    </w:p>
    <w:p w:rsidR="00FF7E76" w:rsidRPr="00513B89" w:rsidRDefault="00A967D6" w:rsidP="00060963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8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研究設計與實施(一)研究方法</w:t>
      </w:r>
    </w:p>
    <w:p w:rsidR="006300DE" w:rsidRPr="00513B89" w:rsidRDefault="00A967D6" w:rsidP="006300DE">
      <w:r w:rsidRPr="00513B89">
        <w:t>第</w:t>
      </w:r>
      <w:r w:rsidRPr="00513B89">
        <w:rPr>
          <w:rFonts w:hint="eastAsia"/>
          <w:lang w:eastAsia="zh-TW"/>
        </w:rPr>
        <w:t>9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研究設計與實施(二)研究設計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10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研究設計與實施(三)個案選擇與研究者的角色</w:t>
      </w:r>
    </w:p>
    <w:p w:rsidR="00FF7E76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11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研究設計與實施(四)資料蒐集與分析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12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</w:rPr>
        <w:t>研究設計與實施(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五</w:t>
      </w:r>
      <w:r w:rsidR="00FF7E76" w:rsidRPr="00513B89">
        <w:rPr>
          <w:rFonts w:asciiTheme="majorEastAsia" w:eastAsiaTheme="majorEastAsia" w:hAnsiTheme="majorEastAsia" w:hint="eastAsia"/>
          <w:b/>
        </w:rPr>
        <w:t>)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研究的信實度</w:t>
      </w:r>
    </w:p>
    <w:p w:rsidR="00405E84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13</w:t>
      </w:r>
      <w:proofErr w:type="gramStart"/>
      <w:r w:rsidRPr="00513B89">
        <w:t>週</w:t>
      </w:r>
      <w:proofErr w:type="gramEnd"/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研究設計與實施(六)研究期程與論文預定章節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14</w:t>
      </w:r>
      <w:proofErr w:type="gramStart"/>
      <w:r w:rsidRPr="00513B89">
        <w:t>週</w:t>
      </w:r>
      <w:proofErr w:type="gramEnd"/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研究設計與實施(七)研究倫理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15</w:t>
      </w:r>
      <w:proofErr w:type="gramStart"/>
      <w:r w:rsidRPr="00513B89">
        <w:t>週</w:t>
      </w:r>
      <w:proofErr w:type="gramEnd"/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參考文獻(一)中文參考文獻(二)西文參考文獻</w:t>
      </w:r>
    </w:p>
    <w:p w:rsidR="006300DE" w:rsidRDefault="00A967D6" w:rsidP="006300DE">
      <w:pPr>
        <w:rPr>
          <w:rFonts w:asciiTheme="majorEastAsia" w:eastAsiaTheme="majorEastAsia" w:hAnsiTheme="majorEastAsia"/>
          <w:b/>
          <w:color w:val="FF0000"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16</w:t>
      </w:r>
      <w:r w:rsidRPr="00513B89">
        <w:t>週</w:t>
      </w:r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附錄圖表</w:t>
      </w:r>
      <w:r w:rsidRPr="00513B89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Pr="00BD00B1">
        <w:t>第</w:t>
      </w:r>
      <w:r>
        <w:rPr>
          <w:rFonts w:hint="eastAsia"/>
          <w:lang w:eastAsia="zh-TW"/>
        </w:rPr>
        <w:t>17</w:t>
      </w:r>
      <w:r w:rsidRPr="00BD00B1">
        <w:t>週</w:t>
      </w:r>
      <w:r>
        <w:rPr>
          <w:rFonts w:hint="eastAsia"/>
          <w:lang w:eastAsia="zh-TW"/>
        </w:rPr>
        <w:t>彈性自主學習</w:t>
      </w:r>
      <w:r>
        <w:rPr>
          <w:rFonts w:hint="eastAsia"/>
          <w:lang w:eastAsia="zh-TW"/>
        </w:rPr>
        <w:t xml:space="preserve"> </w:t>
      </w:r>
      <w:r w:rsidRPr="00BD00B1">
        <w:t>第</w:t>
      </w:r>
      <w:r>
        <w:rPr>
          <w:rFonts w:hint="eastAsia"/>
          <w:lang w:eastAsia="zh-TW"/>
        </w:rPr>
        <w:t>18</w:t>
      </w:r>
      <w:r w:rsidRPr="00BD00B1">
        <w:t>週</w:t>
      </w:r>
      <w:r>
        <w:rPr>
          <w:rFonts w:hint="eastAsia"/>
          <w:lang w:eastAsia="zh-TW"/>
        </w:rPr>
        <w:t>期末統整</w:t>
      </w:r>
    </w:p>
    <w:p w:rsidR="00AD53AD" w:rsidRPr="00A23C38" w:rsidRDefault="00AD53AD" w:rsidP="006300DE">
      <w:r w:rsidRPr="00A23C38">
        <w:t>教學活動︰討論指定教學內容，專文閱讀與討論。</w:t>
      </w:r>
    </w:p>
    <w:p w:rsidR="00AD53AD" w:rsidRPr="00A23C38" w:rsidRDefault="00AD53AD">
      <w:pPr>
        <w:rPr>
          <w:rFonts w:ascii="華康儷楷書(P)" w:eastAsia="華康儷楷書(P)" w:hAnsi="華康儷楷書(P)"/>
        </w:rPr>
      </w:pPr>
      <w:r w:rsidRPr="00A23C38">
        <w:t>評鑑方式︰閱讀資料，參與討論，簡答問題或平時測驗；繳交實作成果。</w:t>
      </w:r>
    </w:p>
    <w:p w:rsidR="00AD53AD" w:rsidRPr="00A23C38" w:rsidRDefault="00AD53AD">
      <w:pPr>
        <w:rPr>
          <w:rFonts w:ascii="華康儷楷書(P)" w:eastAsia="華康儷楷書(P)"/>
          <w:szCs w:val="24"/>
          <w:lang w:eastAsia="zh-TW"/>
        </w:rPr>
      </w:pPr>
      <w:r w:rsidRPr="00A23C38">
        <w:rPr>
          <w:rFonts w:ascii="華康儷楷書(P)" w:eastAsia="華康儷楷書(P)" w:hAnsi="華康儷楷書(P)"/>
        </w:rPr>
        <w:lastRenderedPageBreak/>
        <w:t>參考書籍：</w:t>
      </w:r>
      <w:r w:rsidR="007F0AEE" w:rsidRPr="00A23C38">
        <w:rPr>
          <w:rFonts w:ascii="Arial" w:hAnsi="Arial" w:cs="Arial"/>
          <w:b/>
          <w:bCs/>
          <w:szCs w:val="24"/>
        </w:rPr>
        <w:t>「請尊重智慧財產權，不得非法影印教師指定之教科書籍」。</w:t>
      </w:r>
    </w:p>
    <w:p w:rsidR="00CF2F4A" w:rsidRPr="00A23C38" w:rsidRDefault="00AB1B84" w:rsidP="003F41B7">
      <w:pPr>
        <w:rPr>
          <w:b/>
        </w:rPr>
      </w:pPr>
      <w:r w:rsidRPr="00A23C38">
        <w:rPr>
          <w:rFonts w:hint="eastAsia"/>
          <w:b/>
          <w:lang w:eastAsia="zh-TW"/>
        </w:rPr>
        <w:t>@</w:t>
      </w:r>
      <w:r w:rsidR="00CF2F4A" w:rsidRPr="00A23C38">
        <w:rPr>
          <w:rFonts w:hint="eastAsia"/>
          <w:b/>
          <w:lang w:eastAsia="zh-TW"/>
        </w:rPr>
        <w:t>研究方法</w:t>
      </w:r>
      <w:r w:rsidR="00CF2F4A" w:rsidRPr="00A23C38">
        <w:rPr>
          <w:rFonts w:hint="eastAsia"/>
          <w:b/>
          <w:lang w:eastAsia="zh-TW"/>
        </w:rPr>
        <w:t>:</w:t>
      </w:r>
    </w:p>
    <w:p w:rsidR="00E20619" w:rsidRPr="00A23C38" w:rsidRDefault="00E20619" w:rsidP="00E20619">
      <w:pPr>
        <w:ind w:left="480" w:hangingChars="200" w:hanging="480"/>
      </w:pPr>
      <w:r w:rsidRPr="00A23C38">
        <w:rPr>
          <w:szCs w:val="24"/>
        </w:rPr>
        <w:t>Farrell, Thomas S.C. (October 2013).</w:t>
      </w:r>
      <w:r w:rsidRPr="00A23C38">
        <w:rPr>
          <w:rStyle w:val="apple-converted-space"/>
          <w:szCs w:val="24"/>
        </w:rPr>
        <w:t> </w:t>
      </w:r>
      <w:r w:rsidRPr="00A23C38">
        <w:rPr>
          <w:rStyle w:val="ae"/>
          <w:szCs w:val="24"/>
        </w:rPr>
        <w:t>Reflective Practice in ESL Teacher Development Groups</w:t>
      </w:r>
      <w:r w:rsidRPr="00A23C38">
        <w:rPr>
          <w:szCs w:val="24"/>
        </w:rPr>
        <w:t>.</w:t>
      </w:r>
      <w:r w:rsidRPr="00A23C38">
        <w:t xml:space="preserve"> Retrieved from </w:t>
      </w:r>
      <w:hyperlink r:id="rId8" w:history="1">
        <w:r w:rsidRPr="00A23C38">
          <w:rPr>
            <w:rStyle w:val="a3"/>
            <w:color w:val="auto"/>
          </w:rPr>
          <w:t>http://www.palgraveconnect.com.ezproxy.lib.ncyu.edu.tw/pc/doifinder/10.1057/9781137317193.0001</w:t>
        </w:r>
      </w:hyperlink>
    </w:p>
    <w:p w:rsidR="00E20619" w:rsidRPr="00A23C38" w:rsidRDefault="00E20619" w:rsidP="00E20619">
      <w:pPr>
        <w:rPr>
          <w:rFonts w:eastAsia="華康儷楷書(P)"/>
          <w:lang w:eastAsia="zh-TW"/>
        </w:rPr>
      </w:pPr>
      <w:r w:rsidRPr="00A23C38">
        <w:rPr>
          <w:rFonts w:eastAsia="華康儷楷書(P)"/>
          <w:lang w:eastAsia="zh-TW"/>
        </w:rPr>
        <w:t xml:space="preserve">Goodson, I.F. (1992). </w:t>
      </w:r>
      <w:r w:rsidRPr="00A23C38">
        <w:rPr>
          <w:rFonts w:eastAsia="華康儷楷書(P)"/>
          <w:i/>
          <w:lang w:eastAsia="zh-TW"/>
        </w:rPr>
        <w:t xml:space="preserve">Studying Teachers’ Lives. </w:t>
      </w:r>
      <w:r w:rsidRPr="00A23C38">
        <w:rPr>
          <w:rFonts w:eastAsia="華康儷楷書(P)"/>
          <w:lang w:eastAsia="zh-TW"/>
        </w:rPr>
        <w:t>London: Routledge.</w:t>
      </w:r>
    </w:p>
    <w:p w:rsidR="00B86886" w:rsidRPr="00A23C38" w:rsidRDefault="00750393" w:rsidP="00E20619">
      <w:pPr>
        <w:ind w:left="480" w:hangingChars="200" w:hanging="480"/>
        <w:rPr>
          <w:rFonts w:eastAsia="華康儷楷書(P)"/>
          <w:lang w:eastAsia="zh-TW"/>
        </w:rPr>
      </w:pPr>
      <w:r w:rsidRPr="00A23C38">
        <w:rPr>
          <w:szCs w:val="24"/>
        </w:rPr>
        <w:t>Lawrence-Wilkes</w:t>
      </w:r>
      <w:r w:rsidR="00E20619" w:rsidRPr="00A23C38">
        <w:rPr>
          <w:szCs w:val="24"/>
        </w:rPr>
        <w:t>, L.</w:t>
      </w:r>
      <w:r w:rsidRPr="00A23C38">
        <w:rPr>
          <w:szCs w:val="24"/>
        </w:rPr>
        <w:t xml:space="preserve"> and Ashmore</w:t>
      </w:r>
      <w:r w:rsidR="00E20619" w:rsidRPr="00A23C38">
        <w:rPr>
          <w:szCs w:val="24"/>
        </w:rPr>
        <w:t>, L</w:t>
      </w:r>
      <w:r w:rsidRPr="00A23C38">
        <w:rPr>
          <w:szCs w:val="24"/>
        </w:rPr>
        <w:t>. (April 2014).</w:t>
      </w:r>
      <w:r w:rsidRPr="00A23C38">
        <w:rPr>
          <w:rStyle w:val="apple-converted-space"/>
          <w:szCs w:val="24"/>
        </w:rPr>
        <w:t> </w:t>
      </w:r>
      <w:r w:rsidRPr="00A23C38">
        <w:rPr>
          <w:rStyle w:val="ae"/>
          <w:szCs w:val="24"/>
        </w:rPr>
        <w:t>The Reflective Practitioner in Professional Education</w:t>
      </w:r>
      <w:r w:rsidRPr="00A23C38">
        <w:rPr>
          <w:szCs w:val="24"/>
        </w:rPr>
        <w:t>. Retrieved from</w:t>
      </w:r>
      <w:r w:rsidRPr="00A23C38">
        <w:t xml:space="preserve"> </w:t>
      </w:r>
      <w:hyperlink r:id="rId9" w:history="1">
        <w:r w:rsidR="00E20619" w:rsidRPr="00A23C38">
          <w:rPr>
            <w:rStyle w:val="a3"/>
            <w:color w:val="auto"/>
          </w:rPr>
          <w:t>http://www.palgraveconnect.com.ezproxy.lib.ncyu.edu.tw/pc/doifinder/10.1057/9781137399595.0001</w:t>
        </w:r>
      </w:hyperlink>
      <w:r w:rsidR="00E20619" w:rsidRPr="00A23C38">
        <w:t xml:space="preserve"> </w:t>
      </w:r>
    </w:p>
    <w:p w:rsidR="00393671" w:rsidRPr="00A23C38" w:rsidRDefault="00CA2E69" w:rsidP="00393671">
      <w:pPr>
        <w:ind w:right="1106"/>
        <w:jc w:val="both"/>
        <w:rPr>
          <w:rFonts w:eastAsia="標楷體"/>
          <w:szCs w:val="24"/>
          <w:lang w:eastAsia="zh-TW"/>
        </w:rPr>
      </w:pPr>
      <w:r w:rsidRPr="00A23C38">
        <w:rPr>
          <w:rFonts w:eastAsia="標楷體" w:hint="eastAsia"/>
          <w:szCs w:val="24"/>
          <w:lang w:eastAsia="zh-TW"/>
        </w:rPr>
        <w:t>莊明貞</w:t>
      </w:r>
      <w:r w:rsidRPr="00A23C38">
        <w:rPr>
          <w:rFonts w:eastAsia="標楷體" w:hint="eastAsia"/>
          <w:szCs w:val="24"/>
          <w:lang w:eastAsia="zh-TW"/>
        </w:rPr>
        <w:t xml:space="preserve"> (2</w:t>
      </w:r>
      <w:r w:rsidRPr="00A23C38">
        <w:rPr>
          <w:rFonts w:eastAsia="標楷體"/>
          <w:szCs w:val="24"/>
          <w:lang w:eastAsia="zh-TW"/>
        </w:rPr>
        <w:t>010</w:t>
      </w:r>
      <w:r w:rsidRPr="00A23C38">
        <w:rPr>
          <w:rFonts w:eastAsia="標楷體" w:hint="eastAsia"/>
          <w:szCs w:val="24"/>
          <w:lang w:eastAsia="zh-TW"/>
        </w:rPr>
        <w:t>主編</w:t>
      </w:r>
      <w:r w:rsidRPr="00A23C38">
        <w:rPr>
          <w:rFonts w:eastAsia="標楷體"/>
          <w:szCs w:val="24"/>
          <w:lang w:eastAsia="zh-TW"/>
        </w:rPr>
        <w:t xml:space="preserve">) </w:t>
      </w:r>
      <w:r w:rsidRPr="006F764D">
        <w:rPr>
          <w:rFonts w:eastAsia="標楷體" w:hint="eastAsia"/>
          <w:szCs w:val="24"/>
          <w:u w:val="single"/>
          <w:lang w:eastAsia="zh-TW"/>
        </w:rPr>
        <w:t>敘事探究</w:t>
      </w:r>
      <w:r w:rsidRPr="00A23C38">
        <w:rPr>
          <w:rFonts w:eastAsia="標楷體" w:hint="eastAsia"/>
          <w:szCs w:val="24"/>
          <w:lang w:eastAsia="zh-TW"/>
        </w:rPr>
        <w:t>。心理。</w:t>
      </w:r>
    </w:p>
    <w:p w:rsidR="003F41B7" w:rsidRPr="00A23C38" w:rsidRDefault="003F41B7" w:rsidP="003F41B7">
      <w:pPr>
        <w:ind w:right="1106"/>
        <w:jc w:val="both"/>
        <w:rPr>
          <w:rFonts w:eastAsia="標楷體"/>
          <w:szCs w:val="24"/>
        </w:rPr>
      </w:pPr>
      <w:r w:rsidRPr="00A23C38">
        <w:rPr>
          <w:rFonts w:eastAsia="標楷體"/>
          <w:szCs w:val="24"/>
        </w:rPr>
        <w:t>蔡清田</w:t>
      </w:r>
      <w:r w:rsidRPr="00A23C38">
        <w:rPr>
          <w:rFonts w:eastAsia="標楷體"/>
          <w:szCs w:val="24"/>
        </w:rPr>
        <w:t xml:space="preserve"> (200</w:t>
      </w:r>
      <w:r w:rsidRPr="00A23C38">
        <w:rPr>
          <w:rFonts w:eastAsia="標楷體" w:hint="eastAsia"/>
          <w:szCs w:val="24"/>
        </w:rPr>
        <w:t>4</w:t>
      </w:r>
      <w:r w:rsidRPr="00A23C38">
        <w:rPr>
          <w:rFonts w:eastAsia="標楷體"/>
          <w:szCs w:val="24"/>
        </w:rPr>
        <w:t>主譯</w:t>
      </w:r>
      <w:r w:rsidRPr="00A23C38">
        <w:rPr>
          <w:rFonts w:eastAsia="標楷體"/>
          <w:szCs w:val="24"/>
        </w:rPr>
        <w:t xml:space="preserve">) </w:t>
      </w:r>
      <w:r w:rsidRPr="006F764D">
        <w:rPr>
          <w:rFonts w:eastAsia="標楷體" w:hAnsi="標楷體"/>
          <w:szCs w:val="24"/>
          <w:u w:val="single"/>
        </w:rPr>
        <w:t>課程行動研究</w:t>
      </w:r>
      <w:r w:rsidRPr="00A23C38">
        <w:rPr>
          <w:rFonts w:eastAsia="標楷體"/>
          <w:szCs w:val="24"/>
        </w:rPr>
        <w:t>。復文。</w:t>
      </w:r>
    </w:p>
    <w:p w:rsidR="003F41B7" w:rsidRPr="00A23C38" w:rsidRDefault="003F41B7" w:rsidP="003F41B7">
      <w:pPr>
        <w:rPr>
          <w:rFonts w:eastAsia="標楷體" w:hAnsi="標楷體"/>
        </w:rPr>
      </w:pPr>
      <w:r w:rsidRPr="00A23C38">
        <w:rPr>
          <w:rFonts w:eastAsia="標楷體" w:hAnsi="標楷體"/>
        </w:rPr>
        <w:t>蔡清田</w:t>
      </w:r>
      <w:r w:rsidRPr="00A23C38">
        <w:rPr>
          <w:rFonts w:eastAsia="標楷體"/>
        </w:rPr>
        <w:t xml:space="preserve"> (201</w:t>
      </w:r>
      <w:r w:rsidRPr="00A23C38">
        <w:rPr>
          <w:rFonts w:eastAsia="標楷體" w:hint="eastAsia"/>
        </w:rPr>
        <w:t>3</w:t>
      </w:r>
      <w:r w:rsidRPr="00A23C38">
        <w:rPr>
          <w:rFonts w:eastAsia="標楷體"/>
        </w:rPr>
        <w:t xml:space="preserve">) </w:t>
      </w:r>
      <w:r w:rsidRPr="006F764D">
        <w:rPr>
          <w:rFonts w:eastAsia="標楷體" w:hAnsi="標楷體" w:hint="eastAsia"/>
          <w:u w:val="single"/>
        </w:rPr>
        <w:t>教育行動研究新論</w:t>
      </w:r>
      <w:r w:rsidRPr="00A23C38">
        <w:rPr>
          <w:rFonts w:eastAsia="標楷體" w:hAnsi="標楷體"/>
        </w:rPr>
        <w:t>。</w:t>
      </w:r>
      <w:r w:rsidRPr="00A23C38">
        <w:rPr>
          <w:rFonts w:eastAsia="標楷體" w:hAnsi="標楷體" w:hint="eastAsia"/>
        </w:rPr>
        <w:t>五南</w:t>
      </w:r>
      <w:r w:rsidRPr="00A23C38">
        <w:rPr>
          <w:rFonts w:eastAsia="標楷體" w:hAnsi="標楷體"/>
        </w:rPr>
        <w:t>。</w:t>
      </w:r>
    </w:p>
    <w:p w:rsidR="00B80BB2" w:rsidRPr="00A23C38" w:rsidRDefault="00B80BB2" w:rsidP="00B80BB2">
      <w:pPr>
        <w:ind w:left="600" w:hangingChars="250" w:hanging="600"/>
        <w:rPr>
          <w:rFonts w:eastAsia="標楷體"/>
          <w:szCs w:val="24"/>
        </w:rPr>
      </w:pPr>
      <w:r w:rsidRPr="00A23C38">
        <w:rPr>
          <w:rFonts w:eastAsia="標楷體" w:hAnsi="標楷體"/>
          <w:szCs w:val="24"/>
        </w:rPr>
        <w:t>蔡清田</w:t>
      </w:r>
      <w:r w:rsidRPr="00A23C38">
        <w:rPr>
          <w:rFonts w:eastAsia="標楷體"/>
          <w:szCs w:val="24"/>
        </w:rPr>
        <w:t>(20</w:t>
      </w:r>
      <w:r w:rsidRPr="00A23C38">
        <w:rPr>
          <w:rFonts w:eastAsia="標楷體"/>
          <w:bCs/>
          <w:szCs w:val="24"/>
        </w:rPr>
        <w:t>1</w:t>
      </w:r>
      <w:r w:rsidRPr="00A23C38">
        <w:rPr>
          <w:rFonts w:eastAsia="標楷體" w:hint="eastAsia"/>
          <w:bCs/>
          <w:szCs w:val="24"/>
          <w:lang w:eastAsia="zh-TW"/>
        </w:rPr>
        <w:t>3</w:t>
      </w:r>
      <w:r w:rsidRPr="00A23C38">
        <w:rPr>
          <w:rFonts w:eastAsia="標楷體"/>
          <w:szCs w:val="24"/>
        </w:rPr>
        <w:t>)</w:t>
      </w:r>
      <w:r w:rsidRPr="00A23C38">
        <w:rPr>
          <w:rFonts w:eastAsia="標楷體" w:hint="eastAsia"/>
          <w:szCs w:val="24"/>
          <w:lang w:eastAsia="zh-TW"/>
        </w:rPr>
        <w:t>主編</w:t>
      </w:r>
      <w:r w:rsidRPr="00A23C38">
        <w:rPr>
          <w:rFonts w:eastAsia="標楷體" w:hAnsi="標楷體"/>
          <w:szCs w:val="24"/>
        </w:rPr>
        <w:t>。</w:t>
      </w:r>
      <w:r w:rsidRPr="006F764D">
        <w:rPr>
          <w:rFonts w:eastAsia="標楷體" w:hAnsi="標楷體" w:hint="eastAsia"/>
          <w:szCs w:val="24"/>
          <w:u w:val="single"/>
          <w:lang w:eastAsia="zh-TW"/>
        </w:rPr>
        <w:t>社會科學研究方法新論</w:t>
      </w:r>
      <w:r w:rsidRPr="00A23C38">
        <w:rPr>
          <w:rFonts w:eastAsia="標楷體" w:hAnsi="標楷體"/>
          <w:szCs w:val="24"/>
        </w:rPr>
        <w:t>。五南。</w:t>
      </w:r>
    </w:p>
    <w:p w:rsidR="00AB5DA1" w:rsidRPr="00A23C38" w:rsidRDefault="00AB5DA1" w:rsidP="00AB5DA1">
      <w:pPr>
        <w:ind w:left="600" w:hangingChars="250" w:hanging="600"/>
        <w:rPr>
          <w:rFonts w:eastAsia="標楷體"/>
          <w:szCs w:val="24"/>
        </w:rPr>
      </w:pPr>
      <w:r w:rsidRPr="00A23C38">
        <w:rPr>
          <w:rFonts w:eastAsia="標楷體" w:hAnsi="標楷體" w:hint="eastAsia"/>
          <w:szCs w:val="24"/>
          <w:lang w:eastAsia="zh-TW"/>
        </w:rPr>
        <w:t>黃光雄</w:t>
      </w:r>
      <w:r w:rsidR="006F764D">
        <w:rPr>
          <w:rFonts w:ascii="標楷體" w:eastAsia="標楷體" w:hAnsi="標楷體" w:hint="eastAsia"/>
          <w:szCs w:val="24"/>
          <w:lang w:eastAsia="zh-TW"/>
        </w:rPr>
        <w:t>、</w:t>
      </w:r>
      <w:r w:rsidRPr="00A23C38">
        <w:rPr>
          <w:rFonts w:eastAsia="標楷體" w:hAnsi="標楷體"/>
          <w:szCs w:val="24"/>
        </w:rPr>
        <w:t>蔡清田</w:t>
      </w:r>
      <w:r w:rsidRPr="00A23C38">
        <w:rPr>
          <w:rFonts w:eastAsia="標楷體"/>
          <w:szCs w:val="24"/>
        </w:rPr>
        <w:t>(20</w:t>
      </w:r>
      <w:r w:rsidRPr="00A23C38">
        <w:rPr>
          <w:rFonts w:eastAsia="標楷體"/>
          <w:bCs/>
          <w:szCs w:val="24"/>
        </w:rPr>
        <w:t>1</w:t>
      </w:r>
      <w:r w:rsidR="006F764D">
        <w:rPr>
          <w:rFonts w:eastAsia="標楷體"/>
          <w:bCs/>
          <w:szCs w:val="24"/>
          <w:lang w:eastAsia="zh-TW"/>
        </w:rPr>
        <w:t>7</w:t>
      </w:r>
      <w:r w:rsidRPr="00A23C38">
        <w:rPr>
          <w:rFonts w:eastAsia="標楷體"/>
          <w:szCs w:val="24"/>
        </w:rPr>
        <w:t>)</w:t>
      </w:r>
      <w:r w:rsidRPr="00A23C38">
        <w:rPr>
          <w:rFonts w:eastAsia="標楷體" w:hAnsi="標楷體"/>
          <w:szCs w:val="24"/>
        </w:rPr>
        <w:t>。</w:t>
      </w:r>
      <w:r w:rsidRPr="006F764D">
        <w:rPr>
          <w:rFonts w:eastAsia="標楷體" w:hAnsi="標楷體"/>
          <w:szCs w:val="24"/>
          <w:u w:val="single"/>
        </w:rPr>
        <w:t>課程發展與設計</w:t>
      </w:r>
      <w:r w:rsidRPr="006F764D">
        <w:rPr>
          <w:rFonts w:eastAsia="標楷體" w:hAnsi="標楷體" w:hint="eastAsia"/>
          <w:szCs w:val="24"/>
          <w:u w:val="single"/>
          <w:lang w:eastAsia="zh-TW"/>
        </w:rPr>
        <w:t>新論</w:t>
      </w:r>
      <w:r w:rsidRPr="00A23C38">
        <w:rPr>
          <w:rFonts w:eastAsia="標楷體" w:hAnsi="標楷體"/>
          <w:szCs w:val="24"/>
        </w:rPr>
        <w:t>。五南。</w:t>
      </w:r>
    </w:p>
    <w:p w:rsidR="00CF2F4A" w:rsidRPr="00A23C38" w:rsidRDefault="00AB1B84" w:rsidP="003F41B7">
      <w:pPr>
        <w:rPr>
          <w:b/>
          <w:lang w:eastAsia="zh-TW"/>
        </w:rPr>
      </w:pPr>
      <w:r w:rsidRPr="00A23C38">
        <w:rPr>
          <w:rFonts w:hint="eastAsia"/>
          <w:b/>
          <w:lang w:eastAsia="zh-TW"/>
        </w:rPr>
        <w:t>@</w:t>
      </w:r>
      <w:r w:rsidR="008E7AAF" w:rsidRPr="00A23C38">
        <w:rPr>
          <w:rFonts w:hint="eastAsia"/>
          <w:b/>
          <w:lang w:eastAsia="zh-TW"/>
        </w:rPr>
        <w:t>學校本位課程</w:t>
      </w:r>
      <w:r w:rsidR="002B0E6C" w:rsidRPr="00A23C38">
        <w:rPr>
          <w:rFonts w:hint="eastAsia"/>
          <w:b/>
          <w:lang w:eastAsia="zh-TW"/>
        </w:rPr>
        <w:t>與核心素養</w:t>
      </w:r>
      <w:r w:rsidR="00CF2F4A" w:rsidRPr="00A23C38">
        <w:rPr>
          <w:rFonts w:hint="eastAsia"/>
          <w:b/>
          <w:lang w:eastAsia="zh-TW"/>
        </w:rPr>
        <w:t>:</w:t>
      </w:r>
    </w:p>
    <w:p w:rsidR="00402B77" w:rsidRPr="006F764D" w:rsidRDefault="00CF2F4A" w:rsidP="00402B77">
      <w:pPr>
        <w:rPr>
          <w:rFonts w:eastAsia="標楷體" w:hAnsi="標楷體"/>
        </w:rPr>
      </w:pPr>
      <w:r w:rsidRPr="006F764D">
        <w:rPr>
          <w:rFonts w:eastAsia="標楷體" w:hAnsi="標楷體"/>
        </w:rPr>
        <w:t>蔡清田</w:t>
      </w:r>
      <w:r w:rsidRPr="006F764D">
        <w:rPr>
          <w:rFonts w:eastAsia="標楷體"/>
        </w:rPr>
        <w:t xml:space="preserve"> (2011) </w:t>
      </w:r>
      <w:r w:rsidRPr="006F764D">
        <w:rPr>
          <w:rFonts w:eastAsia="標楷體" w:hAnsi="標楷體"/>
        </w:rPr>
        <w:t>素養</w:t>
      </w:r>
      <w:r w:rsidRPr="006F764D">
        <w:rPr>
          <w:rFonts w:eastAsia="標楷體"/>
        </w:rPr>
        <w:t>:</w:t>
      </w:r>
      <w:r w:rsidRPr="006F764D">
        <w:rPr>
          <w:rFonts w:eastAsia="標楷體" w:hAnsi="標楷體"/>
        </w:rPr>
        <w:t>課程改革的</w:t>
      </w:r>
      <w:r w:rsidRPr="006F764D">
        <w:rPr>
          <w:rFonts w:eastAsia="標楷體"/>
        </w:rPr>
        <w:t>DNA</w:t>
      </w:r>
      <w:r w:rsidRPr="006F764D">
        <w:rPr>
          <w:rFonts w:eastAsia="標楷體" w:hAnsi="標楷體"/>
        </w:rPr>
        <w:t>。高教。</w:t>
      </w:r>
    </w:p>
    <w:p w:rsidR="00B80BB2" w:rsidRPr="006F764D" w:rsidRDefault="00B80BB2" w:rsidP="00B80BB2">
      <w:pPr>
        <w:ind w:left="600" w:hangingChars="250" w:hanging="600"/>
        <w:rPr>
          <w:rFonts w:eastAsia="標楷體"/>
          <w:szCs w:val="24"/>
        </w:rPr>
      </w:pPr>
      <w:r w:rsidRPr="006F764D">
        <w:rPr>
          <w:rFonts w:eastAsia="標楷體" w:hAnsi="標楷體"/>
          <w:szCs w:val="24"/>
        </w:rPr>
        <w:t>蔡清田</w:t>
      </w:r>
      <w:r w:rsidRPr="006F764D">
        <w:rPr>
          <w:rFonts w:eastAsia="標楷體"/>
          <w:szCs w:val="24"/>
        </w:rPr>
        <w:t>(20</w:t>
      </w:r>
      <w:r w:rsidRPr="006F764D">
        <w:rPr>
          <w:rFonts w:eastAsia="標楷體"/>
          <w:bCs/>
          <w:szCs w:val="24"/>
        </w:rPr>
        <w:t>12</w:t>
      </w:r>
      <w:r w:rsidRPr="006F764D">
        <w:rPr>
          <w:rFonts w:eastAsia="標楷體"/>
          <w:szCs w:val="24"/>
        </w:rPr>
        <w:t>)</w:t>
      </w:r>
      <w:r w:rsidRPr="006F764D">
        <w:rPr>
          <w:rFonts w:eastAsia="標楷體" w:hAnsi="標楷體"/>
          <w:szCs w:val="24"/>
        </w:rPr>
        <w:t>。</w:t>
      </w:r>
      <w:r w:rsidRPr="006F764D">
        <w:rPr>
          <w:rFonts w:eastAsia="標楷體" w:hAnsi="標楷體"/>
          <w:szCs w:val="24"/>
          <w:u w:val="single"/>
        </w:rPr>
        <w:t>課程發展與設計的</w:t>
      </w:r>
      <w:r w:rsidRPr="006F764D">
        <w:rPr>
          <w:rFonts w:eastAsia="標楷體" w:hAnsi="標楷體"/>
          <w:u w:val="single"/>
        </w:rPr>
        <w:t>關鍵</w:t>
      </w:r>
      <w:r w:rsidRPr="006F764D">
        <w:rPr>
          <w:rFonts w:eastAsia="標楷體"/>
          <w:szCs w:val="24"/>
          <w:u w:val="single"/>
        </w:rPr>
        <w:t>DNA</w:t>
      </w:r>
      <w:r w:rsidRPr="006F764D">
        <w:rPr>
          <w:rFonts w:eastAsia="標楷體" w:hAnsi="標楷體"/>
          <w:szCs w:val="24"/>
          <w:u w:val="single"/>
        </w:rPr>
        <w:t>：核心素養</w:t>
      </w:r>
      <w:r w:rsidRPr="006F764D">
        <w:rPr>
          <w:rFonts w:eastAsia="標楷體" w:hAnsi="標楷體"/>
          <w:szCs w:val="24"/>
        </w:rPr>
        <w:t>。五南。</w:t>
      </w:r>
    </w:p>
    <w:p w:rsidR="00B80BB2" w:rsidRPr="006F764D" w:rsidRDefault="00B80BB2" w:rsidP="00B80BB2">
      <w:r w:rsidRPr="006F764D">
        <w:rPr>
          <w:rFonts w:eastAsia="標楷體" w:hAnsi="標楷體"/>
        </w:rPr>
        <w:t>蔡清田</w:t>
      </w:r>
      <w:r w:rsidRPr="006F764D">
        <w:rPr>
          <w:rFonts w:eastAsia="標楷體" w:hAnsi="標楷體" w:hint="eastAsia"/>
        </w:rPr>
        <w:t xml:space="preserve"> </w:t>
      </w:r>
      <w:r w:rsidRPr="006F764D">
        <w:rPr>
          <w:rFonts w:eastAsia="標楷體"/>
        </w:rPr>
        <w:t>(201</w:t>
      </w:r>
      <w:r w:rsidRPr="006F764D">
        <w:rPr>
          <w:rFonts w:eastAsia="標楷體" w:hint="eastAsia"/>
        </w:rPr>
        <w:t>4</w:t>
      </w:r>
      <w:r w:rsidRPr="006F764D">
        <w:rPr>
          <w:rFonts w:eastAsia="標楷體"/>
        </w:rPr>
        <w:t xml:space="preserve">) </w:t>
      </w:r>
      <w:r w:rsidRPr="006F764D">
        <w:rPr>
          <w:rFonts w:eastAsia="標楷體" w:hint="eastAsia"/>
        </w:rPr>
        <w:t>國民</w:t>
      </w:r>
      <w:r w:rsidRPr="006F764D">
        <w:rPr>
          <w:rFonts w:eastAsia="標楷體" w:hAnsi="標楷體"/>
        </w:rPr>
        <w:t>核心素養</w:t>
      </w:r>
      <w:r w:rsidRPr="006F764D">
        <w:rPr>
          <w:rFonts w:eastAsia="標楷體"/>
        </w:rPr>
        <w:t>:</w:t>
      </w:r>
      <w:r w:rsidRPr="006F764D">
        <w:rPr>
          <w:rFonts w:eastAsia="標楷體" w:hint="eastAsia"/>
        </w:rPr>
        <w:t>十二年國教</w:t>
      </w:r>
      <w:r w:rsidRPr="006F764D">
        <w:rPr>
          <w:rFonts w:eastAsia="標楷體" w:hAnsi="標楷體"/>
        </w:rPr>
        <w:t>課程改革的關鍵</w:t>
      </w:r>
      <w:r w:rsidRPr="006F764D">
        <w:rPr>
          <w:rFonts w:eastAsia="標楷體"/>
        </w:rPr>
        <w:t>DNA</w:t>
      </w:r>
      <w:r w:rsidRPr="006F764D">
        <w:rPr>
          <w:rFonts w:eastAsia="標楷體" w:hAnsi="標楷體"/>
        </w:rPr>
        <w:t>。高教。</w:t>
      </w:r>
    </w:p>
    <w:p w:rsidR="00AB5DA1" w:rsidRPr="00A23C38" w:rsidRDefault="00AB5DA1" w:rsidP="00AB5DA1">
      <w:pPr>
        <w:ind w:left="600" w:hangingChars="250" w:hanging="600"/>
        <w:rPr>
          <w:rFonts w:eastAsia="標楷體"/>
          <w:szCs w:val="24"/>
        </w:rPr>
      </w:pPr>
      <w:r w:rsidRPr="00A23C38">
        <w:rPr>
          <w:rFonts w:eastAsia="標楷體"/>
          <w:szCs w:val="24"/>
        </w:rPr>
        <w:t>蔡清田</w:t>
      </w:r>
      <w:r w:rsidRPr="00A23C38">
        <w:rPr>
          <w:rFonts w:eastAsia="標楷體"/>
          <w:szCs w:val="24"/>
        </w:rPr>
        <w:t xml:space="preserve"> (20</w:t>
      </w:r>
      <w:r w:rsidRPr="00A23C38">
        <w:rPr>
          <w:rFonts w:eastAsia="標楷體"/>
          <w:bCs/>
          <w:szCs w:val="24"/>
        </w:rPr>
        <w:t>1</w:t>
      </w:r>
      <w:r w:rsidRPr="00A23C38">
        <w:rPr>
          <w:rFonts w:eastAsia="標楷體" w:hint="eastAsia"/>
          <w:bCs/>
          <w:szCs w:val="24"/>
          <w:lang w:eastAsia="zh-TW"/>
        </w:rPr>
        <w:t>5</w:t>
      </w:r>
      <w:r w:rsidRPr="00A23C38">
        <w:rPr>
          <w:rFonts w:eastAsia="標楷體"/>
          <w:szCs w:val="24"/>
        </w:rPr>
        <w:t>)</w:t>
      </w:r>
      <w:r w:rsidRPr="00A23C38">
        <w:rPr>
          <w:rFonts w:eastAsia="標楷體" w:hint="eastAsia"/>
          <w:szCs w:val="24"/>
        </w:rPr>
        <w:t xml:space="preserve"> </w:t>
      </w:r>
      <w:r w:rsidRPr="00A23C38">
        <w:rPr>
          <w:rFonts w:eastAsia="標楷體" w:hint="eastAsia"/>
          <w:szCs w:val="24"/>
        </w:rPr>
        <w:t>畢業</w:t>
      </w:r>
      <w:r w:rsidRPr="00A23C38">
        <w:rPr>
          <w:rFonts w:eastAsia="標楷體" w:hint="eastAsia"/>
          <w:u w:val="single"/>
        </w:rPr>
        <w:t>論文寫作的通關密碼</w:t>
      </w:r>
      <w:r w:rsidRPr="00A23C38">
        <w:rPr>
          <w:rFonts w:eastAsia="標楷體"/>
          <w:szCs w:val="24"/>
        </w:rPr>
        <w:t>。高教。</w:t>
      </w:r>
    </w:p>
    <w:p w:rsidR="00D05A0D" w:rsidRPr="006F764D" w:rsidRDefault="00D05A0D" w:rsidP="00D05A0D">
      <w:pPr>
        <w:ind w:left="480" w:hangingChars="200" w:hanging="480"/>
        <w:rPr>
          <w:rFonts w:eastAsia="標楷體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</w:t>
      </w:r>
      <w:r w:rsidRPr="006F764D">
        <w:rPr>
          <w:rFonts w:eastAsia="標楷體" w:hint="eastAsia"/>
          <w:lang w:eastAsia="zh-TW"/>
        </w:rPr>
        <w:t>16</w:t>
      </w:r>
      <w:r w:rsidRPr="006F764D">
        <w:rPr>
          <w:rFonts w:eastAsia="標楷體"/>
        </w:rPr>
        <w:t>）</w:t>
      </w:r>
      <w:r w:rsidRPr="006F764D">
        <w:rPr>
          <w:rFonts w:eastAsia="標楷體" w:hint="eastAsia"/>
          <w:u w:val="single"/>
        </w:rPr>
        <w:t>50</w:t>
      </w:r>
      <w:r w:rsidRPr="006F764D">
        <w:rPr>
          <w:rFonts w:eastAsia="標楷體" w:hint="eastAsia"/>
          <w:u w:val="single"/>
        </w:rPr>
        <w:t>則非知不可的</w:t>
      </w:r>
      <w:r w:rsidRPr="006F764D">
        <w:rPr>
          <w:rFonts w:eastAsia="標楷體"/>
          <w:u w:val="single"/>
        </w:rPr>
        <w:t>課程</w:t>
      </w:r>
      <w:r w:rsidRPr="006F764D">
        <w:rPr>
          <w:rFonts w:eastAsia="標楷體" w:hint="eastAsia"/>
          <w:u w:val="single"/>
        </w:rPr>
        <w:t>學概念</w:t>
      </w:r>
      <w:r w:rsidRPr="006F764D">
        <w:rPr>
          <w:rFonts w:eastAsia="標楷體"/>
        </w:rPr>
        <w:t>。</w:t>
      </w:r>
      <w:r w:rsidRPr="006F764D">
        <w:rPr>
          <w:rFonts w:eastAsia="標楷體" w:hint="eastAsia"/>
        </w:rPr>
        <w:t>五南。</w:t>
      </w:r>
    </w:p>
    <w:p w:rsidR="00AB5DA1" w:rsidRPr="006F764D" w:rsidRDefault="00AB5DA1" w:rsidP="00AB5DA1">
      <w:pPr>
        <w:rPr>
          <w:rFonts w:eastAsia="標楷體"/>
          <w:szCs w:val="24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2017</w:t>
      </w:r>
      <w:r w:rsidRPr="006F764D">
        <w:rPr>
          <w:rFonts w:eastAsia="標楷體"/>
        </w:rPr>
        <w:t>）</w:t>
      </w:r>
      <w:r w:rsidRPr="006F764D">
        <w:rPr>
          <w:rFonts w:eastAsia="標楷體"/>
          <w:u w:val="single"/>
        </w:rPr>
        <w:t>課程實驗</w:t>
      </w:r>
      <w:r w:rsidRPr="006F764D">
        <w:rPr>
          <w:rFonts w:eastAsia="標楷體"/>
          <w:u w:val="single"/>
        </w:rPr>
        <w:t>:</w:t>
      </w:r>
      <w:r w:rsidRPr="006F764D">
        <w:rPr>
          <w:rFonts w:eastAsia="標楷體"/>
          <w:u w:val="single"/>
        </w:rPr>
        <w:t>課綱爭議的出路</w:t>
      </w:r>
      <w:r w:rsidRPr="006F764D">
        <w:rPr>
          <w:rFonts w:eastAsia="標楷體"/>
        </w:rPr>
        <w:t>。五南。</w:t>
      </w:r>
    </w:p>
    <w:p w:rsidR="00AB5DA1" w:rsidRPr="006F764D" w:rsidRDefault="00AB5DA1" w:rsidP="00AB5DA1">
      <w:pPr>
        <w:rPr>
          <w:rFonts w:eastAsia="標楷體"/>
          <w:szCs w:val="24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2018</w:t>
      </w:r>
      <w:r w:rsidRPr="006F764D">
        <w:rPr>
          <w:rFonts w:eastAsia="標楷體"/>
        </w:rPr>
        <w:t>）</w:t>
      </w:r>
      <w:r w:rsidRPr="006F764D">
        <w:rPr>
          <w:rFonts w:eastAsia="標楷體"/>
          <w:szCs w:val="24"/>
          <w:u w:val="single"/>
        </w:rPr>
        <w:t>核心素養</w:t>
      </w:r>
      <w:r w:rsidRPr="006F764D">
        <w:rPr>
          <w:rFonts w:eastAsia="標楷體"/>
          <w:u w:val="single"/>
        </w:rPr>
        <w:t>的課程發展</w:t>
      </w:r>
      <w:r w:rsidRPr="006F764D">
        <w:rPr>
          <w:rFonts w:eastAsia="標楷體"/>
        </w:rPr>
        <w:t>。五南。</w:t>
      </w:r>
    </w:p>
    <w:p w:rsidR="00AB5DA1" w:rsidRPr="006F764D" w:rsidRDefault="00AB5DA1" w:rsidP="00AB5DA1">
      <w:pPr>
        <w:rPr>
          <w:rFonts w:eastAsia="標楷體"/>
          <w:szCs w:val="24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201</w:t>
      </w:r>
      <w:r w:rsidRPr="006F764D">
        <w:rPr>
          <w:rFonts w:eastAsia="標楷體" w:hint="eastAsia"/>
        </w:rPr>
        <w:t>9</w:t>
      </w:r>
      <w:r w:rsidRPr="006F764D">
        <w:rPr>
          <w:rFonts w:eastAsia="標楷體"/>
        </w:rPr>
        <w:t>）</w:t>
      </w:r>
      <w:r w:rsidRPr="006F764D">
        <w:rPr>
          <w:rFonts w:eastAsia="標楷體"/>
          <w:szCs w:val="24"/>
          <w:u w:val="single"/>
        </w:rPr>
        <w:t>核心素養</w:t>
      </w:r>
      <w:r w:rsidRPr="006F764D">
        <w:rPr>
          <w:rFonts w:eastAsia="標楷體"/>
          <w:u w:val="single"/>
        </w:rPr>
        <w:t>的</w:t>
      </w:r>
      <w:r w:rsidRPr="006F764D">
        <w:rPr>
          <w:rFonts w:eastAsia="標楷體" w:hint="eastAsia"/>
          <w:u w:val="single"/>
        </w:rPr>
        <w:t>學校本位</w:t>
      </w:r>
      <w:r w:rsidRPr="006F764D">
        <w:rPr>
          <w:rFonts w:eastAsia="標楷體"/>
          <w:u w:val="single"/>
        </w:rPr>
        <w:t>課程發展</w:t>
      </w:r>
      <w:r w:rsidRPr="006F764D">
        <w:rPr>
          <w:rFonts w:eastAsia="標楷體"/>
        </w:rPr>
        <w:t>。五南。</w:t>
      </w:r>
    </w:p>
    <w:p w:rsidR="00A3714F" w:rsidRPr="006F764D" w:rsidRDefault="00A3714F" w:rsidP="00A3714F">
      <w:pPr>
        <w:rPr>
          <w:rFonts w:ascii="Calibri" w:eastAsia="標楷體" w:hAnsi="Calibri"/>
        </w:rPr>
      </w:pPr>
      <w:r w:rsidRPr="006F764D">
        <w:rPr>
          <w:rFonts w:ascii="Calibri" w:eastAsia="標楷體" w:hAnsi="Calibri"/>
        </w:rPr>
        <w:t>蔡清田（</w:t>
      </w:r>
      <w:r w:rsidRPr="006F764D">
        <w:rPr>
          <w:rFonts w:ascii="Calibri" w:eastAsia="標楷體" w:hAnsi="Calibri"/>
        </w:rPr>
        <w:t>20</w:t>
      </w:r>
      <w:r w:rsidRPr="006F764D">
        <w:rPr>
          <w:rFonts w:ascii="Calibri" w:eastAsia="標楷體" w:hAnsi="Calibri" w:hint="eastAsia"/>
        </w:rPr>
        <w:t>20</w:t>
      </w:r>
      <w:r w:rsidRPr="006F764D">
        <w:rPr>
          <w:rFonts w:ascii="Calibri" w:eastAsia="標楷體" w:hAnsi="Calibri"/>
        </w:rPr>
        <w:t>）</w:t>
      </w:r>
      <w:r w:rsidRPr="006F764D">
        <w:rPr>
          <w:rFonts w:eastAsia="標楷體" w:hAnsi="標楷體"/>
          <w:szCs w:val="24"/>
        </w:rPr>
        <w:t>。</w:t>
      </w:r>
      <w:r w:rsidRPr="006F764D">
        <w:rPr>
          <w:rFonts w:ascii="Calibri" w:eastAsia="標楷體" w:hAnsi="Calibri" w:hint="eastAsia"/>
          <w:u w:val="single"/>
        </w:rPr>
        <w:t>核心素養的</w:t>
      </w:r>
      <w:r w:rsidRPr="006F764D">
        <w:rPr>
          <w:rFonts w:ascii="Calibri" w:eastAsia="標楷體" w:hAnsi="標楷體"/>
          <w:szCs w:val="24"/>
          <w:u w:val="single"/>
        </w:rPr>
        <w:t>課程</w:t>
      </w:r>
      <w:r w:rsidRPr="006F764D">
        <w:rPr>
          <w:rFonts w:ascii="Calibri" w:eastAsia="標楷體" w:hAnsi="標楷體" w:hint="eastAsia"/>
          <w:szCs w:val="24"/>
          <w:u w:val="single"/>
        </w:rPr>
        <w:t>與教學</w:t>
      </w:r>
      <w:r w:rsidRPr="006F764D">
        <w:rPr>
          <w:rFonts w:ascii="Calibri" w:eastAsia="標楷體" w:hAnsi="Calibri"/>
        </w:rPr>
        <w:t>。</w:t>
      </w:r>
      <w:r w:rsidRPr="006F764D">
        <w:rPr>
          <w:rFonts w:ascii="Calibri" w:eastAsia="標楷體" w:hAnsi="Calibri" w:hint="eastAsia"/>
        </w:rPr>
        <w:t>五南。</w:t>
      </w:r>
    </w:p>
    <w:p w:rsidR="00A3714F" w:rsidRPr="00291851" w:rsidRDefault="00A3714F" w:rsidP="00A3714F">
      <w:pPr>
        <w:rPr>
          <w:rFonts w:eastAsia="標楷體"/>
          <w:b/>
          <w:color w:val="FF0000"/>
          <w:szCs w:val="24"/>
        </w:rPr>
      </w:pPr>
      <w:r w:rsidRPr="00291851">
        <w:rPr>
          <w:rFonts w:eastAsia="標楷體"/>
          <w:b/>
          <w:color w:val="FF0000"/>
          <w:szCs w:val="24"/>
        </w:rPr>
        <w:t>蔡清田</w:t>
      </w:r>
      <w:r w:rsidRPr="00291851">
        <w:rPr>
          <w:rFonts w:eastAsia="標楷體"/>
          <w:b/>
          <w:color w:val="FF0000"/>
          <w:szCs w:val="24"/>
        </w:rPr>
        <w:t xml:space="preserve"> (2021) </w:t>
      </w:r>
      <w:r w:rsidRPr="00291851">
        <w:rPr>
          <w:rFonts w:eastAsia="標楷體"/>
          <w:b/>
          <w:color w:val="FF0000"/>
          <w:szCs w:val="24"/>
          <w:u w:val="single"/>
        </w:rPr>
        <w:t>12</w:t>
      </w:r>
      <w:r w:rsidRPr="00291851">
        <w:rPr>
          <w:rFonts w:eastAsia="標楷體"/>
          <w:b/>
          <w:color w:val="FF0000"/>
          <w:szCs w:val="24"/>
          <w:u w:val="single"/>
        </w:rPr>
        <w:t>年國教新課綱與教育行動研究</w:t>
      </w:r>
      <w:r w:rsidRPr="00291851">
        <w:rPr>
          <w:rFonts w:eastAsia="標楷體"/>
          <w:b/>
          <w:color w:val="FF0000"/>
          <w:szCs w:val="24"/>
        </w:rPr>
        <w:t>。五南</w:t>
      </w:r>
      <w:r w:rsidRPr="00291851">
        <w:rPr>
          <w:rFonts w:eastAsia="標楷體"/>
          <w:b/>
          <w:color w:val="FF0000"/>
          <w:szCs w:val="24"/>
        </w:rPr>
        <w:t>.</w:t>
      </w:r>
    </w:p>
    <w:p w:rsidR="00A3714F" w:rsidRPr="00CC5DBE" w:rsidRDefault="00A3714F" w:rsidP="00A3714F">
      <w:pPr>
        <w:tabs>
          <w:tab w:val="left" w:pos="7920"/>
        </w:tabs>
        <w:ind w:right="26"/>
        <w:rPr>
          <w:rFonts w:eastAsia="標楷體" w:hAnsi="標楷體"/>
        </w:rPr>
      </w:pPr>
      <w:r w:rsidRPr="00CC5DBE">
        <w:rPr>
          <w:rFonts w:eastAsia="標楷體" w:hAnsi="標楷體"/>
        </w:rPr>
        <w:t>蔡清田</w:t>
      </w:r>
      <w:r w:rsidRPr="00CC5DBE">
        <w:rPr>
          <w:rFonts w:eastAsia="標楷體"/>
        </w:rPr>
        <w:t>(20</w:t>
      </w:r>
      <w:r w:rsidRPr="00CC5DBE">
        <w:rPr>
          <w:rFonts w:eastAsia="標楷體" w:hint="eastAsia"/>
        </w:rPr>
        <w:t>2</w:t>
      </w:r>
      <w:r w:rsidRPr="00CC5DBE">
        <w:rPr>
          <w:rFonts w:eastAsia="標楷體" w:hint="eastAsia"/>
          <w:bCs/>
        </w:rPr>
        <w:t>2</w:t>
      </w:r>
      <w:r w:rsidRPr="00CC5DBE">
        <w:rPr>
          <w:rFonts w:eastAsia="標楷體" w:hAnsi="標楷體" w:hint="eastAsia"/>
        </w:rPr>
        <w:t>)</w:t>
      </w:r>
      <w:r w:rsidRPr="00CC5DBE">
        <w:rPr>
          <w:rFonts w:eastAsia="標楷體" w:hAnsi="標楷體" w:hint="eastAsia"/>
        </w:rPr>
        <w:t>。</w:t>
      </w:r>
      <w:r w:rsidRPr="00CC5DBE">
        <w:rPr>
          <w:rFonts w:eastAsia="標楷體" w:hAnsi="標楷體" w:hint="eastAsia"/>
          <w:u w:val="single"/>
        </w:rPr>
        <w:t>核心素養的課程</w:t>
      </w:r>
      <w:r w:rsidRPr="00CC5DBE">
        <w:rPr>
          <w:rFonts w:eastAsia="標楷體" w:hint="eastAsia"/>
          <w:bCs/>
          <w:u w:val="single"/>
        </w:rPr>
        <w:t>發展與設計</w:t>
      </w:r>
      <w:r w:rsidRPr="00CC5DBE">
        <w:rPr>
          <w:rFonts w:eastAsia="標楷體" w:hAnsi="標楷體" w:hint="eastAsia"/>
        </w:rPr>
        <w:t>。</w:t>
      </w:r>
      <w:r w:rsidRPr="00CC5DBE">
        <w:rPr>
          <w:rFonts w:ascii="標楷體" w:eastAsia="標楷體" w:hAnsi="標楷體" w:hint="eastAsia"/>
        </w:rPr>
        <w:t>五南</w:t>
      </w:r>
      <w:r w:rsidRPr="00CC5DBE">
        <w:rPr>
          <w:rFonts w:eastAsia="標楷體" w:hAnsi="標楷體" w:hint="eastAsia"/>
        </w:rPr>
        <w:t>。</w:t>
      </w:r>
    </w:p>
    <w:p w:rsidR="00A3714F" w:rsidRPr="00CC5DBE" w:rsidRDefault="00A3714F" w:rsidP="00A3714F">
      <w:pPr>
        <w:rPr>
          <w:rFonts w:eastAsia="標楷體"/>
        </w:rPr>
      </w:pPr>
      <w:r w:rsidRPr="00CC5DBE">
        <w:rPr>
          <w:rFonts w:eastAsia="標楷體"/>
        </w:rPr>
        <w:t>蔡清田主譯</w:t>
      </w:r>
      <w:r w:rsidRPr="00CC5DBE">
        <w:rPr>
          <w:rFonts w:eastAsia="標楷體"/>
        </w:rPr>
        <w:t xml:space="preserve"> (200</w:t>
      </w:r>
      <w:r w:rsidRPr="00CC5DBE">
        <w:rPr>
          <w:rFonts w:eastAsia="標楷體" w:hint="eastAsia"/>
        </w:rPr>
        <w:t>4</w:t>
      </w:r>
      <w:r w:rsidRPr="00CC5DBE">
        <w:rPr>
          <w:rFonts w:eastAsia="標楷體"/>
        </w:rPr>
        <w:t xml:space="preserve">) </w:t>
      </w:r>
      <w:r w:rsidRPr="00CC5DBE">
        <w:rPr>
          <w:rFonts w:eastAsia="標楷體"/>
          <w:u w:val="single"/>
        </w:rPr>
        <w:t>課程</w:t>
      </w:r>
      <w:r w:rsidRPr="00CC5DBE">
        <w:rPr>
          <w:rFonts w:eastAsia="標楷體" w:hint="eastAsia"/>
          <w:u w:val="single"/>
        </w:rPr>
        <w:t>行動研究</w:t>
      </w:r>
      <w:r w:rsidRPr="00CC5DBE">
        <w:rPr>
          <w:rFonts w:eastAsia="標楷體"/>
        </w:rPr>
        <w:t>。</w:t>
      </w:r>
      <w:r w:rsidRPr="00CC5DBE">
        <w:rPr>
          <w:rFonts w:eastAsia="標楷體" w:hint="eastAsia"/>
        </w:rPr>
        <w:t>麗文</w:t>
      </w:r>
      <w:r w:rsidRPr="00CC5DBE">
        <w:rPr>
          <w:rFonts w:eastAsia="標楷體"/>
        </w:rPr>
        <w:t>。</w:t>
      </w:r>
    </w:p>
    <w:p w:rsidR="00C60116" w:rsidRPr="00A23C38" w:rsidRDefault="00C60116" w:rsidP="004B3E51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 w:hint="cs"/>
        </w:rPr>
        <w:t xml:space="preserve">European Communities (2007). </w:t>
      </w:r>
      <w:r w:rsidRPr="00A23C38">
        <w:rPr>
          <w:rFonts w:eastAsia="標楷體" w:hAnsi="標楷體"/>
        </w:rPr>
        <w:t xml:space="preserve">Key Competences for Lifelong Learning: European Reference Framework. </w:t>
      </w:r>
      <w:r w:rsidR="00D65D69" w:rsidRPr="00A23C38">
        <w:rPr>
          <w:rFonts w:eastAsia="標楷體" w:hAnsi="標楷體"/>
        </w:rPr>
        <w:t xml:space="preserve">Retrieved from </w:t>
      </w:r>
      <w:hyperlink r:id="rId10" w:history="1">
        <w:r w:rsidR="00D65D69" w:rsidRPr="00A23C38">
          <w:rPr>
            <w:rStyle w:val="a3"/>
            <w:rFonts w:eastAsia="標楷體" w:hAnsi="標楷體"/>
            <w:color w:val="auto"/>
          </w:rPr>
          <w:t>http://www.alfa-trall.eu/wp-content/uploads/2012/01/EU2007-keyCompetencesL3-brochure.pdf</w:t>
        </w:r>
      </w:hyperlink>
      <w:r w:rsidR="00D65D69" w:rsidRPr="00A23C38">
        <w:rPr>
          <w:rFonts w:eastAsia="標楷體" w:hAnsi="標楷體"/>
        </w:rPr>
        <w:t xml:space="preserve"> </w:t>
      </w:r>
    </w:p>
    <w:p w:rsidR="00D65D69" w:rsidRPr="00A23C38" w:rsidRDefault="00D65D69" w:rsidP="004B3E51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European Commission (2012). </w:t>
      </w:r>
      <w:r w:rsidRPr="00A23C38">
        <w:t xml:space="preserve">Education and Training 2020 Work program - Thematic Working Group 'Assessment of Key Competences': Literature review, Glossary and examples. Retrieved from </w:t>
      </w:r>
      <w:hyperlink r:id="rId11" w:history="1">
        <w:r w:rsidRPr="00A23C38">
          <w:rPr>
            <w:rStyle w:val="a3"/>
            <w:color w:val="auto"/>
          </w:rPr>
          <w:t>http://ec.europa.eu/education/policy/school/doc/keyreview_en.pdf</w:t>
        </w:r>
      </w:hyperlink>
      <w:r w:rsidRPr="00A23C38">
        <w:t xml:space="preserve"> </w:t>
      </w:r>
    </w:p>
    <w:p w:rsidR="004B3E51" w:rsidRPr="00A23C38" w:rsidRDefault="00402B77" w:rsidP="004B3E51">
      <w:pPr>
        <w:ind w:left="720" w:hangingChars="300" w:hanging="720"/>
        <w:rPr>
          <w:rFonts w:eastAsia="標楷體" w:hAnsi="標楷體"/>
        </w:rPr>
      </w:pPr>
      <w:proofErr w:type="spellStart"/>
      <w:r w:rsidRPr="00A23C38">
        <w:rPr>
          <w:rFonts w:eastAsia="標楷體" w:hAnsi="標楷體" w:hint="cs"/>
        </w:rPr>
        <w:t>Halasz</w:t>
      </w:r>
      <w:proofErr w:type="spellEnd"/>
      <w:r w:rsidRPr="00A23C38">
        <w:rPr>
          <w:rFonts w:eastAsia="標楷體" w:hAnsi="標楷體" w:hint="cs"/>
        </w:rPr>
        <w:t>, G. a</w:t>
      </w:r>
      <w:r w:rsidRPr="00A23C38">
        <w:rPr>
          <w:rFonts w:eastAsia="標楷體" w:hAnsi="標楷體"/>
        </w:rPr>
        <w:t>nd</w:t>
      </w:r>
      <w:r w:rsidR="004B3E51" w:rsidRPr="00A23C38">
        <w:rPr>
          <w:rFonts w:eastAsia="標楷體" w:hAnsi="標楷體" w:hint="cs"/>
        </w:rPr>
        <w:t xml:space="preserve"> Michel, A. (2011). Key Competences in Europe</w:t>
      </w:r>
      <w:r w:rsidR="004B3E51" w:rsidRPr="00A23C38">
        <w:rPr>
          <w:rFonts w:eastAsia="標楷體" w:hAnsi="標楷體"/>
        </w:rPr>
        <w:t xml:space="preserve">: interpretation, policy formulation and implementation. </w:t>
      </w:r>
      <w:r w:rsidR="004B3E51" w:rsidRPr="00A23C38">
        <w:rPr>
          <w:rFonts w:eastAsia="標楷體" w:hAnsi="標楷體"/>
          <w:i/>
        </w:rPr>
        <w:t xml:space="preserve">European Journal of Education, </w:t>
      </w:r>
      <w:r w:rsidR="004B3E51" w:rsidRPr="00A23C38">
        <w:rPr>
          <w:rFonts w:eastAsia="標楷體" w:hAnsi="標楷體"/>
        </w:rPr>
        <w:t>46(3), 289-</w:t>
      </w:r>
      <w:r w:rsidR="004B3E51" w:rsidRPr="00A23C38">
        <w:rPr>
          <w:rFonts w:eastAsia="標楷體" w:hAnsi="標楷體"/>
        </w:rPr>
        <w:lastRenderedPageBreak/>
        <w:t>306.</w:t>
      </w:r>
      <w:r w:rsidR="001A1388" w:rsidRPr="00A23C38">
        <w:rPr>
          <w:rFonts w:eastAsia="標楷體" w:hAnsi="標楷體"/>
        </w:rPr>
        <w:t xml:space="preserve"> Retrieved from </w:t>
      </w:r>
      <w:hyperlink r:id="rId12" w:history="1">
        <w:r w:rsidR="001A1388" w:rsidRPr="00A23C38">
          <w:rPr>
            <w:rStyle w:val="a3"/>
            <w:rFonts w:eastAsia="標楷體" w:hAnsi="標楷體"/>
            <w:color w:val="auto"/>
          </w:rPr>
          <w:t>http://www.vbsinternational.eu/files/media/research_article/G._Halasz__A._Michel_-_Key_competences_in_Europe_-_interpretation_policy_and_implementation.pdf</w:t>
        </w:r>
      </w:hyperlink>
      <w:r w:rsidR="001A1388" w:rsidRPr="00A23C38">
        <w:rPr>
          <w:rFonts w:eastAsia="標楷體" w:hAnsi="標楷體"/>
        </w:rPr>
        <w:t xml:space="preserve"> 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Chapman, J. (Ed.). (1990). </w:t>
      </w:r>
      <w:r w:rsidRPr="006F764D">
        <w:rPr>
          <w:rFonts w:eastAsia="標楷體" w:hAnsi="標楷體"/>
          <w:i/>
        </w:rPr>
        <w:t>School-based decision-making and management</w:t>
      </w:r>
      <w:r w:rsidRPr="00A23C38">
        <w:rPr>
          <w:rFonts w:eastAsia="標楷體" w:hAnsi="標楷體"/>
        </w:rPr>
        <w:t>. Falmer.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>Henderson, J. G., &amp; Hawthorne, R. D. (1995). Transformative curriculum leadership. Engle-wood Cliffs, NJ: Prentice Hall.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Marsh, C., Day, C., </w:t>
      </w:r>
      <w:proofErr w:type="spellStart"/>
      <w:r w:rsidRPr="00A23C38">
        <w:rPr>
          <w:rFonts w:eastAsia="標楷體" w:hAnsi="標楷體"/>
        </w:rPr>
        <w:t>Hannay</w:t>
      </w:r>
      <w:proofErr w:type="spellEnd"/>
      <w:r w:rsidRPr="00A23C38">
        <w:rPr>
          <w:rFonts w:eastAsia="標楷體" w:hAnsi="標楷體"/>
        </w:rPr>
        <w:t xml:space="preserve">, L., &amp; McCutcheon, G. (1990). </w:t>
      </w:r>
      <w:r w:rsidRPr="006F764D">
        <w:rPr>
          <w:rFonts w:eastAsia="標楷體" w:hAnsi="標楷體"/>
          <w:i/>
        </w:rPr>
        <w:t>Reconceptualizing school-based curriculum development</w:t>
      </w:r>
      <w:r w:rsidRPr="00A23C38">
        <w:rPr>
          <w:rFonts w:eastAsia="標楷體" w:hAnsi="標楷體"/>
        </w:rPr>
        <w:t>. Falmer.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proofErr w:type="spellStart"/>
      <w:r w:rsidRPr="00A23C38">
        <w:rPr>
          <w:rFonts w:eastAsia="標楷體" w:hAnsi="標楷體"/>
        </w:rPr>
        <w:t>Skilbeck</w:t>
      </w:r>
      <w:proofErr w:type="spellEnd"/>
      <w:r w:rsidRPr="00A23C38">
        <w:rPr>
          <w:rFonts w:eastAsia="標楷體" w:hAnsi="標楷體"/>
        </w:rPr>
        <w:t xml:space="preserve">, M. (1984). </w:t>
      </w:r>
      <w:r w:rsidRPr="006F764D">
        <w:rPr>
          <w:rFonts w:eastAsia="標楷體" w:hAnsi="標楷體"/>
          <w:i/>
        </w:rPr>
        <w:t>School-based curriculum development</w:t>
      </w:r>
      <w:r w:rsidRPr="00A23C38">
        <w:rPr>
          <w:rFonts w:eastAsia="標楷體" w:hAnsi="標楷體"/>
        </w:rPr>
        <w:t>. Harper &amp; Row.</w:t>
      </w:r>
    </w:p>
    <w:p w:rsidR="008E7AAF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OECD. (1979). </w:t>
      </w:r>
      <w:bookmarkStart w:id="0" w:name="_GoBack"/>
      <w:r w:rsidRPr="00CD30E9">
        <w:rPr>
          <w:rFonts w:eastAsia="標楷體" w:hAnsi="標楷體"/>
          <w:i/>
        </w:rPr>
        <w:t>School-based curriculum development</w:t>
      </w:r>
      <w:bookmarkEnd w:id="0"/>
      <w:r w:rsidRPr="00A23C38">
        <w:rPr>
          <w:rFonts w:eastAsia="標楷體" w:hAnsi="標楷體"/>
        </w:rPr>
        <w:t>.</w:t>
      </w:r>
      <w:r w:rsidR="00B17AA9">
        <w:rPr>
          <w:rFonts w:eastAsia="標楷體" w:hAnsi="標楷體"/>
        </w:rPr>
        <w:t xml:space="preserve"> </w:t>
      </w:r>
      <w:r w:rsidRPr="00A23C38">
        <w:rPr>
          <w:rFonts w:eastAsia="標楷體" w:hAnsi="標楷體"/>
        </w:rPr>
        <w:t>F</w:t>
      </w:r>
      <w:r w:rsidR="00B17AA9">
        <w:rPr>
          <w:rFonts w:eastAsia="標楷體" w:hAnsi="標楷體" w:hint="cs"/>
        </w:rPr>
        <w:t>r</w:t>
      </w:r>
      <w:r w:rsidRPr="00A23C38">
        <w:rPr>
          <w:rFonts w:eastAsia="標楷體" w:hAnsi="標楷體"/>
        </w:rPr>
        <w:t>ance: OECD.</w:t>
      </w:r>
    </w:p>
    <w:p w:rsidR="003F41B7" w:rsidRPr="00A23C38" w:rsidRDefault="003F41B7" w:rsidP="003F41B7">
      <w:pPr>
        <w:rPr>
          <w:rFonts w:ascii="華康儷楷書(P)" w:eastAsia="華康儷楷書(P)" w:hAnsi="華康儷楷書(P)"/>
          <w:lang w:eastAsia="zh-TW"/>
        </w:rPr>
      </w:pPr>
    </w:p>
    <w:p w:rsidR="00AB1B84" w:rsidRPr="00A23C38" w:rsidRDefault="00AB1B84" w:rsidP="003F41B7">
      <w:pPr>
        <w:rPr>
          <w:rFonts w:ascii="華康儷楷書(P)" w:eastAsia="華康儷楷書(P)" w:hAnsi="華康儷楷書(P)"/>
          <w:lang w:eastAsia="zh-TW"/>
        </w:rPr>
      </w:pPr>
    </w:p>
    <w:p w:rsidR="00B86886" w:rsidRPr="00A23C38" w:rsidRDefault="00B86886">
      <w:pPr>
        <w:rPr>
          <w:b/>
          <w:lang w:eastAsia="zh-TW"/>
        </w:rPr>
      </w:pPr>
      <w:r w:rsidRPr="00A23C38">
        <w:rPr>
          <w:rFonts w:hint="eastAsia"/>
          <w:b/>
          <w:lang w:eastAsia="zh-TW"/>
        </w:rPr>
        <w:t>中正大學有的期刊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b/>
        </w:rPr>
        <w:t>Journal: (* could be found in NCCU library)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u w:val="single"/>
        </w:rPr>
        <w:t>Curriculum and Teaching*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u w:val="single"/>
        </w:rPr>
        <w:t>Curriculum Inquiry*</w:t>
      </w:r>
    </w:p>
    <w:p w:rsidR="00AD53AD" w:rsidRPr="00A23C38" w:rsidRDefault="00AD53AD">
      <w:pPr>
        <w:ind w:left="482" w:hanging="482"/>
      </w:pPr>
      <w:r w:rsidRPr="00A23C38">
        <w:rPr>
          <w:u w:val="single"/>
        </w:rPr>
        <w:t>Educational Action Research</w:t>
      </w:r>
    </w:p>
    <w:p w:rsidR="00AD53AD" w:rsidRPr="00A23C38" w:rsidRDefault="00AD53AD">
      <w:pPr>
        <w:pStyle w:val="1"/>
      </w:pPr>
      <w:r w:rsidRPr="00A23C38">
        <w:t>Educational Leadership*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u w:val="single"/>
        </w:rPr>
        <w:t>Journal of Curriculum and Supervision*</w:t>
      </w:r>
    </w:p>
    <w:p w:rsidR="00CF2F4A" w:rsidRPr="00A23C38" w:rsidRDefault="00CF2F4A">
      <w:pPr>
        <w:ind w:left="482" w:hanging="482"/>
        <w:rPr>
          <w:u w:val="single"/>
        </w:rPr>
      </w:pPr>
      <w:r w:rsidRPr="00A23C38">
        <w:rPr>
          <w:rFonts w:hint="eastAsia"/>
          <w:u w:val="single"/>
          <w:lang w:eastAsia="zh-TW"/>
        </w:rPr>
        <w:t>R</w:t>
      </w:r>
      <w:r w:rsidR="004B3E51" w:rsidRPr="00A23C38">
        <w:rPr>
          <w:rFonts w:hint="cs"/>
          <w:u w:val="single"/>
        </w:rPr>
        <w:t>eflective Practice*</w:t>
      </w:r>
    </w:p>
    <w:p w:rsidR="00CF2F4A" w:rsidRPr="00A23C38" w:rsidRDefault="00CF2F4A" w:rsidP="00CF2F4A">
      <w:pPr>
        <w:ind w:left="482" w:hanging="482"/>
        <w:rPr>
          <w:b/>
        </w:rPr>
      </w:pPr>
      <w:r w:rsidRPr="00A23C38">
        <w:rPr>
          <w:u w:val="single"/>
        </w:rPr>
        <w:t>The Curriculum Journal</w:t>
      </w:r>
      <w:r w:rsidRPr="00A23C38">
        <w:rPr>
          <w:b/>
        </w:rPr>
        <w:t>*</w:t>
      </w:r>
    </w:p>
    <w:sectPr w:rsidR="00CF2F4A" w:rsidRPr="00A23C38" w:rsidSect="00E73965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DB" w:rsidRDefault="00B611DB" w:rsidP="00C053CF">
      <w:pPr>
        <w:spacing w:line="240" w:lineRule="auto"/>
      </w:pPr>
      <w:r>
        <w:separator/>
      </w:r>
    </w:p>
  </w:endnote>
  <w:endnote w:type="continuationSeparator" w:id="0">
    <w:p w:rsidR="00B611DB" w:rsidRDefault="00B611DB" w:rsidP="00C0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(P)">
    <w:altName w:val="新細明體"/>
    <w:charset w:val="88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無極豪楷體">
    <w:altName w:val="細明體"/>
    <w:charset w:val="88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B8" w:rsidRDefault="00DB73CC">
    <w:pPr>
      <w:pStyle w:val="aa"/>
      <w:jc w:val="center"/>
    </w:pPr>
    <w:r>
      <w:fldChar w:fldCharType="begin"/>
    </w:r>
    <w:r w:rsidR="002643F3">
      <w:instrText>PAGE   \* MERGEFORMAT</w:instrText>
    </w:r>
    <w:r>
      <w:fldChar w:fldCharType="separate"/>
    </w:r>
    <w:r w:rsidR="000D7230" w:rsidRPr="000D7230">
      <w:rPr>
        <w:noProof/>
        <w:lang w:val="zh-TW" w:eastAsia="zh-TW"/>
      </w:rPr>
      <w:t>1</w:t>
    </w:r>
    <w:r>
      <w:rPr>
        <w:noProof/>
        <w:lang w:val="zh-TW" w:eastAsia="zh-TW"/>
      </w:rPr>
      <w:fldChar w:fldCharType="end"/>
    </w:r>
  </w:p>
  <w:p w:rsidR="00A86CB8" w:rsidRDefault="00A86C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DB" w:rsidRDefault="00B611DB" w:rsidP="00C053CF">
      <w:pPr>
        <w:spacing w:line="240" w:lineRule="auto"/>
      </w:pPr>
      <w:r>
        <w:separator/>
      </w:r>
    </w:p>
  </w:footnote>
  <w:footnote w:type="continuationSeparator" w:id="0">
    <w:p w:rsidR="00B611DB" w:rsidRDefault="00B611DB" w:rsidP="00C05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CF"/>
    <w:rsid w:val="00011F7B"/>
    <w:rsid w:val="00041E92"/>
    <w:rsid w:val="00060963"/>
    <w:rsid w:val="000D0C62"/>
    <w:rsid w:val="000D3C92"/>
    <w:rsid w:val="000D7230"/>
    <w:rsid w:val="000E1122"/>
    <w:rsid w:val="000F68B8"/>
    <w:rsid w:val="00102509"/>
    <w:rsid w:val="00145C52"/>
    <w:rsid w:val="00170C2F"/>
    <w:rsid w:val="00185C17"/>
    <w:rsid w:val="001A1388"/>
    <w:rsid w:val="001A1398"/>
    <w:rsid w:val="001D19E0"/>
    <w:rsid w:val="001D743F"/>
    <w:rsid w:val="001E3D24"/>
    <w:rsid w:val="00201312"/>
    <w:rsid w:val="002046DE"/>
    <w:rsid w:val="00212359"/>
    <w:rsid w:val="00213B2F"/>
    <w:rsid w:val="002200C2"/>
    <w:rsid w:val="00233C8B"/>
    <w:rsid w:val="0024354C"/>
    <w:rsid w:val="002643F3"/>
    <w:rsid w:val="002872B8"/>
    <w:rsid w:val="002872C7"/>
    <w:rsid w:val="002B0E6C"/>
    <w:rsid w:val="00385B2B"/>
    <w:rsid w:val="00385DFC"/>
    <w:rsid w:val="00393671"/>
    <w:rsid w:val="003970EC"/>
    <w:rsid w:val="003A6CF8"/>
    <w:rsid w:val="003B1BD3"/>
    <w:rsid w:val="003C52BF"/>
    <w:rsid w:val="003D1E06"/>
    <w:rsid w:val="003D6446"/>
    <w:rsid w:val="003F3DDB"/>
    <w:rsid w:val="003F41B7"/>
    <w:rsid w:val="00402B77"/>
    <w:rsid w:val="00405E84"/>
    <w:rsid w:val="00422548"/>
    <w:rsid w:val="00422D90"/>
    <w:rsid w:val="00434B0C"/>
    <w:rsid w:val="00440384"/>
    <w:rsid w:val="004439AF"/>
    <w:rsid w:val="00443EDA"/>
    <w:rsid w:val="004540B7"/>
    <w:rsid w:val="004A189F"/>
    <w:rsid w:val="004B3E51"/>
    <w:rsid w:val="004B5C68"/>
    <w:rsid w:val="004B5E06"/>
    <w:rsid w:val="004C6D65"/>
    <w:rsid w:val="00513B89"/>
    <w:rsid w:val="00554599"/>
    <w:rsid w:val="005627F9"/>
    <w:rsid w:val="00566423"/>
    <w:rsid w:val="0056652B"/>
    <w:rsid w:val="005A25E4"/>
    <w:rsid w:val="005A5F98"/>
    <w:rsid w:val="005B0BA3"/>
    <w:rsid w:val="005C40BC"/>
    <w:rsid w:val="005D1E72"/>
    <w:rsid w:val="005E1310"/>
    <w:rsid w:val="005F494D"/>
    <w:rsid w:val="00601343"/>
    <w:rsid w:val="006045E9"/>
    <w:rsid w:val="006062DB"/>
    <w:rsid w:val="00627867"/>
    <w:rsid w:val="006300DE"/>
    <w:rsid w:val="00694A54"/>
    <w:rsid w:val="006956CA"/>
    <w:rsid w:val="0069731E"/>
    <w:rsid w:val="006F764D"/>
    <w:rsid w:val="0070263C"/>
    <w:rsid w:val="0071511B"/>
    <w:rsid w:val="00727216"/>
    <w:rsid w:val="007410CD"/>
    <w:rsid w:val="00750393"/>
    <w:rsid w:val="00763383"/>
    <w:rsid w:val="0076706E"/>
    <w:rsid w:val="00767534"/>
    <w:rsid w:val="00783A27"/>
    <w:rsid w:val="00797731"/>
    <w:rsid w:val="007E1D74"/>
    <w:rsid w:val="007E6AA7"/>
    <w:rsid w:val="007F0AEE"/>
    <w:rsid w:val="00803DE6"/>
    <w:rsid w:val="00896CF9"/>
    <w:rsid w:val="008B1CCF"/>
    <w:rsid w:val="008C351C"/>
    <w:rsid w:val="008C3563"/>
    <w:rsid w:val="008C3C3E"/>
    <w:rsid w:val="008E7A3E"/>
    <w:rsid w:val="008E7AAF"/>
    <w:rsid w:val="008F2731"/>
    <w:rsid w:val="00901A2B"/>
    <w:rsid w:val="00905DC8"/>
    <w:rsid w:val="00995460"/>
    <w:rsid w:val="009A4A92"/>
    <w:rsid w:val="009C08FB"/>
    <w:rsid w:val="009D187B"/>
    <w:rsid w:val="00A17EDA"/>
    <w:rsid w:val="00A23C38"/>
    <w:rsid w:val="00A3714F"/>
    <w:rsid w:val="00A762E6"/>
    <w:rsid w:val="00A86CB8"/>
    <w:rsid w:val="00A911E7"/>
    <w:rsid w:val="00A967D6"/>
    <w:rsid w:val="00AB1B84"/>
    <w:rsid w:val="00AB5DA1"/>
    <w:rsid w:val="00AD142B"/>
    <w:rsid w:val="00AD53AD"/>
    <w:rsid w:val="00AE378B"/>
    <w:rsid w:val="00B17AA9"/>
    <w:rsid w:val="00B36C86"/>
    <w:rsid w:val="00B50235"/>
    <w:rsid w:val="00B611DB"/>
    <w:rsid w:val="00B80BB2"/>
    <w:rsid w:val="00B817AC"/>
    <w:rsid w:val="00B86886"/>
    <w:rsid w:val="00B86BC6"/>
    <w:rsid w:val="00B86C0B"/>
    <w:rsid w:val="00BC5F94"/>
    <w:rsid w:val="00BC73D2"/>
    <w:rsid w:val="00BF7FF5"/>
    <w:rsid w:val="00C01B45"/>
    <w:rsid w:val="00C01B5E"/>
    <w:rsid w:val="00C053CF"/>
    <w:rsid w:val="00C073A5"/>
    <w:rsid w:val="00C60116"/>
    <w:rsid w:val="00C6410E"/>
    <w:rsid w:val="00C75DB5"/>
    <w:rsid w:val="00CA2E69"/>
    <w:rsid w:val="00CA7DF7"/>
    <w:rsid w:val="00CD30E9"/>
    <w:rsid w:val="00CD4651"/>
    <w:rsid w:val="00CD5109"/>
    <w:rsid w:val="00CE033B"/>
    <w:rsid w:val="00CF2F4A"/>
    <w:rsid w:val="00D05A0D"/>
    <w:rsid w:val="00D126CD"/>
    <w:rsid w:val="00D13AB3"/>
    <w:rsid w:val="00D22E80"/>
    <w:rsid w:val="00D33BCF"/>
    <w:rsid w:val="00D636CF"/>
    <w:rsid w:val="00D65D69"/>
    <w:rsid w:val="00D70786"/>
    <w:rsid w:val="00D90566"/>
    <w:rsid w:val="00D944CE"/>
    <w:rsid w:val="00DB55B6"/>
    <w:rsid w:val="00DB73CC"/>
    <w:rsid w:val="00DC0966"/>
    <w:rsid w:val="00DC5795"/>
    <w:rsid w:val="00DF0FC9"/>
    <w:rsid w:val="00DF30AC"/>
    <w:rsid w:val="00E1151C"/>
    <w:rsid w:val="00E20619"/>
    <w:rsid w:val="00E20ED1"/>
    <w:rsid w:val="00E73965"/>
    <w:rsid w:val="00E76798"/>
    <w:rsid w:val="00F12EFE"/>
    <w:rsid w:val="00F23D21"/>
    <w:rsid w:val="00F424EB"/>
    <w:rsid w:val="00F4294E"/>
    <w:rsid w:val="00FA034D"/>
    <w:rsid w:val="00FD5D06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58E201"/>
  <w15:docId w15:val="{2BB3C586-01EB-4AB2-9714-FA267DE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965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E73965"/>
    <w:pPr>
      <w:keepNext/>
      <w:numPr>
        <w:numId w:val="1"/>
      </w:numPr>
      <w:ind w:left="482" w:hanging="482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E73965"/>
    <w:rPr>
      <w:rFonts w:ascii="華康儷楷書(P)" w:eastAsia="華康儷楷書(P)" w:hAnsi="華康儷楷書(P)"/>
    </w:rPr>
  </w:style>
  <w:style w:type="character" w:customStyle="1" w:styleId="WW8Num7z0">
    <w:name w:val="WW8Num7z0"/>
    <w:rsid w:val="00E73965"/>
    <w:rPr>
      <w:rFonts w:ascii="華康儷楷書(P)" w:eastAsia="華康儷楷書(P)" w:hAnsi="華康儷楷書(P)"/>
    </w:rPr>
  </w:style>
  <w:style w:type="character" w:styleId="a3">
    <w:name w:val="Hyperlink"/>
    <w:rsid w:val="00E73965"/>
    <w:rPr>
      <w:color w:val="0000FF"/>
      <w:u w:val="single"/>
    </w:rPr>
  </w:style>
  <w:style w:type="paragraph" w:styleId="a4">
    <w:name w:val="Title"/>
    <w:basedOn w:val="a"/>
    <w:next w:val="a5"/>
    <w:qFormat/>
    <w:rsid w:val="00E7396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rsid w:val="00E73965"/>
    <w:pPr>
      <w:spacing w:after="120"/>
    </w:pPr>
  </w:style>
  <w:style w:type="paragraph" w:styleId="a6">
    <w:name w:val="List"/>
    <w:basedOn w:val="a5"/>
    <w:rsid w:val="00E73965"/>
    <w:rPr>
      <w:rFonts w:cs="Mangal"/>
    </w:rPr>
  </w:style>
  <w:style w:type="paragraph" w:customStyle="1" w:styleId="a7">
    <w:name w:val="標籤"/>
    <w:basedOn w:val="a"/>
    <w:rsid w:val="00E739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目錄"/>
    <w:basedOn w:val="a"/>
    <w:rsid w:val="00E73965"/>
    <w:pPr>
      <w:suppressLineNumbers/>
    </w:pPr>
    <w:rPr>
      <w:rFonts w:cs="Mangal"/>
    </w:rPr>
  </w:style>
  <w:style w:type="paragraph" w:styleId="a9">
    <w:name w:val="header"/>
    <w:basedOn w:val="a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aa">
    <w:name w:val="footer"/>
    <w:basedOn w:val="a"/>
    <w:link w:val="ab"/>
    <w:uiPriority w:val="99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2">
    <w:name w:val="Body Text Indent 2"/>
    <w:basedOn w:val="a"/>
    <w:rsid w:val="00E73965"/>
    <w:pPr>
      <w:spacing w:before="120" w:line="240" w:lineRule="auto"/>
      <w:ind w:left="360" w:hanging="360"/>
      <w:textAlignment w:val="auto"/>
    </w:pPr>
    <w:rPr>
      <w:kern w:val="1"/>
      <w:sz w:val="26"/>
    </w:rPr>
  </w:style>
  <w:style w:type="paragraph" w:customStyle="1" w:styleId="ac">
    <w:name w:val="表格內容"/>
    <w:basedOn w:val="a"/>
    <w:rsid w:val="00E73965"/>
    <w:pPr>
      <w:suppressLineNumbers/>
    </w:pPr>
  </w:style>
  <w:style w:type="paragraph" w:customStyle="1" w:styleId="ad">
    <w:name w:val="表格標題"/>
    <w:basedOn w:val="ac"/>
    <w:rsid w:val="00E73965"/>
    <w:pPr>
      <w:jc w:val="center"/>
    </w:pPr>
    <w:rPr>
      <w:b/>
      <w:bCs/>
    </w:rPr>
  </w:style>
  <w:style w:type="character" w:customStyle="1" w:styleId="apple-converted-space">
    <w:name w:val="apple-converted-space"/>
    <w:rsid w:val="00750393"/>
  </w:style>
  <w:style w:type="character" w:styleId="ae">
    <w:name w:val="Emphasis"/>
    <w:uiPriority w:val="20"/>
    <w:qFormat/>
    <w:rsid w:val="00750393"/>
    <w:rPr>
      <w:i/>
      <w:iCs/>
    </w:rPr>
  </w:style>
  <w:style w:type="character" w:customStyle="1" w:styleId="ab">
    <w:name w:val="頁尾 字元"/>
    <w:link w:val="aa"/>
    <w:uiPriority w:val="99"/>
    <w:rsid w:val="00A86CB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graveconnect.com.ezproxy.lib.ncyu.edu.tw/pc/doifinder/10.1057/9781137317193.00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tcctt@ccu.edu.tw" TargetMode="External"/><Relationship Id="rId12" Type="http://schemas.openxmlformats.org/officeDocument/2006/relationships/hyperlink" Target="http://www.vbsinternational.eu/files/media/research_article/G._Halasz__A._Michel_-_Key_competences_in_Europe_-_interpretation_policy_and_implement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education/policy/school/doc/keyreview_en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lfa-trall.eu/wp-content/uploads/2012/01/EU2007-keyCompetencesL3-brochu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lgraveconnect.com.ezproxy.lib.ncyu.edu.tw/pc/doifinder/10.1057/9781137399595.0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Links>
    <vt:vector size="42" baseType="variant">
      <vt:variant>
        <vt:i4>262205</vt:i4>
      </vt:variant>
      <vt:variant>
        <vt:i4>18</vt:i4>
      </vt:variant>
      <vt:variant>
        <vt:i4>0</vt:i4>
      </vt:variant>
      <vt:variant>
        <vt:i4>5</vt:i4>
      </vt:variant>
      <vt:variant>
        <vt:lpwstr>http://www.vbsinternational.eu/files/media/research_article/G._Halasz__A._Michel_-_Key_competences_in_Europe_-_interpretation_policy_and_implementation.pdf</vt:lpwstr>
      </vt:variant>
      <vt:variant>
        <vt:lpwstr/>
      </vt:variant>
      <vt:variant>
        <vt:i4>2424913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http://ec.europa.eu/education/policy/school/doc/keyreview_en.pdf</vt:lpwstr>
      </vt:variant>
      <vt:variant>
        <vt:lpwstr/>
      </vt:variant>
      <vt:variant>
        <vt:i4>5963851</vt:i4>
      </vt:variant>
      <vt:variant>
        <vt:i4>12</vt:i4>
      </vt:variant>
      <vt:variant>
        <vt:i4>0</vt:i4>
      </vt:variant>
      <vt:variant>
        <vt:i4>5</vt:i4>
      </vt:variant>
      <vt:variant>
        <vt:lpwstr>http://www.alfa-trall.eu/wp-content/uploads/2012/01/EU2007-keyCompetencesL3-brochure.pdf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http://etds.lib.ntnu.edu.tw/cgi-bin/gs32/gsweb.cgi/ccd=rjYaFW/record?r1=1&amp;h1=0</vt:lpwstr>
      </vt:variant>
      <vt:variant>
        <vt:lpwstr>XXXX</vt:lpwstr>
      </vt:variant>
      <vt:variant>
        <vt:i4>6815788</vt:i4>
      </vt:variant>
      <vt:variant>
        <vt:i4>6</vt:i4>
      </vt:variant>
      <vt:variant>
        <vt:i4>0</vt:i4>
      </vt:variant>
      <vt:variant>
        <vt:i4>5</vt:i4>
      </vt:variant>
      <vt:variant>
        <vt:lpwstr>http://www.palgraveconnect.com.ezproxy.lib.ncyu.edu.tw/pc/doifinder/10.1057/9781137399595.0001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http://www.palgraveconnect.com.ezproxy.lib.ncyu.edu.tw/pc/doifinder/10.1057/9781137317193.0001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mailto:ttcctt@ccu.edu.tw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-國立中正大學教育學程大學部教學大綱</dc:title>
  <dc:creator>ccu</dc:creator>
  <cp:lastModifiedBy>Admin</cp:lastModifiedBy>
  <cp:revision>17</cp:revision>
  <cp:lastPrinted>2015-11-26T07:13:00Z</cp:lastPrinted>
  <dcterms:created xsi:type="dcterms:W3CDTF">2022-10-17T04:58:00Z</dcterms:created>
  <dcterms:modified xsi:type="dcterms:W3CDTF">2025-05-16T08:42:00Z</dcterms:modified>
</cp:coreProperties>
</file>