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777777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60BAA67" w:rsidR="002023EC" w:rsidRPr="00AA5F4C" w:rsidRDefault="004E4076" w:rsidP="003760F6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3760F6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19E1CA" w:rsidR="000B3E3B" w:rsidRPr="00AA5F4C" w:rsidRDefault="003760F6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30768E72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ED7269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1F7CB4A" w:rsidR="002023EC" w:rsidRPr="00F66AEE" w:rsidRDefault="003760F6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票據法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9E42C75" w:rsidR="002023EC" w:rsidRPr="00F66AEE" w:rsidRDefault="003760F6" w:rsidP="001B56F5">
            <w:pPr>
              <w:spacing w:before="0" w:beforeAutospacing="0" w:line="320" w:lineRule="exact"/>
              <w:ind w:firstLineChars="100" w:firstLine="270"/>
              <w:rPr>
                <w:rFonts w:ascii="Times New Roman" w:eastAsia="微軟正黑體" w:hAnsi="Times New Roman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Law of Negotiable Instruments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7F54B0C" w:rsidR="002023EC" w:rsidRPr="00A5210C" w:rsidRDefault="002023EC" w:rsidP="004D3458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11</w:t>
            </w:r>
            <w:r w:rsidR="004D3458">
              <w:rPr>
                <w:rFonts w:ascii="微軟正黑體" w:eastAsia="微軟正黑體" w:hAnsi="微軟正黑體"/>
                <w:lang w:eastAsia="zh-TW"/>
              </w:rPr>
              <w:t>4</w:t>
            </w:r>
            <w:bookmarkStart w:id="0" w:name="_GoBack"/>
            <w:bookmarkEnd w:id="0"/>
            <w:r w:rsidR="006D0C22">
              <w:rPr>
                <w:rFonts w:ascii="微軟正黑體" w:eastAsia="微軟正黑體" w:hAnsi="微軟正黑體" w:hint="eastAsia"/>
                <w:lang w:eastAsia="zh-TW"/>
              </w:rPr>
              <w:t>學年第1學期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6EF3938F" w:rsidR="002023EC" w:rsidRPr="001C052A" w:rsidRDefault="006D0C22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170C2F2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法律學系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8E895F2" w:rsidR="002023EC" w:rsidRPr="007B34D7" w:rsidRDefault="006D0C22" w:rsidP="006D0C22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53DE5065" w:rsidR="002023EC" w:rsidRPr="00A5210C" w:rsidRDefault="006D0C22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星期四下午4：10至6：00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7777777" w:rsidR="002023EC" w:rsidRDefault="002023EC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4512FB63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6D0C22">
              <w:rPr>
                <w:rFonts w:ascii="微軟正黑體" w:eastAsia="微軟正黑體" w:hAnsi="微軟正黑體" w:hint="eastAsia"/>
                <w:lang w:eastAsia="zh-TW"/>
              </w:rPr>
              <w:t>馮善詮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6512C3C" w:rsidR="002023EC" w:rsidRPr="001C052A" w:rsidRDefault="006D0C22" w:rsidP="006D0C22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標楷體"/>
              </w:rPr>
              <w:t>s</w:t>
            </w:r>
            <w:r>
              <w:rPr>
                <w:rFonts w:eastAsia="標楷體" w:hint="eastAsia"/>
              </w:rPr>
              <w:t>am-</w:t>
            </w:r>
            <w:r>
              <w:rPr>
                <w:rFonts w:eastAsia="標楷體"/>
              </w:rPr>
              <w:t>651022@hotmail.com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17258" w14:textId="77777777" w:rsidR="006D0C22" w:rsidRDefault="006D0C22" w:rsidP="006D0C22">
            <w:pPr>
              <w:spacing w:before="0" w:beforeAutospacing="0" w:line="320" w:lineRule="exact"/>
              <w:ind w:leftChars="0" w:left="0"/>
              <w:rPr>
                <w:rFonts w:ascii="Times New Roman" w:hAnsi="Times New Roman"/>
                <w:color w:val="000000"/>
                <w:sz w:val="27"/>
                <w:szCs w:val="27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一、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本課程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期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使學生熟悉並掌握票據相關法令，暸解不同票據類型規範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，</w:t>
            </w:r>
          </w:p>
          <w:p w14:paraId="59193841" w14:textId="77777777" w:rsidR="006D0C22" w:rsidRDefault="006D0C22" w:rsidP="006D0C22">
            <w:pPr>
              <w:spacing w:before="0" w:beforeAutospacing="0" w:line="320" w:lineRule="exact"/>
              <w:ind w:leftChars="0" w:left="0" w:firstLineChars="200" w:firstLine="54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並輔以不同的票據圖示及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案例討論，使學生對我國票據法之學說及實</w:t>
            </w:r>
          </w:p>
          <w:p w14:paraId="6199F855" w14:textId="032C6487" w:rsidR="002023EC" w:rsidRDefault="006D0C22" w:rsidP="006D0C22">
            <w:pPr>
              <w:spacing w:before="0" w:beforeAutospacing="0" w:line="320" w:lineRule="exact"/>
              <w:ind w:leftChars="0" w:left="0" w:firstLineChars="200" w:firstLine="540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務加以認識。</w:t>
            </w:r>
          </w:p>
          <w:p w14:paraId="414924B5" w14:textId="36D54000" w:rsidR="006D0C22" w:rsidRPr="001C052A" w:rsidRDefault="006D0C22" w:rsidP="006D0C22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二、授課時數：每週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2</w:t>
            </w:r>
            <w:r>
              <w:rPr>
                <w:rFonts w:ascii="Times New Roman" w:hAnsi="Times New Roman" w:hint="eastAsia"/>
                <w:color w:val="000000"/>
                <w:sz w:val="27"/>
                <w:szCs w:val="27"/>
                <w:lang w:eastAsia="zh-TW"/>
              </w:rPr>
              <w:t>小時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D123992" w:rsidR="002023EC" w:rsidRPr="00B836C3" w:rsidRDefault="006D0C22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>熟悉並掌握票據相關法令之架構與內容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4E8504" w14:textId="77777777" w:rsidR="007D74FD" w:rsidRDefault="007D74FD" w:rsidP="007D74FD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林洲富：案例式票據法</w:t>
            </w:r>
          </w:p>
          <w:p w14:paraId="238BE3AC" w14:textId="5351A2CC" w:rsidR="002023EC" w:rsidRDefault="006D0C22" w:rsidP="00F35B3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王志誠：票據法</w:t>
            </w:r>
          </w:p>
          <w:p w14:paraId="7DDF5CB9" w14:textId="541CD9E5" w:rsidR="007D74FD" w:rsidRPr="007D74FD" w:rsidRDefault="007D74FD" w:rsidP="00F35B3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鄭玉波</w:t>
            </w:r>
            <w:r>
              <w:rPr>
                <w:rFonts w:eastAsia="微軟正黑體" w:hint="eastAsia"/>
                <w:lang w:eastAsia="zh-TW"/>
              </w:rPr>
              <w:t xml:space="preserve">  </w:t>
            </w:r>
            <w:r>
              <w:rPr>
                <w:rFonts w:eastAsia="微軟正黑體" w:hint="eastAsia"/>
                <w:lang w:eastAsia="zh-TW"/>
              </w:rPr>
              <w:t>票據法</w:t>
            </w:r>
          </w:p>
          <w:p w14:paraId="1852BB6E" w14:textId="77777777" w:rsidR="00F35B38" w:rsidRDefault="00F35B38" w:rsidP="00F35B38">
            <w:pPr>
              <w:spacing w:before="0" w:beforeAutospacing="0"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法學期刊相關論文</w:t>
            </w:r>
          </w:p>
          <w:p w14:paraId="60AA7F3B" w14:textId="365134C0" w:rsidR="00F35B38" w:rsidRPr="001C052A" w:rsidRDefault="00F35B38" w:rsidP="00F35B38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教師自備</w:t>
            </w:r>
            <w:r>
              <w:rPr>
                <w:rFonts w:eastAsia="微軟正黑體" w:hint="eastAsia"/>
                <w:lang w:eastAsia="zh-TW"/>
              </w:rPr>
              <w:t>PPT</w:t>
            </w:r>
            <w:r>
              <w:rPr>
                <w:rFonts w:eastAsia="微軟正黑體" w:hint="eastAsia"/>
                <w:lang w:eastAsia="zh-TW"/>
              </w:rPr>
              <w:t>講義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3E2C64F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AD4C699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3658C8ED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C8D22A2" w:rsidR="002023EC" w:rsidRPr="00AA5F4C" w:rsidRDefault="00F35B38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102AEACB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52D035F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2023EC" w:rsidRPr="00C45345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9725A40" w:rsidR="002023EC" w:rsidRPr="00AA5F4C" w:rsidRDefault="00C45345" w:rsidP="00F35B3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35B38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AF0A3B" w14:textId="3FB08085" w:rsidR="00906164" w:rsidRDefault="00906164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1.</w:t>
            </w:r>
            <w:r>
              <w:rPr>
                <w:rFonts w:eastAsia="標楷體" w:hint="eastAsia"/>
                <w:lang w:eastAsia="zh-TW"/>
              </w:rPr>
              <w:t>請尊重智慧財產權，不得非法影印教師指定之教科書籍</w:t>
            </w:r>
          </w:p>
          <w:p w14:paraId="5C57E083" w14:textId="0B2F67D5" w:rsidR="002023EC" w:rsidRPr="001C052A" w:rsidRDefault="00906164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  <w:r>
              <w:rPr>
                <w:rFonts w:eastAsia="標楷體" w:hint="eastAsia"/>
                <w:lang w:eastAsia="zh-TW"/>
              </w:rPr>
              <w:t>2.</w:t>
            </w:r>
            <w:r w:rsidR="00F35B38">
              <w:rPr>
                <w:rFonts w:eastAsia="標楷體" w:hint="eastAsia"/>
              </w:rPr>
              <w:t>上課期間請將手機關閉或關靜音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EA51143" w:rsidR="002023EC" w:rsidRPr="00F66AEE" w:rsidRDefault="002023EC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票據之基本概念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6A2C998" w:rsidR="002023EC" w:rsidRPr="00F66AEE" w:rsidRDefault="002023EC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票據之法律關係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5A4C93F1" w:rsidR="002023EC" w:rsidRPr="00F66AEE" w:rsidRDefault="00F35B38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3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票據行為之意義、性質與特性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5DD9A11E" w:rsidR="002023EC" w:rsidRPr="00F66AEE" w:rsidRDefault="00F35B38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4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票據行為之要件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10C43E0D" w:rsidR="002023EC" w:rsidRPr="00F66AEE" w:rsidRDefault="00F35B38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5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票據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之偽造與變造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6CE7CF8A" w:rsidR="002023EC" w:rsidRPr="00F66AEE" w:rsidRDefault="00F35B38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6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票據權利之取得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863E704" w:rsidR="002023EC" w:rsidRPr="00F66AEE" w:rsidRDefault="002023EC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票據之抗辯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D750BD7" w:rsidR="002023EC" w:rsidRPr="00F66AEE" w:rsidRDefault="002023EC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票據時效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5B894BA6" w:rsidR="002023EC" w:rsidRPr="00F66AEE" w:rsidRDefault="00F35B38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9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期中考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2CB808B2" w:rsidR="002023EC" w:rsidRPr="00F66AEE" w:rsidRDefault="009021D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10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匯票（一）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468FD603" w:rsidR="002023EC" w:rsidRPr="00F66AEE" w:rsidRDefault="009021DF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11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匯票（二）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05B4561" w:rsidR="002023EC" w:rsidRPr="00F66AEE" w:rsidRDefault="009021DF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12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匯票（三）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B74BFB0" w:rsidR="002023EC" w:rsidRPr="00F66AEE" w:rsidRDefault="009021DF" w:rsidP="009021DF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13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本票（一）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F258FA7" w:rsidR="002023EC" w:rsidRPr="00F66AEE" w:rsidRDefault="009021D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14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本票（二）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65BCFA1D" w:rsidR="002023EC" w:rsidRPr="00F66AEE" w:rsidRDefault="009021DF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15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支票（一）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FF7CC1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="009021DF">
              <w:rPr>
                <w:rFonts w:ascii="Times New Roman" w:eastAsia="微軟正黑體" w:hAnsi="Times New Roman"/>
                <w:lang w:eastAsia="zh-TW"/>
              </w:rPr>
              <w:t>16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支票（二）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2DB501C1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9021DF">
              <w:rPr>
                <w:rFonts w:ascii="Times New Roman" w:eastAsia="微軟正黑體" w:hAnsi="Times New Roman" w:hint="eastAsia"/>
                <w:lang w:eastAsia="zh-TW"/>
              </w:rPr>
              <w:t>支票（三）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579E240" w:rsidR="002023EC" w:rsidRPr="00F66AEE" w:rsidRDefault="00F35B38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 18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期末考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B80D96">
        <w:trPr>
          <w:trHeight w:val="4499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9"/>
              <w:gridCol w:w="4111"/>
              <w:gridCol w:w="992"/>
              <w:gridCol w:w="993"/>
              <w:gridCol w:w="850"/>
              <w:gridCol w:w="992"/>
              <w:gridCol w:w="953"/>
            </w:tblGrid>
            <w:tr w:rsidR="002D3E62" w:rsidRPr="00FF66D4" w14:paraId="3097E665" w14:textId="77777777" w:rsidTr="002601CB">
              <w:tc>
                <w:tcPr>
                  <w:tcW w:w="5660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78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601CB">
              <w:tc>
                <w:tcPr>
                  <w:tcW w:w="5660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2601CB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E14F4E" w:rsidRPr="00FF66D4" w14:paraId="47C89C79" w14:textId="77777777" w:rsidTr="004E14E1">
              <w:trPr>
                <w:trHeight w:val="331"/>
              </w:trPr>
              <w:tc>
                <w:tcPr>
                  <w:tcW w:w="1549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E14F4E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E14F4E" w:rsidRPr="00FF66D4" w:rsidRDefault="00E14F4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411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0B60264C" w:rsidR="00E14F4E" w:rsidRPr="002601CB" w:rsidRDefault="00E14F4E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具備現代法學各領域之法學基礎知識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E14F4E" w:rsidRPr="00F66AEE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E14F4E" w:rsidRPr="00FF66D4" w:rsidRDefault="00E14F4E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6717C584" w:rsidR="00E14F4E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2D3E62" w:rsidRPr="00FF66D4" w14:paraId="3CFF1E25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4036755E" w:rsidR="002D3E62" w:rsidRPr="002601CB" w:rsidRDefault="00FC519A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解決</w:t>
                  </w:r>
                  <w:r w:rsidR="004E14E1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基礎</w:t>
                  </w:r>
                  <w:r w:rsidR="002601CB"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法律問題之能力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187B307" w:rsidR="002D3E62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B80D96" w:rsidRPr="00FF66D4" w14:paraId="5A8990EF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04416621" w:rsidR="00B80D96" w:rsidRPr="00F66AEE" w:rsidRDefault="006B6E05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法律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專業倫理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300FFF41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80D96" w:rsidRPr="00FF66D4" w14:paraId="49EBC046" w14:textId="77777777" w:rsidTr="002601CB"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0607D4C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50B3A9BF" w14:textId="4AE65E03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微軟正黑體" w:eastAsia="微軟正黑體" w:hAnsi="微軟正黑體"/>
                      <w:b/>
                      <w:color w:val="000000"/>
                      <w:shd w:val="clear" w:color="auto" w:fill="FFFFFF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學研究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83D5C3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7AC575B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A01CC4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E7C7BD2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8A7015A" w14:textId="16014082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B80D96" w:rsidRPr="006B6E05" w14:paraId="26F7C600" w14:textId="77777777" w:rsidTr="00B80D96">
              <w:trPr>
                <w:trHeight w:val="481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B80D96" w:rsidRPr="00FF66D4" w:rsidRDefault="00B80D96" w:rsidP="00B80D96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5D3E0CB" w:rsidR="00B80D96" w:rsidRPr="002601CB" w:rsidRDefault="00B80D96" w:rsidP="00B80D96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具備基礎法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律實務</w:t>
                  </w: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B80D96" w:rsidRPr="00F66AEE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B80D96" w:rsidRPr="00FF66D4" w:rsidRDefault="00B80D96" w:rsidP="00B80D96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49146FC0" w:rsidR="00B80D96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E14F4E" w:rsidRPr="00FF66D4" w14:paraId="6A4A1B97" w14:textId="77777777" w:rsidTr="00E14F4E">
              <w:trPr>
                <w:trHeight w:val="411"/>
              </w:trPr>
              <w:tc>
                <w:tcPr>
                  <w:tcW w:w="1549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7F818AF" w14:textId="77777777" w:rsidR="00E14F4E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33D7EE08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7DD3776D" w14:textId="77777777" w:rsidR="00E14F4E" w:rsidRPr="00FF66D4" w:rsidRDefault="00E14F4E" w:rsidP="006B6E0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411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4999E96" w14:textId="1AFFFA38" w:rsidR="00E14F4E" w:rsidRPr="00F66AEE" w:rsidRDefault="00E14F4E" w:rsidP="00E14F4E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具備獨立思考與邏輯思辯之能力</w:t>
                  </w: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0465C26D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bottom w:val="dotted" w:sz="4" w:space="0" w:color="auto"/>
                  </w:tcBorders>
                  <w:vAlign w:val="center"/>
                </w:tcPr>
                <w:p w14:paraId="4EE09295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bottom w:val="dotted" w:sz="4" w:space="0" w:color="auto"/>
                  </w:tcBorders>
                  <w:vAlign w:val="center"/>
                </w:tcPr>
                <w:p w14:paraId="186446CE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bottom w:val="dotted" w:sz="4" w:space="0" w:color="auto"/>
                  </w:tcBorders>
                  <w:vAlign w:val="center"/>
                </w:tcPr>
                <w:p w14:paraId="59FD1D28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E547CF1" w14:textId="70C026AB" w:rsidR="00E14F4E" w:rsidRPr="00FF66D4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</w:tr>
            <w:tr w:rsidR="00E14F4E" w:rsidRPr="00FF66D4" w14:paraId="190AE31F" w14:textId="77777777" w:rsidTr="00E14F4E">
              <w:trPr>
                <w:trHeight w:val="419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8E739EF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9A651BB" w14:textId="588EE392" w:rsidR="00E14F4E" w:rsidRPr="00F66AEE" w:rsidRDefault="00E14F4E" w:rsidP="00E14F4E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具備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團隊合作及溝通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之</w:t>
                  </w:r>
                  <w:r w:rsidRPr="006B6E05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</w:rPr>
                    <w:t>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9A267D" w14:textId="169867F5" w:rsidR="00E14F4E" w:rsidRPr="00F66AEE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C33BAF" w14:textId="77777777" w:rsidR="00E14F4E" w:rsidRPr="00F66AEE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D5A435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0953D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5FE2C0CA" w14:textId="77777777" w:rsidR="00E14F4E" w:rsidRPr="00FF66D4" w:rsidRDefault="00E14F4E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B6E05" w:rsidRPr="00FF66D4" w14:paraId="1C022E4D" w14:textId="77777777" w:rsidTr="006B6E05">
              <w:trPr>
                <w:trHeight w:val="253"/>
              </w:trPr>
              <w:tc>
                <w:tcPr>
                  <w:tcW w:w="1549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47161E1F" w14:textId="77777777" w:rsidR="006B6E05" w:rsidRPr="00FF66D4" w:rsidRDefault="006B6E05" w:rsidP="006B6E0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411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368E58BD" w14:textId="665B343F" w:rsidR="006B6E05" w:rsidRPr="00F66AEE" w:rsidRDefault="006B6E05" w:rsidP="006B6E0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2601CB"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具備人文素養、</w:t>
                  </w:r>
                  <w:r>
                    <w:rPr>
                      <w:rFonts w:ascii="微軟正黑體" w:eastAsia="微軟正黑體" w:hAnsi="微軟正黑體" w:hint="eastAsia"/>
                      <w:b/>
                      <w:color w:val="000000"/>
                      <w:shd w:val="clear" w:color="auto" w:fill="FFFFFF"/>
                    </w:rPr>
                    <w:t>關懷社會之能力</w:t>
                  </w: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0DEF1D76" w14:textId="7640A350" w:rsidR="006B6E05" w:rsidRPr="00F66AEE" w:rsidRDefault="006B6E05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993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949E055" w14:textId="28C63744" w:rsidR="006B6E05" w:rsidRPr="00F66AEE" w:rsidRDefault="00081440" w:rsidP="00081440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sz w:val="20"/>
                    </w:rPr>
                    <w:sym w:font="Wingdings 2" w:char="F050"/>
                  </w:r>
                </w:p>
              </w:tc>
              <w:tc>
                <w:tcPr>
                  <w:tcW w:w="85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122FD3A8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9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FD77F0A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953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19318684" w14:textId="77777777" w:rsidR="006B6E05" w:rsidRPr="00FF66D4" w:rsidRDefault="006B6E05" w:rsidP="006B6E0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407F9" w14:textId="77777777" w:rsidR="00D423CA" w:rsidRDefault="00D423CA" w:rsidP="00E9068E">
      <w:pPr>
        <w:spacing w:before="0"/>
      </w:pPr>
      <w:r>
        <w:separator/>
      </w:r>
    </w:p>
  </w:endnote>
  <w:endnote w:type="continuationSeparator" w:id="0">
    <w:p w14:paraId="3EED2F4C" w14:textId="77777777" w:rsidR="00D423CA" w:rsidRDefault="00D423CA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CA8CD" w14:textId="77777777" w:rsidR="00D423CA" w:rsidRDefault="00D423CA" w:rsidP="00E9068E">
      <w:pPr>
        <w:spacing w:before="0"/>
      </w:pPr>
      <w:r>
        <w:separator/>
      </w:r>
    </w:p>
  </w:footnote>
  <w:footnote w:type="continuationSeparator" w:id="0">
    <w:p w14:paraId="0E2CB859" w14:textId="77777777" w:rsidR="00D423CA" w:rsidRDefault="00D423CA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1440"/>
    <w:rsid w:val="0008209B"/>
    <w:rsid w:val="000A4CF7"/>
    <w:rsid w:val="000B2C15"/>
    <w:rsid w:val="000B3E3B"/>
    <w:rsid w:val="000B5D10"/>
    <w:rsid w:val="000C472E"/>
    <w:rsid w:val="000D7AC3"/>
    <w:rsid w:val="000E0C0F"/>
    <w:rsid w:val="000E0C9D"/>
    <w:rsid w:val="000F085A"/>
    <w:rsid w:val="001424D0"/>
    <w:rsid w:val="00151FD2"/>
    <w:rsid w:val="00156A09"/>
    <w:rsid w:val="00185033"/>
    <w:rsid w:val="001A3D56"/>
    <w:rsid w:val="001B416E"/>
    <w:rsid w:val="001B48DB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01CB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7594A"/>
    <w:rsid w:val="003760F6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A22ED"/>
    <w:rsid w:val="004D3458"/>
    <w:rsid w:val="004D40CB"/>
    <w:rsid w:val="004E14E1"/>
    <w:rsid w:val="004E4076"/>
    <w:rsid w:val="004F4DFA"/>
    <w:rsid w:val="004F517A"/>
    <w:rsid w:val="00505EBF"/>
    <w:rsid w:val="00522D4C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6B6E05"/>
    <w:rsid w:val="006D0C22"/>
    <w:rsid w:val="007607E9"/>
    <w:rsid w:val="007B34D7"/>
    <w:rsid w:val="007C04DC"/>
    <w:rsid w:val="007D4DC5"/>
    <w:rsid w:val="007D74FD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021DF"/>
    <w:rsid w:val="00906164"/>
    <w:rsid w:val="009323A7"/>
    <w:rsid w:val="00932AB6"/>
    <w:rsid w:val="009533AF"/>
    <w:rsid w:val="0096101D"/>
    <w:rsid w:val="009636D0"/>
    <w:rsid w:val="00965BE9"/>
    <w:rsid w:val="00977AA8"/>
    <w:rsid w:val="0099199D"/>
    <w:rsid w:val="009A17F2"/>
    <w:rsid w:val="009F1228"/>
    <w:rsid w:val="009F3F9B"/>
    <w:rsid w:val="009F53E0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80D96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423CA"/>
    <w:rsid w:val="00D60A18"/>
    <w:rsid w:val="00D72526"/>
    <w:rsid w:val="00D83835"/>
    <w:rsid w:val="00D83DB5"/>
    <w:rsid w:val="00DD4F0C"/>
    <w:rsid w:val="00DE18A3"/>
    <w:rsid w:val="00DF21F8"/>
    <w:rsid w:val="00E14F4E"/>
    <w:rsid w:val="00E15F38"/>
    <w:rsid w:val="00E30BA9"/>
    <w:rsid w:val="00E70A19"/>
    <w:rsid w:val="00E9068E"/>
    <w:rsid w:val="00EC360C"/>
    <w:rsid w:val="00ED7269"/>
    <w:rsid w:val="00F15A64"/>
    <w:rsid w:val="00F215AE"/>
    <w:rsid w:val="00F22674"/>
    <w:rsid w:val="00F345EA"/>
    <w:rsid w:val="00F35B38"/>
    <w:rsid w:val="00F66AEE"/>
    <w:rsid w:val="00F75052"/>
    <w:rsid w:val="00FB4C3A"/>
    <w:rsid w:val="00FC3432"/>
    <w:rsid w:val="00FC519A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馮善詮</cp:lastModifiedBy>
  <cp:revision>16</cp:revision>
  <cp:lastPrinted>2023-06-26T09:36:00Z</cp:lastPrinted>
  <dcterms:created xsi:type="dcterms:W3CDTF">2023-10-11T01:42:00Z</dcterms:created>
  <dcterms:modified xsi:type="dcterms:W3CDTF">2025-06-06T05:37:00Z</dcterms:modified>
</cp:coreProperties>
</file>