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3"/>
        <w:gridCol w:w="577"/>
        <w:gridCol w:w="3436"/>
        <w:gridCol w:w="30"/>
        <w:gridCol w:w="2274"/>
        <w:gridCol w:w="2827"/>
      </w:tblGrid>
      <w:tr w:rsidR="00A90F37" w:rsidRPr="001C052A" w14:paraId="2CEA8368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E796BBB" w:rsidR="00A90F37" w:rsidRPr="001C052A" w:rsidRDefault="00A90F37" w:rsidP="00A90F37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C8516D">
              <w:rPr>
                <w:rFonts w:ascii="微軟正黑體" w:eastAsia="微軟正黑體" w:hAnsi="微軟正黑體" w:cs="新細明體"/>
              </w:rPr>
              <w:t>11</w:t>
            </w:r>
            <w:r w:rsidR="00AF1E6C">
              <w:rPr>
                <w:rFonts w:ascii="微軟正黑體" w:eastAsia="微軟正黑體" w:hAnsi="微軟正黑體" w:cs="新細明體"/>
              </w:rPr>
              <w:t>4</w:t>
            </w:r>
            <w:r w:rsidRPr="00C8516D">
              <w:rPr>
                <w:rFonts w:ascii="微軟正黑體" w:eastAsia="微軟正黑體" w:hAnsi="微軟正黑體" w:cs="新細明體"/>
              </w:rPr>
              <w:t>_1_340A021_01</w:t>
            </w:r>
          </w:p>
        </w:tc>
        <w:tc>
          <w:tcPr>
            <w:tcW w:w="1071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A297A4B" w14:textId="77777777" w:rsidR="00A90F37" w:rsidRPr="00C401BF" w:rsidRDefault="00A90F37" w:rsidP="00A90F37">
            <w:pPr>
              <w:spacing w:line="320" w:lineRule="exact"/>
              <w:ind w:leftChars="50" w:left="120"/>
              <w:jc w:val="center"/>
              <w:rPr>
                <w:rFonts w:ascii="微軟正黑體" w:eastAsia="微軟正黑體" w:hAnsi="微軟正黑體" w:cs="新細明體"/>
                <w:b/>
              </w:rPr>
            </w:pPr>
            <w:r w:rsidRPr="00C401BF">
              <w:rPr>
                <w:rFonts w:ascii="微軟正黑體" w:eastAsia="微軟正黑體" w:hAnsi="微軟正黑體" w:cs="新細明體"/>
                <w:b/>
              </w:rPr>
              <w:t>全英文授課</w:t>
            </w:r>
          </w:p>
          <w:p w14:paraId="30DA585F" w14:textId="04458231" w:rsidR="00A90F37" w:rsidRPr="00F66AEE" w:rsidRDefault="00A90F37" w:rsidP="00A90F3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C401BF">
              <w:rPr>
                <w:rFonts w:ascii="微軟正黑體" w:eastAsia="微軟正黑體" w:hAnsi="微軟正黑體" w:cs="新細明體" w:hint="eastAsia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277DE86" w:rsidR="00A90F37" w:rsidRPr="00AA5F4C" w:rsidRDefault="00A90F37" w:rsidP="00A90F3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C401BF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>是</w:t>
            </w:r>
            <w:r w:rsidRPr="00C401BF">
              <w:rPr>
                <w:rFonts w:ascii="新細明體" w:hAnsi="新細明體" w:cs="新細明體" w:hint="eastAsia"/>
              </w:rPr>
              <w:t xml:space="preserve">  </w:t>
            </w:r>
            <w:r w:rsidRPr="00C401BF">
              <w:rPr>
                <w:rFonts w:ascii="新細明體" w:hAnsi="新細明體" w:cs="新細明體"/>
              </w:rPr>
              <w:t xml:space="preserve">  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C401BF">
              <w:rPr>
                <w:rFonts w:ascii="新細明體" w:hAnsi="新細明體" w:cs="新細明體" w:hint="eastAsia"/>
              </w:rPr>
              <w:t>否</w:t>
            </w:r>
          </w:p>
        </w:tc>
      </w:tr>
      <w:tr w:rsidR="00A90F37" w:rsidRPr="001C052A" w14:paraId="78F7D95A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A90F37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4C697E3" w:rsidR="00A90F37" w:rsidRPr="00AA5F4C" w:rsidRDefault="00A90F37" w:rsidP="00A90F3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161B1BA" w:rsidR="00A90F37" w:rsidRDefault="00A90F37" w:rsidP="00A90F3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A90F37" w:rsidRPr="00F66AEE" w:rsidRDefault="00A90F37" w:rsidP="00A90F3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A90F37" w:rsidRPr="001C052A" w14:paraId="69F99CC7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67D7" w14:textId="77777777" w:rsidR="00BD196F" w:rsidRDefault="00BD196F" w:rsidP="00A90F37">
            <w:pPr>
              <w:spacing w:line="320" w:lineRule="exact"/>
              <w:ind w:leftChars="50" w:left="120" w:firstLineChars="150" w:firstLine="540"/>
              <w:rPr>
                <w:rFonts w:ascii="微軟正黑體" w:eastAsia="微軟正黑體" w:hAnsi="微軟正黑體" w:cs="新細明體"/>
                <w:b/>
                <w:sz w:val="36"/>
              </w:rPr>
            </w:pPr>
          </w:p>
          <w:p w14:paraId="5944F554" w14:textId="5E77D7B7" w:rsidR="00A90F37" w:rsidRPr="00BD196F" w:rsidRDefault="00A90F37" w:rsidP="00A90F37">
            <w:pPr>
              <w:spacing w:line="320" w:lineRule="exact"/>
              <w:ind w:leftChars="50" w:left="120" w:firstLineChars="150" w:firstLine="540"/>
              <w:rPr>
                <w:rFonts w:ascii="微軟正黑體" w:eastAsia="微軟正黑體" w:hAnsi="微軟正黑體" w:cs="新細明體"/>
                <w:b/>
                <w:sz w:val="36"/>
              </w:rPr>
            </w:pPr>
            <w:r w:rsidRPr="00BD196F">
              <w:rPr>
                <w:rFonts w:ascii="微軟正黑體" w:eastAsia="微軟正黑體" w:hAnsi="微軟正黑體" w:cs="新細明體" w:hint="eastAsia"/>
                <w:b/>
                <w:sz w:val="36"/>
              </w:rPr>
              <w:t>成人教育學研究</w:t>
            </w:r>
          </w:p>
          <w:p w14:paraId="3BA9539E" w14:textId="77777777" w:rsidR="00A90F37" w:rsidRPr="00F66AEE" w:rsidRDefault="00A90F37" w:rsidP="00A90F37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A90F37" w:rsidRPr="00B836C3" w14:paraId="30021486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2EE033F" w14:textId="2B2704FC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5848895" w:rsidR="00A90F37" w:rsidRPr="00BD196F" w:rsidRDefault="00A90F37" w:rsidP="00A90F37">
            <w:pPr>
              <w:spacing w:before="0" w:beforeAutospacing="0" w:line="320" w:lineRule="exact"/>
              <w:ind w:firstLineChars="100" w:firstLine="320"/>
              <w:rPr>
                <w:rFonts w:ascii="Times New Roman" w:eastAsia="微軟正黑體" w:hAnsi="Times New Roman"/>
                <w:b/>
              </w:rPr>
            </w:pPr>
            <w:r w:rsidRPr="00BD196F">
              <w:rPr>
                <w:rFonts w:ascii="微軟正黑體" w:eastAsia="微軟正黑體" w:hAnsi="微軟正黑體" w:cs="新細明體"/>
                <w:b/>
                <w:sz w:val="32"/>
              </w:rPr>
              <w:t>Seminar on the Adult Education</w:t>
            </w:r>
          </w:p>
        </w:tc>
      </w:tr>
      <w:tr w:rsidR="00A90F37" w:rsidRPr="001C052A" w14:paraId="585712CF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7DD8E1E" w:rsidR="00A90F37" w:rsidRPr="00A5210C" w:rsidRDefault="00A90F37" w:rsidP="00A90F3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997D85">
              <w:rPr>
                <w:rFonts w:ascii="微軟正黑體" w:eastAsia="微軟正黑體" w:hAnsi="微軟正黑體" w:cs="新細明體"/>
              </w:rPr>
              <w:t>11</w:t>
            </w:r>
            <w:r w:rsidR="00AF1E6C">
              <w:rPr>
                <w:rFonts w:ascii="微軟正黑體" w:eastAsia="微軟正黑體" w:hAnsi="微軟正黑體" w:cs="新細明體"/>
              </w:rPr>
              <w:t>4</w:t>
            </w:r>
            <w:r>
              <w:rPr>
                <w:rFonts w:ascii="微軟正黑體" w:eastAsia="微軟正黑體" w:hAnsi="微軟正黑體" w:cs="新細明體"/>
              </w:rPr>
              <w:t>-</w:t>
            </w:r>
            <w:r w:rsidRPr="00997D85">
              <w:rPr>
                <w:rFonts w:ascii="微軟正黑體" w:eastAsia="微軟正黑體" w:hAnsi="微軟正黑體" w:cs="新細明體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A90F37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A90F37" w:rsidRPr="00F66AEE" w:rsidRDefault="00A90F37" w:rsidP="00A90F3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A90F37" w:rsidRPr="00F66AEE" w:rsidRDefault="00A90F37" w:rsidP="00A90F3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A90F37" w:rsidRPr="00F66AEE" w:rsidRDefault="00A90F37" w:rsidP="00A90F3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DE6450C" w:rsidR="00A90F37" w:rsidRPr="001C052A" w:rsidRDefault="00A90F37" w:rsidP="00A90F37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A90F37" w:rsidRPr="001C052A" w14:paraId="028A81B4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9F65B7D" w:rsidR="00A90F37" w:rsidRPr="00BD196F" w:rsidRDefault="00A90F37" w:rsidP="00A90F37">
            <w:pPr>
              <w:spacing w:before="0" w:beforeAutospacing="0" w:line="320" w:lineRule="exact"/>
              <w:ind w:left="642" w:hangingChars="100" w:hanging="320"/>
              <w:rPr>
                <w:rFonts w:ascii="微軟正黑體" w:eastAsia="微軟正黑體" w:hAnsi="微軟正黑體"/>
                <w:b/>
                <w:sz w:val="32"/>
              </w:rPr>
            </w:pPr>
            <w:r w:rsidRPr="00BD196F">
              <w:rPr>
                <w:rFonts w:ascii="微軟正黑體" w:eastAsia="微軟正黑體" w:hAnsi="微軟正黑體" w:cs="新細明體" w:hint="eastAsia"/>
                <w:b/>
                <w:sz w:val="32"/>
              </w:rPr>
              <w:t>成人及繼續教育系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5105F39" w:rsidR="00A90F37" w:rsidRPr="007B34D7" w:rsidRDefault="00A90F37" w:rsidP="00A90F3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Pr="007B34D7">
              <w:rPr>
                <w:rFonts w:ascii="新細明體" w:hAnsi="新細明體"/>
                <w:b/>
              </w:rPr>
              <w:t>□</w:t>
            </w:r>
            <w:r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A90F37" w:rsidRPr="001C052A" w14:paraId="3B83ECC7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2E68B90" w:rsidR="00A90F37" w:rsidRPr="00BD196F" w:rsidRDefault="00A90F37" w:rsidP="00A90F37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r w:rsidRPr="00BD196F">
              <w:rPr>
                <w:rFonts w:ascii="微軟正黑體" w:eastAsia="微軟正黑體" w:hAnsi="微軟正黑體" w:hint="eastAsia"/>
                <w:b/>
                <w:sz w:val="32"/>
                <w:lang w:eastAsia="zh-TW"/>
              </w:rPr>
              <w:t>隔週週六</w:t>
            </w:r>
            <w:r w:rsidR="00EF6505" w:rsidRPr="00BD196F">
              <w:rPr>
                <w:rFonts w:ascii="微軟正黑體" w:eastAsia="微軟正黑體" w:hAnsi="微軟正黑體" w:hint="eastAsia"/>
                <w:b/>
                <w:sz w:val="32"/>
                <w:lang w:eastAsia="zh-TW"/>
              </w:rPr>
              <w:t>下午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4254064" w:rsidR="00A90F37" w:rsidRPr="00072F73" w:rsidRDefault="00A90F37" w:rsidP="00072F73">
            <w:pPr>
              <w:spacing w:line="320" w:lineRule="exact"/>
              <w:ind w:leftChars="100" w:left="240"/>
              <w:rPr>
                <w:rFonts w:eastAsia="微軟正黑體"/>
                <w:b/>
              </w:rPr>
            </w:pPr>
            <w:r w:rsidRPr="00072F73">
              <w:rPr>
                <w:rFonts w:ascii="微軟正黑體" w:eastAsia="微軟正黑體" w:hAnsi="微軟正黑體" w:cs="新細明體" w:hint="eastAsia"/>
                <w:b/>
              </w:rPr>
              <w:t>教育</w:t>
            </w:r>
            <w:proofErr w:type="gramStart"/>
            <w:r w:rsidRPr="00072F73">
              <w:rPr>
                <w:rFonts w:ascii="微軟正黑體" w:eastAsia="微軟正黑體" w:hAnsi="微軟正黑體" w:cs="新細明體" w:hint="eastAsia"/>
                <w:b/>
                <w:lang w:eastAsia="zh-TW"/>
              </w:rPr>
              <w:t>一</w:t>
            </w:r>
            <w:proofErr w:type="gramEnd"/>
            <w:r w:rsidRPr="00072F73">
              <w:rPr>
                <w:rFonts w:ascii="微軟正黑體" w:eastAsia="微軟正黑體" w:hAnsi="微軟正黑體" w:cs="新細明體" w:hint="eastAsia"/>
                <w:b/>
              </w:rPr>
              <w:t>館204</w:t>
            </w:r>
          </w:p>
        </w:tc>
      </w:tr>
      <w:tr w:rsidR="00A90F37" w:rsidRPr="001C052A" w14:paraId="326474A0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8583281" w:rsidR="00A90F37" w:rsidRPr="00BD196F" w:rsidRDefault="00A90F37" w:rsidP="00A90F37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r w:rsidRPr="00BD196F">
              <w:rPr>
                <w:rFonts w:ascii="微軟正黑體" w:eastAsia="微軟正黑體" w:hAnsi="微軟正黑體" w:cs="新細明體" w:hint="eastAsia"/>
                <w:b/>
                <w:sz w:val="32"/>
              </w:rPr>
              <w:t>胡夢鯨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8046828" w:rsidR="00A90F37" w:rsidRPr="00BD196F" w:rsidRDefault="003569E4" w:rsidP="00BD196F">
            <w:pPr>
              <w:spacing w:line="320" w:lineRule="exact"/>
              <w:ind w:leftChars="0" w:left="0"/>
              <w:rPr>
                <w:rFonts w:eastAsia="微軟正黑體"/>
                <w:b/>
                <w:sz w:val="28"/>
                <w:lang w:eastAsia="zh-TW"/>
              </w:rPr>
            </w:pPr>
            <w:r w:rsidRPr="00BD196F">
              <w:rPr>
                <w:rFonts w:eastAsia="微軟正黑體"/>
                <w:b/>
                <w:sz w:val="28"/>
                <w:lang w:eastAsia="zh-TW"/>
              </w:rPr>
              <w:t>adumch1@gmail.com</w:t>
            </w:r>
          </w:p>
        </w:tc>
      </w:tr>
      <w:tr w:rsidR="00A90F37" w:rsidRPr="001C052A" w14:paraId="52671300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D55D4EA" w14:textId="77777777" w:rsidR="00BD196F" w:rsidRDefault="00BD196F" w:rsidP="00BD196F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  <w:p w14:paraId="1C9C7B27" w14:textId="51F20926" w:rsidR="00BD196F" w:rsidRPr="001C052A" w:rsidRDefault="00BD196F" w:rsidP="00BD196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61D64772" w14:textId="7D4008BF" w:rsidR="00A90F37" w:rsidRPr="00A5210C" w:rsidRDefault="00A90F37" w:rsidP="00A90F3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A90F37" w:rsidRPr="00F66AEE" w:rsidRDefault="00A90F37" w:rsidP="00A90F3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61CEB491" w:rsidR="00A90F37" w:rsidRPr="001C052A" w:rsidRDefault="00BD196F" w:rsidP="00BD196F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A90F37" w:rsidRPr="001C052A" w14:paraId="1855F7A7" w14:textId="77777777" w:rsidTr="00A90F37">
        <w:trPr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E08A9D2" w:rsidR="00A90F37" w:rsidRPr="001C052A" w:rsidRDefault="00A90F37" w:rsidP="00A90F37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A90F37" w:rsidRPr="001C052A" w:rsidRDefault="00A90F37" w:rsidP="00A90F3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A90F37" w:rsidRPr="001C052A" w14:paraId="2E121AC8" w14:textId="77777777" w:rsidTr="00A90F37">
        <w:trPr>
          <w:trHeight w:val="1268"/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C7C9A7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本課程將採取下列教學活動進行：</w:t>
            </w:r>
          </w:p>
          <w:p w14:paraId="288FD2ED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一、閱讀成人教育學理論及實務資料</w:t>
            </w:r>
          </w:p>
          <w:p w14:paraId="309B9DF9" w14:textId="1AE7F60A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二、蒐集分析成人教育專題資料，建構</w:t>
            </w:r>
            <w:r w:rsidR="00BD196F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專業跨域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知識</w:t>
            </w:r>
          </w:p>
          <w:p w14:paraId="5D08250F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三、研討成人及高齡教育問題與未來趨勢</w:t>
            </w:r>
          </w:p>
          <w:p w14:paraId="414924B5" w14:textId="1C8294DB" w:rsidR="00A90F37" w:rsidRPr="001C052A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四、後期人生規劃：論文規劃、職場應用、未來生涯，找到未來後期人生方向</w:t>
            </w:r>
          </w:p>
        </w:tc>
      </w:tr>
      <w:tr w:rsidR="00A90F37" w:rsidRPr="001C052A" w14:paraId="4E1DA0BC" w14:textId="77777777" w:rsidTr="00A90F37">
        <w:trPr>
          <w:trHeight w:val="1208"/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5795D3" w14:textId="7CA1B039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一、知識層面：熟悉成高</w:t>
            </w:r>
            <w:r w:rsidR="00BD196F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基礎知識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，培養正確入門觀念</w:t>
            </w:r>
          </w:p>
          <w:p w14:paraId="471BACBF" w14:textId="77777777" w:rsidR="00A90F37" w:rsidRPr="00A90F37" w:rsidRDefault="00A90F37" w:rsidP="00A90F37">
            <w:pPr>
              <w:spacing w:before="0" w:beforeAutospacing="0" w:line="320" w:lineRule="exact"/>
              <w:ind w:leftChars="50" w:left="120" w:rightChars="-72" w:right="-173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二、態度層面：學會後期人生規劃，找到後期人生夢想，終身願意投入成高教育</w:t>
            </w:r>
          </w:p>
          <w:p w14:paraId="0BBF0736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三、技能層面：學會企劃與教學技巧，提升成高實做能力</w:t>
            </w:r>
          </w:p>
          <w:p w14:paraId="154F0F48" w14:textId="77777777" w:rsidR="00BD196F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四、行為層面：在服務職場學會運用成高理論</w:t>
            </w:r>
            <w:r w:rsidR="00BD196F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、方法與技巧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，提升專業</w:t>
            </w:r>
            <w:r w:rsidR="00BD196F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跨域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職</w:t>
            </w:r>
          </w:p>
          <w:p w14:paraId="6FE56341" w14:textId="3F3D7754" w:rsidR="00A90F37" w:rsidRPr="00B836C3" w:rsidRDefault="00BD196F" w:rsidP="00A90F37">
            <w:pPr>
              <w:spacing w:before="0" w:beforeAutospacing="0" w:line="320" w:lineRule="exact"/>
              <w:ind w:leftChars="50" w:left="120"/>
              <w:jc w:val="left"/>
              <w:rPr>
                <w:rFonts w:eastAsia="微軟正黑體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 xml:space="preserve">              </w:t>
            </w:r>
            <w:r w:rsidR="00A90F37"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能</w:t>
            </w:r>
            <w:r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，並提身工作效能</w:t>
            </w:r>
            <w:r w:rsidR="00A90F37"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。</w:t>
            </w:r>
          </w:p>
        </w:tc>
      </w:tr>
      <w:tr w:rsidR="00A90F37" w:rsidRPr="001C052A" w14:paraId="07DFDDA4" w14:textId="77777777" w:rsidTr="00A90F37">
        <w:trPr>
          <w:trHeight w:val="1377"/>
          <w:tblCellSpacing w:w="0" w:type="dxa"/>
          <w:jc w:val="center"/>
        </w:trPr>
        <w:tc>
          <w:tcPr>
            <w:tcW w:w="101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6E6B5F" w14:textId="77777777" w:rsidR="00A90F37" w:rsidRPr="00565B5D" w:rsidRDefault="00A90F37" w:rsidP="00A90F37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一、中文部分</w:t>
            </w:r>
          </w:p>
          <w:p w14:paraId="651A115F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中華民國成人教育學會主編（1995）。成人教育專業化。台北市：正中書局。</w:t>
            </w:r>
          </w:p>
          <w:p w14:paraId="34195F00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許雅惠譯，Peter Jarvis著（2002）。成人及繼續教育：理論與實務。台北市：五南圖書公司。</w:t>
            </w:r>
          </w:p>
          <w:p w14:paraId="4C5E55A5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lastRenderedPageBreak/>
              <w:t>胡夢鯨（1998）。成人教育學理論與模型。台北市：師大書苑。</w:t>
            </w:r>
          </w:p>
          <w:p w14:paraId="5A088231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胡夢鯨（2001）。成人教育現代化與專業化。台北市：師大書苑。</w:t>
            </w:r>
          </w:p>
          <w:p w14:paraId="1377772F" w14:textId="77777777" w:rsidR="00A90F37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胡夢鯨（2011）。新加坡樂齡學習。高雄市：麗文圖書公司。</w:t>
            </w:r>
          </w:p>
          <w:p w14:paraId="6923F055" w14:textId="7CA6A334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6C1569">
              <w:rPr>
                <w:rFonts w:ascii="微軟正黑體" w:eastAsia="微軟正黑體" w:hAnsi="微軟正黑體" w:hint="eastAsia"/>
                <w:highlight w:val="yellow"/>
              </w:rPr>
              <w:t>胡夢鯨（202</w:t>
            </w:r>
            <w:r w:rsidR="003569E4">
              <w:rPr>
                <w:rFonts w:ascii="微軟正黑體" w:eastAsia="微軟正黑體" w:hAnsi="微軟正黑體"/>
                <w:highlight w:val="yellow"/>
              </w:rPr>
              <w:t>4</w:t>
            </w:r>
            <w:r w:rsidRPr="006C1569">
              <w:rPr>
                <w:rFonts w:ascii="微軟正黑體" w:eastAsia="微軟正黑體" w:hAnsi="微軟正黑體" w:hint="eastAsia"/>
                <w:highlight w:val="yellow"/>
              </w:rPr>
              <w:t>）。翻轉成人教學：理論、方法與實務。台北市：師大書苑。</w:t>
            </w:r>
          </w:p>
          <w:p w14:paraId="22C7D7CE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黃富順主編（2002）。成人學習。台北市：五南圖書公司。</w:t>
            </w:r>
          </w:p>
          <w:p w14:paraId="67AEB507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黃富順主編（2002）。高齡學習。台北市：五南圖書公司。</w:t>
            </w:r>
          </w:p>
          <w:p w14:paraId="3463BA6A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黃富順主編（2008）。高齡教育學。台北市：五南圖書公司。</w:t>
            </w:r>
          </w:p>
          <w:p w14:paraId="70F34B6C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黃復順（2010）。成人教育導論。台北市：五南。</w:t>
            </w:r>
          </w:p>
          <w:p w14:paraId="40A1630C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魏惠娟主編（2009）。高齡教育政策與實踐。台北市：五南圖書公司。</w:t>
            </w:r>
          </w:p>
          <w:p w14:paraId="0A61A418" w14:textId="7777777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魏惠娟主編（2012）。臺灣樂齡學習。台北市：五南圖書公司。</w:t>
            </w:r>
          </w:p>
          <w:p w14:paraId="76E2AEDB" w14:textId="275F8EC7" w:rsidR="00A90F37" w:rsidRPr="00565B5D" w:rsidRDefault="00A90F37" w:rsidP="00A90F37">
            <w:pPr>
              <w:spacing w:line="320" w:lineRule="exact"/>
              <w:ind w:leftChars="50" w:left="600" w:hangingChars="200" w:hanging="48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魏惠娟（2017）。樂齡生涯學習。台北市：國立空中大學。</w:t>
            </w:r>
          </w:p>
          <w:p w14:paraId="715AF840" w14:textId="77777777" w:rsidR="00A90F37" w:rsidRPr="00565B5D" w:rsidRDefault="00A90F37" w:rsidP="00A90F37">
            <w:pPr>
              <w:spacing w:line="320" w:lineRule="exact"/>
              <w:ind w:leftChars="50" w:left="120"/>
              <w:rPr>
                <w:rFonts w:ascii="微軟正黑體" w:eastAsia="微軟正黑體" w:hAnsi="微軟正黑體"/>
              </w:rPr>
            </w:pPr>
            <w:r w:rsidRPr="00565B5D">
              <w:rPr>
                <w:rFonts w:ascii="微軟正黑體" w:eastAsia="微軟正黑體" w:hAnsi="微軟正黑體" w:hint="eastAsia"/>
              </w:rPr>
              <w:t>二、英文部分（隨堂發給）</w:t>
            </w:r>
          </w:p>
          <w:p w14:paraId="6C5686E9" w14:textId="77777777" w:rsidR="00907213" w:rsidRPr="00907213" w:rsidRDefault="00907213" w:rsidP="00907213">
            <w:pPr>
              <w:spacing w:line="320" w:lineRule="exact"/>
              <w:ind w:leftChars="50" w:left="680" w:hangingChars="200" w:hanging="560"/>
              <w:rPr>
                <w:rFonts w:ascii="Times New Roman" w:eastAsia="微軟正黑體" w:hAnsi="Times New Roman"/>
                <w:sz w:val="28"/>
                <w:szCs w:val="28"/>
              </w:rPr>
            </w:pPr>
            <w:proofErr w:type="spellStart"/>
            <w:proofErr w:type="gramStart"/>
            <w:r w:rsidRPr="00907213">
              <w:rPr>
                <w:rFonts w:ascii="Times New Roman" w:eastAsia="微軟正黑體" w:hAnsi="Times New Roman"/>
                <w:sz w:val="28"/>
                <w:szCs w:val="28"/>
              </w:rPr>
              <w:t>J</w:t>
            </w:r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arvis,P</w:t>
            </w:r>
            <w:proofErr w:type="spellEnd"/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.</w:t>
            </w:r>
            <w:proofErr w:type="gramEnd"/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（</w:t>
            </w:r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2010</w:t>
            </w:r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）</w:t>
            </w:r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Adult education and lifelong learning: Theory and Practice 4th . London</w:t>
            </w:r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  <w:lang w:eastAsia="zh-TW"/>
              </w:rPr>
              <w:t>：</w:t>
            </w:r>
            <w:r w:rsidRPr="00907213">
              <w:rPr>
                <w:rFonts w:ascii="Times New Roman" w:eastAsia="微軟正黑體" w:hAnsi="Times New Roman"/>
                <w:sz w:val="28"/>
                <w:szCs w:val="28"/>
                <w:highlight w:val="yellow"/>
              </w:rPr>
              <w:t>Routledge Education Classic Edition</w:t>
            </w:r>
          </w:p>
          <w:p w14:paraId="7A7C1490" w14:textId="19118459" w:rsidR="00C77E76" w:rsidRPr="00C77E76" w:rsidRDefault="00C77E76" w:rsidP="00C77E76">
            <w:pPr>
              <w:shd w:val="clear" w:color="auto" w:fill="FFFFFF"/>
              <w:spacing w:before="0" w:beforeAutospacing="0" w:after="120"/>
              <w:ind w:leftChars="73" w:left="741" w:hangingChars="202" w:hanging="566"/>
              <w:jc w:val="left"/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 xml:space="preserve">Knowles, M. S. (1950) Informal Adult Education, New York: Association Press. Guide for educators based on the writer’s experience as a </w:t>
            </w:r>
            <w:proofErr w:type="spellStart"/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programme</w:t>
            </w:r>
            <w:proofErr w:type="spellEnd"/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 xml:space="preserve"> organizer in the YMCA.</w:t>
            </w:r>
          </w:p>
          <w:p w14:paraId="052DE315" w14:textId="77777777" w:rsidR="00C77E76" w:rsidRPr="00C77E76" w:rsidRDefault="00C77E76" w:rsidP="00C77E76">
            <w:pPr>
              <w:shd w:val="clear" w:color="auto" w:fill="FFFFFF"/>
              <w:spacing w:before="0" w:beforeAutospacing="0" w:after="120"/>
              <w:ind w:leftChars="73" w:left="741" w:hangingChars="202" w:hanging="566"/>
              <w:jc w:val="left"/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Knowles, M. S. (1962) A History of the Adult Education Movement in the USA, New York: Krieger. A revised edition was published in 1977.</w:t>
            </w:r>
          </w:p>
          <w:p w14:paraId="4C6D5F64" w14:textId="77777777" w:rsidR="00C77E76" w:rsidRPr="00C77E76" w:rsidRDefault="00C77E76" w:rsidP="00C77E76">
            <w:pPr>
              <w:shd w:val="clear" w:color="auto" w:fill="FFFFFF"/>
              <w:spacing w:before="0" w:beforeAutospacing="0" w:after="120"/>
              <w:ind w:leftChars="0" w:left="175"/>
              <w:jc w:val="left"/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Knowles, M. (1975). Self-Directed Learning. Chicago: Follet.</w:t>
            </w:r>
          </w:p>
          <w:p w14:paraId="2E825726" w14:textId="77777777" w:rsidR="00907213" w:rsidRPr="00907213" w:rsidRDefault="00907213" w:rsidP="00907213">
            <w:pPr>
              <w:spacing w:line="0" w:lineRule="atLeast"/>
              <w:ind w:leftChars="50" w:left="540" w:hangingChars="150" w:hanging="420"/>
              <w:rPr>
                <w:rFonts w:ascii="Times New Roman" w:eastAsia="微軟正黑體" w:hAnsi="Times New Roman"/>
              </w:rPr>
            </w:pPr>
            <w:r w:rsidRPr="00907213">
              <w:rPr>
                <w:rFonts w:ascii="Times New Roman" w:hAnsi="Times New Roman"/>
                <w:sz w:val="28"/>
                <w:highlight w:val="yellow"/>
              </w:rPr>
              <w:t>Knowles, M.S.(1980).</w:t>
            </w:r>
            <w:r w:rsidRPr="00907213">
              <w:rPr>
                <w:rFonts w:ascii="Times New Roman" w:hAnsi="Times New Roman"/>
                <w:i/>
                <w:iCs/>
                <w:sz w:val="28"/>
                <w:highlight w:val="yellow"/>
              </w:rPr>
              <w:t xml:space="preserve">The modern practice of adult </w:t>
            </w:r>
            <w:proofErr w:type="spellStart"/>
            <w:r w:rsidRPr="00907213">
              <w:rPr>
                <w:rFonts w:ascii="Times New Roman" w:hAnsi="Times New Roman"/>
                <w:i/>
                <w:iCs/>
                <w:sz w:val="28"/>
                <w:highlight w:val="yellow"/>
              </w:rPr>
              <w:t>education:From</w:t>
            </w:r>
            <w:proofErr w:type="spellEnd"/>
            <w:r w:rsidRPr="00907213">
              <w:rPr>
                <w:rFonts w:ascii="Times New Roman" w:hAnsi="Times New Roman"/>
                <w:i/>
                <w:iCs/>
                <w:sz w:val="28"/>
                <w:highlight w:val="yellow"/>
              </w:rPr>
              <w:t xml:space="preserve"> pedagogy to andragogy</w:t>
            </w:r>
            <w:r w:rsidRPr="00907213">
              <w:rPr>
                <w:rFonts w:ascii="Times New Roman" w:hAnsi="Times New Roman"/>
                <w:sz w:val="28"/>
                <w:highlight w:val="yellow"/>
              </w:rPr>
              <w:t xml:space="preserve">. New </w:t>
            </w:r>
            <w:proofErr w:type="spellStart"/>
            <w:r w:rsidRPr="00907213">
              <w:rPr>
                <w:rFonts w:ascii="Times New Roman" w:hAnsi="Times New Roman"/>
                <w:sz w:val="28"/>
                <w:highlight w:val="yellow"/>
              </w:rPr>
              <w:t>Jersy</w:t>
            </w:r>
            <w:proofErr w:type="spellEnd"/>
            <w:r w:rsidRPr="00907213">
              <w:rPr>
                <w:rFonts w:ascii="Times New Roman" w:hAnsi="Times New Roman"/>
                <w:sz w:val="28"/>
                <w:highlight w:val="yellow"/>
              </w:rPr>
              <w:t>: Prentice Hall.</w:t>
            </w:r>
          </w:p>
          <w:p w14:paraId="1AF1531A" w14:textId="0968B54B" w:rsidR="00C77E76" w:rsidRPr="00C77E76" w:rsidRDefault="00C77E76" w:rsidP="00C77E76">
            <w:pPr>
              <w:shd w:val="clear" w:color="auto" w:fill="FFFFFF"/>
              <w:spacing w:before="0" w:beforeAutospacing="0" w:after="120"/>
              <w:ind w:leftChars="73" w:left="741" w:hangingChars="202" w:hanging="566"/>
              <w:jc w:val="left"/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Knowles, M. (1984). The Adult Learner: A Neglected Species (3rd Ed.). Houston, TX: Gulf Publishing.</w:t>
            </w:r>
          </w:p>
          <w:p w14:paraId="370DC2C5" w14:textId="77777777" w:rsidR="00C77E76" w:rsidRPr="00C77E76" w:rsidRDefault="00C77E76" w:rsidP="00C77E76">
            <w:pPr>
              <w:shd w:val="clear" w:color="auto" w:fill="FFFFFF"/>
              <w:spacing w:before="0" w:beforeAutospacing="0" w:after="120"/>
              <w:ind w:leftChars="0" w:left="175"/>
              <w:jc w:val="left"/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Knowles, M. (1984). Andragogy in Action. San Francisco: Jossey-Bass.</w:t>
            </w:r>
          </w:p>
          <w:p w14:paraId="5DBBD1B3" w14:textId="640F2774" w:rsidR="00907213" w:rsidRPr="00907213" w:rsidRDefault="00907213" w:rsidP="00907213">
            <w:pPr>
              <w:spacing w:line="0" w:lineRule="atLeast"/>
              <w:ind w:leftChars="72" w:left="537" w:hangingChars="130" w:hanging="364"/>
              <w:rPr>
                <w:rFonts w:ascii="Times New Roman" w:hAnsi="Times New Roman"/>
                <w:sz w:val="28"/>
                <w:szCs w:val="28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Knowles, M.</w:t>
            </w:r>
            <w:r w:rsidRPr="00907213">
              <w:rPr>
                <w:rFonts w:ascii="Times New Roman" w:hAnsi="Times New Roman"/>
                <w:sz w:val="28"/>
                <w:szCs w:val="28"/>
              </w:rPr>
              <w:t xml:space="preserve"> &amp; Elwood F. Holton III Ed.D. &amp; Richard A. Swanson (2005). </w:t>
            </w:r>
            <w:r w:rsidRPr="00907213">
              <w:rPr>
                <w:rFonts w:ascii="Times New Roman" w:hAnsi="Times New Roman"/>
                <w:i/>
                <w:sz w:val="28"/>
                <w:szCs w:val="28"/>
              </w:rPr>
              <w:t xml:space="preserve">The Adult Learner, Six Edition: The Definitive Classic in Adult Education and Human Resource Development. </w:t>
            </w:r>
            <w:r w:rsidRPr="00907213">
              <w:rPr>
                <w:rFonts w:ascii="Times New Roman" w:hAnsi="Times New Roman"/>
                <w:sz w:val="28"/>
                <w:szCs w:val="28"/>
              </w:rPr>
              <w:t>Butterworth-Heinemann.</w:t>
            </w:r>
          </w:p>
          <w:p w14:paraId="25F5CD7E" w14:textId="77777777" w:rsidR="00C77E76" w:rsidRPr="00C77E76" w:rsidRDefault="00C77E76" w:rsidP="00C77E76">
            <w:pPr>
              <w:shd w:val="clear" w:color="auto" w:fill="FFFFFF"/>
              <w:spacing w:before="0" w:beforeAutospacing="0" w:after="120"/>
              <w:ind w:leftChars="73" w:left="601" w:hangingChars="152" w:hanging="426"/>
              <w:jc w:val="left"/>
              <w:rPr>
                <w:rFonts w:ascii="Times New Roman" w:eastAsia="新細明體" w:hAnsi="Times New Roman"/>
                <w:sz w:val="28"/>
                <w:szCs w:val="28"/>
                <w:lang w:eastAsia="zh-TW"/>
              </w:rPr>
            </w:pPr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Kearsley, G. (2010). Andragogy (</w:t>
            </w:r>
            <w:proofErr w:type="spellStart"/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M.Knowles</w:t>
            </w:r>
            <w:proofErr w:type="spellEnd"/>
            <w:r w:rsidRPr="00C77E76">
              <w:rPr>
                <w:rFonts w:ascii="Times New Roman" w:eastAsia="新細明體" w:hAnsi="Times New Roman"/>
                <w:color w:val="1A1A1A"/>
                <w:sz w:val="28"/>
                <w:szCs w:val="28"/>
                <w:lang w:eastAsia="zh-TW"/>
              </w:rPr>
              <w:t>). The theory Into practice database. Retrieved from</w:t>
            </w:r>
            <w:r w:rsidRPr="00C77E76">
              <w:rPr>
                <w:rFonts w:ascii="Times New Roman" w:eastAsia="新細明體" w:hAnsi="Times New Roman"/>
                <w:sz w:val="28"/>
                <w:szCs w:val="28"/>
                <w:lang w:eastAsia="zh-TW"/>
              </w:rPr>
              <w:t> </w:t>
            </w:r>
            <w:hyperlink r:id="rId8" w:tgtFrame="_blank" w:history="1">
              <w:r w:rsidRPr="00907213">
                <w:rPr>
                  <w:rFonts w:ascii="Times New Roman" w:eastAsia="新細明體" w:hAnsi="Times New Roman"/>
                  <w:sz w:val="28"/>
                  <w:szCs w:val="28"/>
                  <w:lang w:eastAsia="zh-TW"/>
                </w:rPr>
                <w:t>http://tip.psychology.org</w:t>
              </w:r>
            </w:hyperlink>
          </w:p>
          <w:p w14:paraId="3C4D1203" w14:textId="77777777" w:rsidR="00907213" w:rsidRPr="00907213" w:rsidRDefault="00907213" w:rsidP="00907213">
            <w:pPr>
              <w:spacing w:line="0" w:lineRule="atLeast"/>
              <w:ind w:leftChars="50" w:left="540" w:hangingChars="150" w:hanging="420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072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National institute of adult and continuing education.(2008). </w:t>
            </w:r>
            <w:r w:rsidRPr="00907213">
              <w:rPr>
                <w:rFonts w:ascii="Times New Roman" w:hAnsi="Times New Roman"/>
                <w:i/>
                <w:iCs/>
                <w:sz w:val="28"/>
                <w:szCs w:val="28"/>
              </w:rPr>
              <w:t>Adult learning yearbook 2001-2002</w:t>
            </w:r>
            <w:r w:rsidRPr="00907213">
              <w:rPr>
                <w:rFonts w:ascii="Times New Roman" w:hAnsi="Times New Roman"/>
                <w:i/>
                <w:iCs/>
                <w:sz w:val="28"/>
                <w:szCs w:val="28"/>
              </w:rPr>
              <w:t>：</w:t>
            </w:r>
            <w:r w:rsidRPr="0090721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A directory of organizations and resources in adult continuing education and </w:t>
            </w:r>
            <w:proofErr w:type="spellStart"/>
            <w:r w:rsidRPr="00907213">
              <w:rPr>
                <w:rFonts w:ascii="Times New Roman" w:hAnsi="Times New Roman"/>
                <w:i/>
                <w:iCs/>
                <w:sz w:val="28"/>
                <w:szCs w:val="28"/>
              </w:rPr>
              <w:t>training</w:t>
            </w:r>
            <w:r w:rsidRPr="00907213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Pr="00907213">
              <w:rPr>
                <w:rFonts w:ascii="Times New Roman" w:hAnsi="Times New Roman"/>
                <w:sz w:val="28"/>
                <w:szCs w:val="28"/>
              </w:rPr>
              <w:t>Leicester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>：</w:t>
            </w:r>
            <w:r w:rsidRPr="00907213">
              <w:rPr>
                <w:rFonts w:ascii="Times New Roman" w:hAnsi="Times New Roman"/>
                <w:sz w:val="28"/>
                <w:szCs w:val="28"/>
              </w:rPr>
              <w:t>NIACE.</w:t>
            </w:r>
          </w:p>
          <w:p w14:paraId="73B8C53E" w14:textId="77777777" w:rsidR="00907213" w:rsidRPr="00907213" w:rsidRDefault="00907213" w:rsidP="00907213">
            <w:pPr>
              <w:spacing w:line="0" w:lineRule="atLeast"/>
              <w:ind w:leftChars="50" w:left="540" w:hangingChars="150" w:hanging="4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213">
              <w:rPr>
                <w:rFonts w:ascii="Times New Roman" w:hAnsi="Times New Roman"/>
                <w:sz w:val="28"/>
                <w:szCs w:val="28"/>
              </w:rPr>
              <w:t>Merriam,S.B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 xml:space="preserve">. &amp; Ralph G. Brockett (2007). </w:t>
            </w:r>
            <w:hyperlink r:id="rId9" w:history="1">
              <w:r w:rsidRPr="00907213">
                <w:rPr>
                  <w:rStyle w:val="ab"/>
                  <w:rFonts w:ascii="Times New Roman" w:hAnsi="Times New Roman"/>
                  <w:i/>
                  <w:sz w:val="28"/>
                  <w:szCs w:val="28"/>
                </w:rPr>
                <w:t>The profession and</w:t>
              </w:r>
              <w:r w:rsidRPr="00907213">
                <w:rPr>
                  <w:rStyle w:val="ab"/>
                  <w:rFonts w:ascii="Times New Roman" w:hAnsi="Times New Roman"/>
                  <w:i/>
                  <w:sz w:val="28"/>
                  <w:szCs w:val="28"/>
                </w:rPr>
                <w:t xml:space="preserve">　</w:t>
              </w:r>
              <w:r w:rsidRPr="00907213">
                <w:rPr>
                  <w:rStyle w:val="ab"/>
                  <w:rFonts w:ascii="Times New Roman" w:hAnsi="Times New Roman"/>
                  <w:i/>
                  <w:sz w:val="28"/>
                  <w:szCs w:val="28"/>
                </w:rPr>
                <w:t>Practice of Adult Education: An Introduction</w:t>
              </w:r>
            </w:hyperlink>
            <w:r w:rsidRPr="0090721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07213">
              <w:rPr>
                <w:rFonts w:ascii="Times New Roman" w:hAnsi="Times New Roman"/>
                <w:sz w:val="28"/>
                <w:szCs w:val="28"/>
              </w:rPr>
              <w:t xml:space="preserve"> San </w:t>
            </w:r>
            <w:proofErr w:type="spellStart"/>
            <w:r w:rsidRPr="00907213">
              <w:rPr>
                <w:rFonts w:ascii="Times New Roman" w:hAnsi="Times New Roman"/>
                <w:sz w:val="28"/>
                <w:szCs w:val="28"/>
              </w:rPr>
              <w:t>Francisco:Jossey-Bass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73D8A8" w14:textId="16D59C14" w:rsidR="00907213" w:rsidRPr="00907213" w:rsidRDefault="00907213" w:rsidP="00907213">
            <w:pPr>
              <w:spacing w:line="0" w:lineRule="atLeast"/>
              <w:ind w:leftChars="50" w:left="540" w:hangingChars="150" w:hanging="4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213">
              <w:rPr>
                <w:rFonts w:ascii="Times New Roman" w:hAnsi="Times New Roman"/>
                <w:sz w:val="28"/>
                <w:szCs w:val="28"/>
              </w:rPr>
              <w:t>Merriam,S.B.and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213">
              <w:rPr>
                <w:rFonts w:ascii="Times New Roman" w:hAnsi="Times New Roman"/>
                <w:sz w:val="28"/>
                <w:szCs w:val="28"/>
              </w:rPr>
              <w:t>affarella,R.S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>.(2007).</w:t>
            </w:r>
            <w:r w:rsidRPr="0090721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Learning in adulthood. </w:t>
            </w:r>
            <w:r w:rsidRPr="00907213">
              <w:rPr>
                <w:rFonts w:ascii="Times New Roman" w:hAnsi="Times New Roman"/>
                <w:sz w:val="28"/>
                <w:szCs w:val="28"/>
              </w:rPr>
              <w:t xml:space="preserve">San </w:t>
            </w:r>
            <w:proofErr w:type="spellStart"/>
            <w:r w:rsidRPr="00907213">
              <w:rPr>
                <w:rFonts w:ascii="Times New Roman" w:hAnsi="Times New Roman"/>
                <w:sz w:val="28"/>
                <w:szCs w:val="28"/>
              </w:rPr>
              <w:t>francisco:Jossey-Bass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 xml:space="preserve"> .  </w:t>
            </w:r>
          </w:p>
          <w:p w14:paraId="014B65B3" w14:textId="77777777" w:rsidR="00907213" w:rsidRPr="00907213" w:rsidRDefault="00907213" w:rsidP="00907213">
            <w:pPr>
              <w:spacing w:line="0" w:lineRule="atLeast"/>
              <w:ind w:leftChars="50" w:left="540" w:hangingChars="150" w:hanging="420"/>
              <w:rPr>
                <w:rFonts w:ascii="Times New Roman" w:hAnsi="Times New Roman"/>
                <w:sz w:val="28"/>
                <w:szCs w:val="28"/>
              </w:rPr>
            </w:pPr>
            <w:r w:rsidRPr="00907213">
              <w:rPr>
                <w:rFonts w:ascii="Times New Roman" w:hAnsi="Times New Roman"/>
                <w:sz w:val="28"/>
                <w:szCs w:val="28"/>
              </w:rPr>
              <w:t xml:space="preserve">Peter Jarvis (2006). </w:t>
            </w:r>
            <w:hyperlink r:id="rId10" w:history="1">
              <w:r w:rsidRPr="00907213">
                <w:rPr>
                  <w:rStyle w:val="ab"/>
                  <w:rFonts w:ascii="Times New Roman" w:hAnsi="Times New Roman"/>
                  <w:i/>
                  <w:sz w:val="28"/>
                  <w:szCs w:val="28"/>
                </w:rPr>
                <w:t>From Adult Education to the Learning Society: 21 Years from the International Journal of Lifelong Education (Education Heritage Series) (Hardcover)</w:t>
              </w:r>
            </w:hyperlink>
            <w:r w:rsidRPr="00907213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907213">
              <w:rPr>
                <w:rFonts w:ascii="Times New Roman" w:hAnsi="Times New Roman"/>
                <w:sz w:val="28"/>
                <w:szCs w:val="28"/>
              </w:rPr>
              <w:t>London:Routledge</w:t>
            </w:r>
            <w:proofErr w:type="spellEnd"/>
            <w:r w:rsidRPr="0090721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C7020D" w14:textId="1EFE5340" w:rsidR="00290487" w:rsidRPr="00907213" w:rsidRDefault="00CA7297" w:rsidP="001223A4">
            <w:pPr>
              <w:pStyle w:val="1"/>
              <w:shd w:val="clear" w:color="auto" w:fill="FFFFFF"/>
              <w:spacing w:before="0" w:beforeAutospacing="0" w:after="0" w:afterAutospacing="0"/>
              <w:ind w:leftChars="50" w:left="120"/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hyperlink r:id="rId11" w:history="1">
              <w:r w:rsidR="00290487" w:rsidRPr="00907213">
                <w:rPr>
                  <w:rStyle w:val="ab"/>
                  <w:rFonts w:ascii="Times New Roman" w:hAnsi="Times New Roman" w:cs="Times New Roman"/>
                  <w:b w:val="0"/>
                  <w:color w:val="333333"/>
                  <w:sz w:val="28"/>
                  <w:szCs w:val="28"/>
                  <w:highlight w:val="yellow"/>
                  <w:u w:val="none"/>
                  <w:shd w:val="clear" w:color="auto" w:fill="FFFFFF"/>
                </w:rPr>
                <w:t>Rubenson Kjell </w:t>
              </w:r>
            </w:hyperlink>
            <w:r w:rsidR="001223A4" w:rsidRPr="00907213"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>（</w:t>
            </w:r>
            <w:r w:rsidR="001223A4" w:rsidRPr="00907213">
              <w:rPr>
                <w:rFonts w:ascii="Times New Roman" w:eastAsia="微軟正黑體" w:hAnsi="Times New Roman" w:cs="Times New Roman"/>
                <w:b w:val="0"/>
                <w:sz w:val="28"/>
                <w:szCs w:val="28"/>
                <w:highlight w:val="yellow"/>
              </w:rPr>
              <w:t>2011</w:t>
            </w:r>
            <w:r w:rsidR="001223A4" w:rsidRPr="00907213"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>）</w:t>
            </w:r>
            <w:r w:rsidR="001223A4" w:rsidRPr="00907213">
              <w:rPr>
                <w:rFonts w:ascii="Times New Roman" w:hAnsi="Times New Roman" w:cs="Times New Roman"/>
                <w:b w:val="0"/>
                <w:sz w:val="28"/>
                <w:szCs w:val="28"/>
                <w:highlight w:val="yellow"/>
              </w:rPr>
              <w:t>.</w:t>
            </w:r>
            <w:r w:rsidR="00290487" w:rsidRPr="00907213"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highlight w:val="yellow"/>
              </w:rPr>
              <w:t>Adult Learning and Education</w:t>
            </w:r>
            <w:r w:rsidR="001223A4" w:rsidRPr="00907213"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highlight w:val="yellow"/>
              </w:rPr>
              <w:t>.</w:t>
            </w:r>
            <w:r w:rsidR="001223A4" w:rsidRPr="00907213">
              <w:rPr>
                <w:rFonts w:ascii="Times New Roman" w:hAnsi="Times New Roman" w:cs="Times New Roman"/>
                <w:b w:val="0"/>
                <w:color w:val="666666"/>
                <w:sz w:val="28"/>
                <w:szCs w:val="28"/>
                <w:highlight w:val="yellow"/>
                <w:shd w:val="clear" w:color="auto" w:fill="FFFFFF"/>
              </w:rPr>
              <w:t xml:space="preserve"> Academic Pr.</w:t>
            </w:r>
          </w:p>
          <w:p w14:paraId="1EFB3CFE" w14:textId="6D54F245" w:rsidR="00A90F37" w:rsidRPr="00907213" w:rsidRDefault="00A90F37" w:rsidP="00EF6505">
            <w:pPr>
              <w:spacing w:line="320" w:lineRule="exact"/>
              <w:ind w:leftChars="50" w:left="680" w:hangingChars="200" w:hanging="560"/>
              <w:rPr>
                <w:rFonts w:ascii="Times New Roman" w:eastAsia="微軟正黑體" w:hAnsi="Times New Roman"/>
                <w:sz w:val="28"/>
                <w:szCs w:val="28"/>
              </w:rPr>
            </w:pPr>
            <w:r w:rsidRPr="00907213">
              <w:rPr>
                <w:rFonts w:ascii="Times New Roman" w:eastAsia="微軟正黑體" w:hAnsi="Times New Roman"/>
                <w:sz w:val="28"/>
                <w:szCs w:val="28"/>
              </w:rPr>
              <w:t xml:space="preserve">Raymond J. </w:t>
            </w:r>
            <w:proofErr w:type="spellStart"/>
            <w:r w:rsidRPr="00907213">
              <w:rPr>
                <w:rFonts w:ascii="Times New Roman" w:eastAsia="微軟正黑體" w:hAnsi="Times New Roman"/>
                <w:sz w:val="28"/>
                <w:szCs w:val="28"/>
              </w:rPr>
              <w:t>Wlodkowski</w:t>
            </w:r>
            <w:proofErr w:type="spellEnd"/>
            <w:r w:rsidRPr="00907213">
              <w:rPr>
                <w:rFonts w:ascii="Times New Roman" w:eastAsia="微軟正黑體" w:hAnsi="Times New Roman"/>
                <w:sz w:val="28"/>
                <w:szCs w:val="28"/>
              </w:rPr>
              <w:t xml:space="preserve"> and Carol E. </w:t>
            </w:r>
            <w:proofErr w:type="spellStart"/>
            <w:r w:rsidRPr="00907213">
              <w:rPr>
                <w:rFonts w:ascii="Times New Roman" w:eastAsia="微軟正黑體" w:hAnsi="Times New Roman"/>
                <w:sz w:val="28"/>
                <w:szCs w:val="28"/>
              </w:rPr>
              <w:t>Kasworm</w:t>
            </w:r>
            <w:proofErr w:type="spellEnd"/>
            <w:r w:rsidRPr="00907213">
              <w:rPr>
                <w:rFonts w:ascii="Times New Roman" w:eastAsia="微軟正黑體" w:hAnsi="Times New Roman"/>
                <w:sz w:val="28"/>
                <w:szCs w:val="28"/>
              </w:rPr>
              <w:t xml:space="preserve"> (2004). Accelerated learning for adults :the promise and practice of intensive educational formats. San Francisco :Jossey-Bass.</w:t>
            </w:r>
          </w:p>
          <w:p w14:paraId="6EDF373A" w14:textId="0D46CCD3" w:rsidR="00907213" w:rsidRPr="00907213" w:rsidRDefault="00CA7297" w:rsidP="00EF6505">
            <w:pPr>
              <w:spacing w:line="320" w:lineRule="exact"/>
              <w:ind w:leftChars="50" w:left="600" w:hangingChars="200" w:hanging="480"/>
              <w:rPr>
                <w:rFonts w:ascii="Times New Roman" w:eastAsia="微軟正黑體" w:hAnsi="Times New Roman"/>
                <w:sz w:val="28"/>
                <w:szCs w:val="28"/>
              </w:rPr>
            </w:pPr>
            <w:hyperlink r:id="rId12" w:history="1">
              <w:r w:rsidR="00907213" w:rsidRPr="00907213">
                <w:rPr>
                  <w:rStyle w:val="jss301"/>
                  <w:rFonts w:ascii="Times New Roman" w:hAnsi="Times New Roman"/>
                  <w:sz w:val="28"/>
                  <w:szCs w:val="28"/>
                  <w:highlight w:val="yellow"/>
                  <w:shd w:val="clear" w:color="auto" w:fill="FFFFFF"/>
                </w:rPr>
                <w:t>UNESCO</w:t>
              </w:r>
            </w:hyperlink>
            <w:r w:rsidR="00907213" w:rsidRPr="00907213">
              <w:rPr>
                <w:rFonts w:ascii="Times New Roman" w:hAnsi="Times New Roman"/>
                <w:sz w:val="28"/>
                <w:szCs w:val="28"/>
                <w:highlight w:val="yellow"/>
              </w:rPr>
              <w:t>(2024).Gl</w:t>
            </w:r>
            <w:r w:rsidR="00907213" w:rsidRPr="00907213"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</w:rPr>
              <w:t>obal report on adult learning and education.</w:t>
            </w:r>
            <w:r w:rsidR="00907213" w:rsidRPr="00907213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907213" w:rsidRPr="00907213">
              <w:rPr>
                <w:rFonts w:ascii="Times New Roman" w:hAnsi="Times New Roman"/>
                <w:bCs/>
                <w:sz w:val="28"/>
                <w:szCs w:val="28"/>
                <w:highlight w:val="yellow"/>
                <w:shd w:val="clear" w:color="auto" w:fill="FFFFFF"/>
              </w:rPr>
              <w:t>https://unesdoc.unesco.org/ark:/48223/pf0000186431</w:t>
            </w:r>
          </w:p>
          <w:p w14:paraId="60AA7F3B" w14:textId="552C58BA" w:rsidR="00A90F37" w:rsidRPr="001C052A" w:rsidRDefault="00A90F37" w:rsidP="00A90F37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A90F3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A90F37" w:rsidRPr="001C052A" w:rsidRDefault="00A90F37" w:rsidP="00A90F3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A90F37" w:rsidRPr="001C052A" w14:paraId="68A248FE" w14:textId="77777777" w:rsidTr="00A90F37">
        <w:trPr>
          <w:trHeight w:val="753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90F37" w:rsidRPr="00F66AEE" w:rsidRDefault="00A90F37" w:rsidP="00A90F3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90F37" w:rsidRPr="00F66AEE" w:rsidRDefault="00A90F37" w:rsidP="00A90F3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2577027" w:rsidR="00A90F37" w:rsidRPr="00AA5F4C" w:rsidRDefault="00A90F37" w:rsidP="00A90F3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32959">
              <w:rPr>
                <w:rFonts w:ascii="微軟正黑體" w:eastAsia="微軟正黑體" w:hAnsi="微軟正黑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F32959">
              <w:rPr>
                <w:rFonts w:ascii="微軟正黑體" w:eastAsia="微軟正黑體" w:hAnsi="微軟正黑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F32959">
              <w:rPr>
                <w:rFonts w:ascii="微軟正黑體" w:eastAsia="微軟正黑體" w:hAnsi="微軟正黑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A90F37" w:rsidRPr="00730AA7" w:rsidRDefault="00A90F37" w:rsidP="00A90F3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90F37" w:rsidRPr="001C052A" w14:paraId="285EAB32" w14:textId="77777777" w:rsidTr="00A90F37">
        <w:trPr>
          <w:trHeight w:val="739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29B366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1.講述法</w:t>
            </w:r>
          </w:p>
          <w:p w14:paraId="1FD3F8F8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2.小組討論法(腦力激盪、嗡嗡小團體、世界咖啡館)</w:t>
            </w:r>
          </w:p>
          <w:p w14:paraId="2202FC51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3.多媒體教學法</w:t>
            </w:r>
          </w:p>
          <w:p w14:paraId="67966812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4.圖畫謎法</w:t>
            </w:r>
          </w:p>
          <w:p w14:paraId="102360AB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5.遊戲教學法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ab/>
            </w:r>
          </w:p>
          <w:p w14:paraId="384049B4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6.個別指導法</w:t>
            </w:r>
          </w:p>
          <w:p w14:paraId="1558401B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7.合作學習法</w:t>
            </w:r>
          </w:p>
          <w:p w14:paraId="75A00ABF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8.體驗學習法</w:t>
            </w:r>
          </w:p>
          <w:p w14:paraId="17C93168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9.企劃學習法</w:t>
            </w:r>
          </w:p>
          <w:p w14:paraId="1C792B8A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10.創意教學法</w:t>
            </w:r>
          </w:p>
          <w:p w14:paraId="6F880EEB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11.圖像組織學習法7.合作學習法</w:t>
            </w:r>
          </w:p>
          <w:p w14:paraId="51B139A4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8.體驗學習法</w:t>
            </w:r>
          </w:p>
          <w:p w14:paraId="16FD348D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9.企劃學習法</w:t>
            </w:r>
          </w:p>
          <w:p w14:paraId="0AD5D540" w14:textId="77777777" w:rsidR="00A90F37" w:rsidRPr="00A90F37" w:rsidRDefault="00A90F37" w:rsidP="00A90F37">
            <w:pPr>
              <w:spacing w:before="0" w:beforeAutospacing="0" w:line="320" w:lineRule="exact"/>
              <w:ind w:leftChars="50" w:left="12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10.創意教學法</w:t>
            </w:r>
          </w:p>
          <w:p w14:paraId="56A23882" w14:textId="0B60A56D" w:rsidR="00A90F37" w:rsidRPr="00A90F37" w:rsidRDefault="00A90F37" w:rsidP="00A90F3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 xml:space="preserve"> 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lang w:eastAsia="zh-TW"/>
              </w:rPr>
              <w:t>11.圖像組織學習法</w:t>
            </w:r>
          </w:p>
        </w:tc>
      </w:tr>
      <w:tr w:rsidR="00A90F37" w:rsidRPr="001C052A" w14:paraId="7A7DFB0B" w14:textId="77777777" w:rsidTr="00A90F37">
        <w:trPr>
          <w:trHeight w:val="1246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90F37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16C99" w14:textId="1D983D1A" w:rsidR="00A90F37" w:rsidRPr="00A90F37" w:rsidRDefault="00A90F37" w:rsidP="00A90F3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highlight w:val="yellow"/>
                <w:lang w:eastAsia="zh-TW"/>
              </w:rPr>
            </w:pPr>
            <w:r w:rsidRPr="00A90F37">
              <w:rPr>
                <w:rFonts w:ascii="微軟正黑體" w:eastAsia="微軟正黑體" w:hAnsi="微軟正黑體" w:cs="新細明體" w:hint="eastAsia"/>
                <w:szCs w:val="24"/>
                <w:highlight w:val="yellow"/>
                <w:lang w:eastAsia="zh-TW"/>
              </w:rPr>
              <w:t>一</w:t>
            </w:r>
            <w:r>
              <w:rPr>
                <w:rFonts w:ascii="微軟正黑體" w:eastAsia="微軟正黑體" w:hAnsi="微軟正黑體" w:cs="新細明體" w:hint="eastAsia"/>
                <w:szCs w:val="24"/>
                <w:highlight w:val="yellow"/>
                <w:lang w:eastAsia="zh-TW"/>
              </w:rPr>
              <w:t>、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highlight w:val="yellow"/>
                <w:lang w:eastAsia="zh-TW"/>
              </w:rPr>
              <w:t>小組專題探索報告（</w:t>
            </w:r>
            <w:r w:rsidRPr="00A90F37">
              <w:rPr>
                <w:rFonts w:ascii="微軟正黑體" w:eastAsia="微軟正黑體" w:hAnsi="微軟正黑體" w:cs="新細明體"/>
                <w:szCs w:val="24"/>
                <w:highlight w:val="yellow"/>
                <w:lang w:eastAsia="zh-TW"/>
              </w:rPr>
              <w:t>4</w:t>
            </w:r>
            <w:r w:rsidRPr="00A90F37">
              <w:rPr>
                <w:rFonts w:ascii="微軟正黑體" w:eastAsia="微軟正黑體" w:hAnsi="微軟正黑體" w:cs="新細明體" w:hint="eastAsia"/>
                <w:szCs w:val="24"/>
                <w:highlight w:val="yellow"/>
                <w:lang w:eastAsia="zh-TW"/>
              </w:rPr>
              <w:t>0％）－成高教育專題探索報告</w:t>
            </w:r>
          </w:p>
          <w:p w14:paraId="05BFE41B" w14:textId="57C193A7" w:rsidR="00A90F37" w:rsidRPr="006B1259" w:rsidRDefault="00A90F37" w:rsidP="00A90F3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</w:pP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二、</w:t>
            </w:r>
            <w:r w:rsidR="00A115B6"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(個人報告)</w:t>
            </w:r>
            <w:r w:rsidR="00290487"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未來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產品報告（</w:t>
            </w:r>
            <w:r w:rsidRPr="006B1259"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  <w:t>2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0％）</w:t>
            </w:r>
            <w:r w:rsidRPr="006B1259"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  <w:t>-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未來產品創意發想報告</w:t>
            </w:r>
          </w:p>
          <w:p w14:paraId="7CB681D7" w14:textId="20FFE61D" w:rsidR="00A90F37" w:rsidRDefault="00A90F37" w:rsidP="0029048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</w:pP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三、</w:t>
            </w:r>
            <w:r w:rsidR="00A115B6"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(個人報告)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後期人生報告（</w:t>
            </w:r>
            <w:r w:rsidRPr="006B1259"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  <w:t>4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0％）－成功案例、論文規劃、職場應用、未來生涯</w:t>
            </w:r>
          </w:p>
          <w:p w14:paraId="24AC2115" w14:textId="6D1A049A" w:rsidR="002C2FC1" w:rsidRPr="00A90F37" w:rsidRDefault="002C2FC1" w:rsidP="00290487">
            <w:pPr>
              <w:spacing w:before="0" w:beforeAutospacing="0" w:line="320" w:lineRule="exact"/>
              <w:ind w:leftChars="0" w:left="0"/>
              <w:jc w:val="left"/>
              <w:rPr>
                <w:rFonts w:ascii="微軟正黑體" w:eastAsia="微軟正黑體" w:hAnsi="微軟正黑體" w:cs="新細明體"/>
                <w:szCs w:val="24"/>
                <w:highlight w:val="yellow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 xml:space="preserve">    </w:t>
            </w:r>
            <w:r w:rsidRPr="002C2FC1">
              <w:rPr>
                <w:rFonts w:ascii="微軟正黑體" w:eastAsia="微軟正黑體" w:hAnsi="微軟正黑體" w:cs="新細明體" w:hint="eastAsia"/>
                <w:szCs w:val="24"/>
                <w:highlight w:val="cyan"/>
                <w:lang w:eastAsia="zh-TW"/>
              </w:rPr>
              <w:t>每人皆須完成個人書面報告，但課堂徵求志願報告</w:t>
            </w:r>
          </w:p>
        </w:tc>
      </w:tr>
      <w:tr w:rsidR="00A90F37" w:rsidRPr="001C052A" w14:paraId="4D1A228C" w14:textId="77777777" w:rsidTr="00A90F37">
        <w:trPr>
          <w:trHeight w:val="753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1FBC56CA" w14:textId="4859279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FAF3FCC" w:rsidR="00A90F37" w:rsidRPr="00AA5F4C" w:rsidRDefault="00A90F37" w:rsidP="00A90F3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標楷體" w:eastAsia="標楷體" w:hAnsi="標楷體" w:cs="新細明體" w:hint="eastAsia"/>
              </w:rPr>
              <w:sym w:font="Wingdings 2" w:char="F0A2"/>
            </w:r>
            <w:r w:rsidRPr="00EC7545">
              <w:rPr>
                <w:rFonts w:ascii="微軟正黑體" w:eastAsia="微軟正黑體" w:hAnsi="微軟正黑體" w:cs="新細明體"/>
              </w:rPr>
              <w:t>課程網站</w:t>
            </w:r>
            <w:r>
              <w:rPr>
                <w:rFonts w:ascii="微軟正黑體" w:eastAsia="微軟正黑體" w:hAnsi="微軟正黑體" w:cs="新細明體" w:hint="eastAsia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sym w:font="Wingdings 2" w:char="F0A2"/>
            </w:r>
            <w:r w:rsidRPr="00EC7545">
              <w:rPr>
                <w:rFonts w:ascii="微軟正黑體" w:eastAsia="微軟正黑體" w:hAnsi="微軟正黑體" w:cs="新細明體"/>
              </w:rPr>
              <w:t>教材電子檔供下載</w:t>
            </w:r>
            <w:r>
              <w:rPr>
                <w:rFonts w:ascii="微軟正黑體" w:eastAsia="微軟正黑體" w:hAnsi="微軟正黑體" w:cs="新細明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A90F37" w:rsidRPr="001C052A" w14:paraId="324CD86F" w14:textId="77777777" w:rsidTr="00A90F37">
        <w:trPr>
          <w:trHeight w:val="377"/>
          <w:tblCellSpacing w:w="0" w:type="dxa"/>
          <w:jc w:val="center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90F37" w:rsidRPr="00F66AEE" w:rsidRDefault="00A90F37" w:rsidP="00A90F3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A90F37" w:rsidRPr="001C052A" w:rsidRDefault="00A90F37" w:rsidP="00A90F3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A90F3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90F37" w:rsidRPr="00F66AEE" w:rsidRDefault="00A90F37" w:rsidP="00A90F3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90F37" w:rsidRPr="00F66AEE" w:rsidRDefault="00A90F37" w:rsidP="00A90F3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90F3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ADAB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兩週上一次課程：</w:t>
            </w:r>
          </w:p>
          <w:p w14:paraId="499D42DA" w14:textId="42C3CF41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9/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20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一、成高教育緒論</w:t>
            </w:r>
          </w:p>
          <w:p w14:paraId="311A74D8" w14:textId="620B2AD0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破冰活動：自我介紹</w:t>
            </w:r>
            <w:r w:rsidR="00E86DC2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、學習經驗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與需求評估</w:t>
            </w:r>
          </w:p>
          <w:p w14:paraId="5F015F87" w14:textId="30246859" w:rsidR="00A90F37" w:rsidRPr="00CD1706" w:rsidRDefault="00A90F37" w:rsidP="00CD1706">
            <w:pPr>
              <w:pStyle w:val="a5"/>
              <w:widowControl w:val="0"/>
              <w:numPr>
                <w:ilvl w:val="0"/>
                <w:numId w:val="4"/>
              </w:numPr>
              <w:spacing w:before="0" w:beforeAutospacing="0" w:line="0" w:lineRule="atLeast"/>
              <w:ind w:leftChars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課程簡介：成高教育學總論</w:t>
            </w:r>
          </w:p>
          <w:p w14:paraId="52BAAECF" w14:textId="16A8B206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2.研究生的</w:t>
            </w:r>
            <w:r w:rsidR="000D471A"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新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學習方法</w:t>
            </w:r>
          </w:p>
          <w:p w14:paraId="08FB0EBF" w14:textId="73F57A97" w:rsidR="00A90F37" w:rsidRPr="003C22AC" w:rsidRDefault="00A90F37" w:rsidP="006B1259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課堂活動：</w:t>
            </w:r>
            <w:r w:rsid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成人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學習</w:t>
            </w:r>
            <w:r w:rsid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準備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地圖</w:t>
            </w:r>
          </w:p>
        </w:tc>
      </w:tr>
      <w:tr w:rsidR="00A90F3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A10F" w14:textId="370EAFAE" w:rsidR="00A90F37" w:rsidRPr="003C22AC" w:rsidRDefault="008F1BE4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10/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4</w:t>
            </w:r>
            <w:r w:rsidR="00A90F37"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二、成高教育</w:t>
            </w:r>
            <w:r w:rsidR="00D7577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趨勢</w:t>
            </w:r>
            <w:r w:rsidR="00A90F37"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專題</w:t>
            </w:r>
          </w:p>
          <w:p w14:paraId="4747AB1E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3.看見未來  做好準備</w:t>
            </w:r>
          </w:p>
          <w:p w14:paraId="237C82AE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4.成高教育大趨勢與新方向</w:t>
            </w:r>
          </w:p>
          <w:p w14:paraId="7AAE0C72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5.成高教育學研究方向</w:t>
            </w:r>
          </w:p>
          <w:p w14:paraId="7485CFCE" w14:textId="02207D4F" w:rsidR="00A90F37" w:rsidRPr="003C22AC" w:rsidRDefault="00A90F37" w:rsidP="003C22AC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課堂活動：我的未來觀察與研究方向</w:t>
            </w:r>
          </w:p>
        </w:tc>
      </w:tr>
      <w:tr w:rsidR="00A90F37" w:rsidRPr="001C052A" w14:paraId="43D0D65F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272" w14:textId="5F18E70D" w:rsidR="003E025F" w:rsidRDefault="00A90F37" w:rsidP="003E025F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10/</w:t>
            </w:r>
            <w:r w:rsidR="003569E4" w:rsidRPr="00CD1706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三、樂齡學習專題</w:t>
            </w:r>
          </w:p>
          <w:p w14:paraId="37944436" w14:textId="786D161B" w:rsidR="00A90F37" w:rsidRPr="003E025F" w:rsidRDefault="00A90F37" w:rsidP="003E025F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6.</w:t>
            </w:r>
            <w:r w:rsidR="003E025F" w:rsidRPr="003E025F">
              <w:rPr>
                <w:rFonts w:ascii="微軟正黑體" w:eastAsia="微軟正黑體" w:hAnsi="微軟正黑體"/>
                <w:b/>
                <w:bCs/>
                <w:kern w:val="2"/>
                <w:szCs w:val="28"/>
              </w:rPr>
              <w:t>邁向超高齡社會的樂齡學習實踐</w:t>
            </w:r>
          </w:p>
          <w:p w14:paraId="4E09A8C1" w14:textId="4C17C292" w:rsidR="00A90F37" w:rsidRPr="009F01B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小組專題探索報告（一）：每組</w:t>
            </w:r>
            <w:r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5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人</w:t>
            </w:r>
            <w:r w:rsidR="008E17F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（每人皆須上台報告）</w:t>
            </w:r>
          </w:p>
          <w:p w14:paraId="639BDC7D" w14:textId="77777777" w:rsidR="00A90F37" w:rsidRPr="009F01B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每組報告30分（ppt20張），老師講評</w:t>
            </w:r>
            <w:r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2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0分</w:t>
            </w:r>
          </w:p>
          <w:p w14:paraId="6D668239" w14:textId="4F432742" w:rsidR="00A90F37" w:rsidRPr="009F01B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第一組 成高教育趨勢分析（少子高齡化、AI人工智慧、元宇宙</w:t>
            </w:r>
            <w:r w:rsidR="00D75779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、機器人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等趨勢）</w:t>
            </w:r>
          </w:p>
          <w:p w14:paraId="109EA43E" w14:textId="61FD73F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第二組 成人與高齡教育學理論（</w:t>
            </w:r>
            <w:r w:rsidR="00CD1706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自我導向學習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理論、前瞻因應理論）</w:t>
            </w:r>
          </w:p>
          <w:p w14:paraId="310FA8C7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課堂活動：</w:t>
            </w:r>
          </w:p>
          <w:p w14:paraId="363FACB1" w14:textId="40CAB45B" w:rsidR="00A90F37" w:rsidRPr="003C22AC" w:rsidRDefault="00A90F37" w:rsidP="003C22AC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心智圖像法：樂齡學習多元創新模式</w:t>
            </w:r>
          </w:p>
        </w:tc>
      </w:tr>
      <w:tr w:rsidR="00A90F37" w:rsidRPr="001C052A" w14:paraId="0F061F90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533E" w14:textId="7943AA27" w:rsidR="00A90F37" w:rsidRPr="003C22AC" w:rsidRDefault="00AF1E6C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11</w:t>
            </w:r>
            <w:r w:rsidR="0029048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/</w:t>
            </w:r>
            <w:r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</w:t>
            </w:r>
            <w:r w:rsidR="00A90F37"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四、高齡教育與老化專題</w:t>
            </w:r>
          </w:p>
          <w:p w14:paraId="1F9C7934" w14:textId="77777777" w:rsidR="00A90F37" w:rsidRPr="009F01B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小組專題探索報告（二）：每組5人</w:t>
            </w:r>
          </w:p>
          <w:p w14:paraId="50E2801A" w14:textId="77777777" w:rsidR="00A90F37" w:rsidRPr="009F01B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每組報告30分（ppt20張），老師講評</w:t>
            </w:r>
            <w:r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2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0分</w:t>
            </w:r>
          </w:p>
          <w:p w14:paraId="1C5958D6" w14:textId="77777777" w:rsidR="00A90F37" w:rsidRPr="009F01B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第三組 男性參與率低的原因與提高男性參與的策略（訪談男性）</w:t>
            </w:r>
          </w:p>
          <w:p w14:paraId="3DBCCCB5" w14:textId="781213DB" w:rsidR="00A90F37" w:rsidRPr="003C22AC" w:rsidRDefault="00A90F37" w:rsidP="003C22AC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第四組 老人失智、失能的問題與預防對策（</w:t>
            </w:r>
            <w:r w:rsidR="00D75779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運動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或活化大腦遊戲）</w:t>
            </w:r>
          </w:p>
        </w:tc>
      </w:tr>
      <w:tr w:rsidR="00A90F37" w:rsidRPr="001C052A" w14:paraId="7E89BCAC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552C" w14:textId="460D49BA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11/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15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五、成高教學專題</w:t>
            </w:r>
          </w:p>
          <w:p w14:paraId="6991E3A9" w14:textId="77777777" w:rsidR="00EA0933" w:rsidRPr="003C22AC" w:rsidRDefault="00EA0933" w:rsidP="00EA0933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7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.超高齡社會的衝擊與挑戰</w:t>
            </w:r>
          </w:p>
          <w:p w14:paraId="1CD7BA44" w14:textId="36E8BDEE" w:rsidR="00EA0933" w:rsidRPr="003C22AC" w:rsidRDefault="00EA0933" w:rsidP="00EA0933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8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</w:t>
            </w:r>
            <w:r w:rsidR="009A4DC3">
              <w:rPr>
                <w:rFonts w:hint="eastAsia"/>
              </w:rPr>
              <w:t xml:space="preserve"> </w:t>
            </w:r>
            <w:r w:rsidR="009A4DC3" w:rsidRPr="009A4DC3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邁向超高齡社會的教育政策</w:t>
            </w:r>
          </w:p>
          <w:p w14:paraId="418E41FA" w14:textId="7012940D" w:rsidR="009A4DC3" w:rsidRPr="003C22AC" w:rsidRDefault="009A4DC3" w:rsidP="009A4DC3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9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.圖像組織教學</w:t>
            </w:r>
          </w:p>
          <w:p w14:paraId="6786391F" w14:textId="441E2FD0" w:rsidR="00A90F37" w:rsidRPr="003C22AC" w:rsidRDefault="009A4DC3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10</w:t>
            </w:r>
            <w:r w:rsidR="00A90F37"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.翻轉成高教學</w:t>
            </w:r>
          </w:p>
          <w:p w14:paraId="78F588B0" w14:textId="7E47CA9C" w:rsidR="00A90F37" w:rsidRPr="003C22AC" w:rsidRDefault="00A90F37" w:rsidP="003C22AC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分組課堂</w:t>
            </w:r>
            <w:r w:rsid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實做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：繪製教學地圖：圖像組織應用</w:t>
            </w:r>
          </w:p>
        </w:tc>
      </w:tr>
      <w:tr w:rsidR="00A90F37" w:rsidRPr="001C052A" w14:paraId="0791BBB0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278" w14:textId="48EAE840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lastRenderedPageBreak/>
              <w:t>11/</w:t>
            </w:r>
            <w:r w:rsidR="0029048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2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2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六、樂齡產業專題(一)</w:t>
            </w:r>
          </w:p>
          <w:p w14:paraId="36F2D14F" w14:textId="2158344A" w:rsidR="00A90F3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11.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陽光普照樂齡八大產業前景</w:t>
            </w:r>
          </w:p>
          <w:p w14:paraId="4FDAAD62" w14:textId="23658D75" w:rsidR="00886C01" w:rsidRPr="003C22AC" w:rsidRDefault="00886C01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886C01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樂齡產業正夯</w:t>
            </w:r>
            <w:r w:rsidRPr="00886C01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 xml:space="preserve">  熟齡商機無限</w:t>
            </w:r>
          </w:p>
          <w:p w14:paraId="15608485" w14:textId="27BEB659" w:rsidR="00D75779" w:rsidRPr="003C22AC" w:rsidRDefault="00D75779" w:rsidP="00D75779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1</w:t>
            </w:r>
            <w:r w:rsidR="00886C01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2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.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創客精神與樂齡產品創新發想</w:t>
            </w:r>
          </w:p>
          <w:p w14:paraId="2E6E7EA2" w14:textId="6A84C9C6" w:rsidR="00886C01" w:rsidRPr="003C22AC" w:rsidRDefault="00886C01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分組課堂</w:t>
            </w:r>
            <w:r w:rsid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討論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：</w:t>
            </w:r>
          </w:p>
          <w:p w14:paraId="051812B1" w14:textId="36716437" w:rsidR="00A90F37" w:rsidRPr="003C22AC" w:rsidRDefault="00886C01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創客設計活動：樂齡相關問題、需求與產品清單</w:t>
            </w:r>
          </w:p>
        </w:tc>
      </w:tr>
      <w:tr w:rsidR="00A90F37" w:rsidRPr="001C052A" w14:paraId="539582ED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A5CB" w14:textId="0B709546" w:rsidR="00A90F3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12/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13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七、樂齡產業專題（二）</w:t>
            </w:r>
          </w:p>
          <w:p w14:paraId="209FE97B" w14:textId="7E2F8669" w:rsidR="00886C01" w:rsidRPr="009F01B7" w:rsidRDefault="00886C01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小組專題探索報告（二）：</w:t>
            </w:r>
            <w:r w:rsidR="00AA1F8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一組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5人</w:t>
            </w:r>
          </w:p>
          <w:p w14:paraId="31CCD7B8" w14:textId="77D7F9F7" w:rsidR="00886C01" w:rsidRPr="009F01B7" w:rsidRDefault="00AA1F87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一</w:t>
            </w:r>
            <w:r w:rsidR="00886C01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組報告</w:t>
            </w:r>
            <w:r w:rsidR="00886C01"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3</w:t>
            </w:r>
            <w:r w:rsidR="00886C01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0分（ppt20張），老師講評</w:t>
            </w:r>
            <w:r w:rsidR="00886C01"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2</w:t>
            </w:r>
            <w:r w:rsidR="00886C01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0分</w:t>
            </w:r>
          </w:p>
          <w:p w14:paraId="1A7C84FD" w14:textId="1B5DDCB9" w:rsidR="00886C01" w:rsidRDefault="00886C01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第五組 老人憂鬱症原因與預防對策（歌唱與遊戲）</w:t>
            </w:r>
          </w:p>
          <w:p w14:paraId="672F69E5" w14:textId="77777777" w:rsidR="001A67F0" w:rsidRDefault="001A67F0" w:rsidP="001A67F0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3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.從大數據看樂齡教育與相關產業</w:t>
            </w:r>
          </w:p>
          <w:p w14:paraId="43409C29" w14:textId="6E8AC035" w:rsidR="00AA1F87" w:rsidRDefault="006B1259" w:rsidP="006B1259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 w:cs="新細明體"/>
                <w:szCs w:val="24"/>
                <w:lang w:eastAsia="zh-TW"/>
              </w:rPr>
            </w:pP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未來產品報告（</w:t>
            </w:r>
            <w:r w:rsidRPr="006B1259"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  <w:t>2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0％）</w:t>
            </w:r>
            <w:r w:rsidRPr="006B1259">
              <w:rPr>
                <w:rFonts w:ascii="微軟正黑體" w:eastAsia="微軟正黑體" w:hAnsi="微軟正黑體" w:cs="新細明體"/>
                <w:szCs w:val="24"/>
                <w:highlight w:val="green"/>
                <w:lang w:eastAsia="zh-TW"/>
              </w:rPr>
              <w:t>-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未來產品創意發想報告</w:t>
            </w:r>
          </w:p>
          <w:p w14:paraId="7CDA08EE" w14:textId="2D7D9E80" w:rsidR="008E17F7" w:rsidRPr="00AA1F87" w:rsidRDefault="008E17F7" w:rsidP="006B1259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(個人</w:t>
            </w:r>
            <w:r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志願口頭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報告</w:t>
            </w:r>
            <w:r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，志願10人，每人5分鐘</w:t>
            </w:r>
            <w:r w:rsidRPr="006B1259">
              <w:rPr>
                <w:rFonts w:ascii="微軟正黑體" w:eastAsia="微軟正黑體" w:hAnsi="微軟正黑體" w:cs="新細明體" w:hint="eastAsia"/>
                <w:szCs w:val="24"/>
                <w:highlight w:val="green"/>
                <w:lang w:eastAsia="zh-TW"/>
              </w:rPr>
              <w:t>)</w:t>
            </w:r>
          </w:p>
        </w:tc>
      </w:tr>
      <w:tr w:rsidR="00A90F37" w:rsidRPr="001C052A" w14:paraId="2CA2392F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85B0" w14:textId="275BABE1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12/</w:t>
            </w:r>
            <w:r w:rsidR="003569E4" w:rsidRPr="00CD1706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2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7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八、後期人生專題</w:t>
            </w:r>
          </w:p>
          <w:p w14:paraId="0CC6B1F8" w14:textId="4DB0E935" w:rsidR="00A90F37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4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.認識老化與抗老素養</w:t>
            </w:r>
          </w:p>
          <w:p w14:paraId="7B36142E" w14:textId="0F9069C5" w:rsidR="00886C01" w:rsidRPr="009F01B7" w:rsidRDefault="00886C01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小組專題探索報告（二）：</w:t>
            </w:r>
            <w:r w:rsidR="00AA1F8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一</w:t>
            </w: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組5人</w:t>
            </w:r>
          </w:p>
          <w:p w14:paraId="64B12278" w14:textId="3A93B6D0" w:rsidR="00886C01" w:rsidRPr="009F01B7" w:rsidRDefault="00AA1F87" w:rsidP="00886C01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一</w:t>
            </w:r>
            <w:r w:rsidR="00886C01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組報告</w:t>
            </w:r>
            <w:r w:rsidR="00886C01"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3</w:t>
            </w:r>
            <w:r w:rsidR="00886C01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0分（ppt20張），老師講評</w:t>
            </w:r>
            <w:r w:rsidR="00886C01" w:rsidRPr="009F01B7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cyan"/>
                <w:lang w:eastAsia="zh-TW"/>
              </w:rPr>
              <w:t>2</w:t>
            </w:r>
            <w:r w:rsidR="00886C01"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0分</w:t>
            </w:r>
          </w:p>
          <w:p w14:paraId="6A6DFFB7" w14:textId="0E18B755" w:rsidR="00886C01" w:rsidRPr="003C22AC" w:rsidRDefault="00886C01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cyan"/>
                <w:lang w:eastAsia="zh-TW"/>
              </w:rPr>
              <w:t>第六組 高齡慢性病原因與預防對策（健康操、營養食譜）</w:t>
            </w:r>
          </w:p>
          <w:p w14:paraId="3DA6227A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5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.超高齡社會的退休準備</w:t>
            </w:r>
          </w:p>
          <w:p w14:paraId="298582AE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6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.後期人生的生涯規劃</w:t>
            </w:r>
          </w:p>
          <w:p w14:paraId="29CCB0AA" w14:textId="3FDB0ED8" w:rsidR="00A90F37" w:rsidRPr="003C22AC" w:rsidRDefault="00A90F37" w:rsidP="003C22AC">
            <w:pPr>
              <w:widowControl w:val="0"/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分組課堂</w:t>
            </w:r>
            <w:r w:rsidR="009F01B7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討論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：製作退休地圖</w:t>
            </w:r>
          </w:p>
        </w:tc>
      </w:tr>
      <w:tr w:rsidR="00A90F37" w:rsidRPr="001C052A" w14:paraId="390F1634" w14:textId="77777777" w:rsidTr="00E07EB6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F20B" w14:textId="0A5C5704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1/</w:t>
            </w:r>
            <w:r w:rsidR="00AF1E6C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3</w:t>
            </w:r>
            <w:r w:rsidRPr="00CD1706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九、研究論文專題</w:t>
            </w:r>
          </w:p>
          <w:p w14:paraId="6D8C7346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7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.研究計畫</w:t>
            </w:r>
          </w:p>
          <w:p w14:paraId="402F381F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8.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論文撰寫</w:t>
            </w:r>
          </w:p>
          <w:p w14:paraId="6E88C21E" w14:textId="528D2206" w:rsidR="00A90F37" w:rsidRPr="006B1259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green"/>
                <w:lang w:eastAsia="zh-TW"/>
              </w:rPr>
            </w:pPr>
            <w:r w:rsidRP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green"/>
                <w:lang w:eastAsia="zh-TW"/>
              </w:rPr>
              <w:t>個人</w:t>
            </w:r>
            <w:r w:rsidR="00290487" w:rsidRP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green"/>
                <w:lang w:eastAsia="zh-TW"/>
              </w:rPr>
              <w:t>志願</w:t>
            </w:r>
            <w:r w:rsidRP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green"/>
                <w:lang w:eastAsia="zh-TW"/>
              </w:rPr>
              <w:t>口頭報告8人（每人皆須繳交書面報告、志願口頭報告加分）：</w:t>
            </w:r>
          </w:p>
          <w:p w14:paraId="0F8BF655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green"/>
                <w:lang w:eastAsia="zh-TW"/>
              </w:rPr>
              <w:t>後期人生：後期人生案例報告</w:t>
            </w:r>
            <w:r w:rsidRPr="00FC514D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4</w:t>
            </w:r>
            <w:r w:rsidRPr="00FC514D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人</w:t>
            </w:r>
          </w:p>
          <w:p w14:paraId="0775D10E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每人1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2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分鐘（ppt10張），講評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10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分鐘</w:t>
            </w:r>
          </w:p>
          <w:p w14:paraId="4DE1C613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6B1259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green"/>
                <w:lang w:eastAsia="zh-TW"/>
              </w:rPr>
              <w:t>後期人生：生涯規劃報告</w:t>
            </w:r>
            <w:r w:rsidRPr="00FC514D">
              <w:rPr>
                <w:rFonts w:ascii="微軟正黑體" w:eastAsia="微軟正黑體" w:hAnsi="微軟正黑體"/>
                <w:b/>
                <w:bCs/>
                <w:kern w:val="2"/>
                <w:szCs w:val="28"/>
                <w:highlight w:val="yellow"/>
                <w:lang w:eastAsia="zh-TW"/>
              </w:rPr>
              <w:t>4</w:t>
            </w:r>
            <w:r w:rsidRPr="00FC514D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highlight w:val="yellow"/>
                <w:lang w:eastAsia="zh-TW"/>
              </w:rPr>
              <w:t>人</w:t>
            </w:r>
          </w:p>
          <w:p w14:paraId="6978A562" w14:textId="77777777" w:rsidR="00A90F37" w:rsidRPr="003C22AC" w:rsidRDefault="00A90F37" w:rsidP="003C22AC">
            <w:pPr>
              <w:widowControl w:val="0"/>
              <w:spacing w:before="0" w:beforeAutospacing="0" w:line="0" w:lineRule="atLeast"/>
              <w:ind w:leftChars="50" w:left="12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每人1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2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分鐘（ppt10張），講評</w:t>
            </w:r>
            <w:r w:rsidRPr="003C22AC"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  <w:t>10</w:t>
            </w: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分鐘</w:t>
            </w:r>
          </w:p>
          <w:p w14:paraId="6678883A" w14:textId="546DA2AD" w:rsidR="00A90F37" w:rsidRPr="003C22AC" w:rsidRDefault="00A90F37" w:rsidP="003C22AC">
            <w:pPr>
              <w:widowControl w:val="0"/>
              <w:snapToGrid w:val="0"/>
              <w:spacing w:before="0" w:beforeAutospacing="0" w:line="0" w:lineRule="atLeas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8"/>
                <w:lang w:eastAsia="zh-TW"/>
              </w:rPr>
            </w:pPr>
            <w:r w:rsidRPr="003C22AC">
              <w:rPr>
                <w:rFonts w:ascii="微軟正黑體" w:eastAsia="微軟正黑體" w:hAnsi="微軟正黑體" w:hint="eastAsia"/>
                <w:b/>
                <w:bCs/>
                <w:kern w:val="2"/>
                <w:szCs w:val="28"/>
                <w:lang w:eastAsia="zh-TW"/>
              </w:rPr>
              <w:t>未來夢想、論文方向、職場應用、退休生涯</w:t>
            </w:r>
          </w:p>
        </w:tc>
      </w:tr>
      <w:tr w:rsidR="00A90F3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90F37" w:rsidRPr="00F66AEE" w:rsidRDefault="00A90F37" w:rsidP="00A90F3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A90F37" w:rsidRPr="00F66AEE" w:rsidRDefault="00A90F37" w:rsidP="00A90F3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90F3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A90F3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32DB42E3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（成教系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  <w:lang w:eastAsia="zh-TW"/>
                    </w:rPr>
                    <w:t>碩士</w:t>
                  </w:r>
                  <w:r w:rsidRPr="00DB430D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在職專班</w:t>
                  </w: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）</w:t>
                  </w:r>
                </w:p>
                <w:p w14:paraId="23963A64" w14:textId="443EEC8B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90F3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A90F37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A90F37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60EA51B" w:rsidR="00A90F37" w:rsidRPr="00F66AEE" w:rsidRDefault="00A90F37" w:rsidP="00A90F3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終身學習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68FDC491" w:rsidR="00A90F37" w:rsidRPr="00FF66D4" w:rsidRDefault="00F22AF9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B24AC96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90F37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4713518A" w:rsidR="00A90F37" w:rsidRPr="00F66AEE" w:rsidRDefault="00A90F37" w:rsidP="00A90F3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創造力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13B0F0C4" w:rsidR="00A90F37" w:rsidRPr="00FF66D4" w:rsidRDefault="0029048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273131D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90F37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C6CB613" w:rsidR="00A90F37" w:rsidRPr="00F66AEE" w:rsidRDefault="00A90F37" w:rsidP="00A90F3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企劃力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1197A1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A90F37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50AF19D1" w:rsidR="00A90F37" w:rsidRPr="00F66AEE" w:rsidRDefault="00A90F37" w:rsidP="00A90F3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執行力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E2A2276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90F37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A90F37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A90F37" w:rsidRPr="00FF66D4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A90F37" w:rsidRPr="00F66AEE" w:rsidRDefault="00A90F37" w:rsidP="00A90F3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7365FBB3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4FEF6A09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A90F37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A90F37" w:rsidRPr="00FF66D4" w:rsidRDefault="00A90F37" w:rsidP="00A90F3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639D3AF" w:rsidR="00A90F37" w:rsidRPr="00F66AEE" w:rsidRDefault="00A90F37" w:rsidP="00A90F3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EC3CDE9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</w:tr>
            <w:tr w:rsidR="00A90F37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A90F37" w:rsidRPr="00FF66D4" w:rsidRDefault="00A90F37" w:rsidP="00A90F3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AE5834F" w:rsidR="00A90F37" w:rsidRPr="00F66AEE" w:rsidRDefault="00A90F37" w:rsidP="00A90F3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社會服務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A90F37" w:rsidRPr="00F66AEE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7B66561E" w:rsidR="00A90F37" w:rsidRPr="00FF66D4" w:rsidRDefault="00F22AF9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BF7EDB">
                    <w:rPr>
                      <w:rFonts w:ascii="新細明體" w:hAnsi="新細明體" w:hint="eastAsia"/>
                      <w:b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F5BAF70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A90F37" w:rsidRPr="00FF66D4" w:rsidRDefault="00A90F37" w:rsidP="00A90F3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A90F37" w:rsidRPr="001C052A" w:rsidRDefault="00A90F37" w:rsidP="00A90F3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DF12" w14:textId="77777777" w:rsidR="002D4928" w:rsidRDefault="002D4928" w:rsidP="00E9068E">
      <w:pPr>
        <w:spacing w:before="0"/>
      </w:pPr>
      <w:r>
        <w:separator/>
      </w:r>
    </w:p>
  </w:endnote>
  <w:endnote w:type="continuationSeparator" w:id="0">
    <w:p w14:paraId="6982F7B6" w14:textId="77777777" w:rsidR="002D4928" w:rsidRDefault="002D492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0467" w14:textId="77777777" w:rsidR="002D4928" w:rsidRDefault="002D4928" w:rsidP="00E9068E">
      <w:pPr>
        <w:spacing w:before="0"/>
      </w:pPr>
      <w:r>
        <w:separator/>
      </w:r>
    </w:p>
  </w:footnote>
  <w:footnote w:type="continuationSeparator" w:id="0">
    <w:p w14:paraId="655B724E" w14:textId="77777777" w:rsidR="002D4928" w:rsidRDefault="002D492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B6BE2"/>
    <w:multiLevelType w:val="multilevel"/>
    <w:tmpl w:val="1DC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C21C53"/>
    <w:multiLevelType w:val="hybridMultilevel"/>
    <w:tmpl w:val="E47AC7E2"/>
    <w:lvl w:ilvl="0" w:tplc="2AFA45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HK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72E10"/>
    <w:rsid w:val="00072F73"/>
    <w:rsid w:val="0008209B"/>
    <w:rsid w:val="00084361"/>
    <w:rsid w:val="000A4CF7"/>
    <w:rsid w:val="000B2C15"/>
    <w:rsid w:val="000B3E3B"/>
    <w:rsid w:val="000B5D10"/>
    <w:rsid w:val="000C472E"/>
    <w:rsid w:val="000D471A"/>
    <w:rsid w:val="000D7AC3"/>
    <w:rsid w:val="000E0C0F"/>
    <w:rsid w:val="000F085A"/>
    <w:rsid w:val="001223A4"/>
    <w:rsid w:val="001424D0"/>
    <w:rsid w:val="00156A09"/>
    <w:rsid w:val="00185033"/>
    <w:rsid w:val="00186DCE"/>
    <w:rsid w:val="001A3D56"/>
    <w:rsid w:val="001A67F0"/>
    <w:rsid w:val="001B416E"/>
    <w:rsid w:val="001B56F5"/>
    <w:rsid w:val="001D03F8"/>
    <w:rsid w:val="001D3110"/>
    <w:rsid w:val="001E2DE7"/>
    <w:rsid w:val="001E41B1"/>
    <w:rsid w:val="001F42B7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90487"/>
    <w:rsid w:val="002C2FC1"/>
    <w:rsid w:val="002D309E"/>
    <w:rsid w:val="002D3E62"/>
    <w:rsid w:val="002D4928"/>
    <w:rsid w:val="002E7B25"/>
    <w:rsid w:val="002F18F8"/>
    <w:rsid w:val="002F2160"/>
    <w:rsid w:val="00315BF1"/>
    <w:rsid w:val="00342694"/>
    <w:rsid w:val="00347BFD"/>
    <w:rsid w:val="003569E4"/>
    <w:rsid w:val="00381A43"/>
    <w:rsid w:val="003856DF"/>
    <w:rsid w:val="003866FE"/>
    <w:rsid w:val="003A2A12"/>
    <w:rsid w:val="003A4DF0"/>
    <w:rsid w:val="003A6442"/>
    <w:rsid w:val="003B04CD"/>
    <w:rsid w:val="003B2943"/>
    <w:rsid w:val="003C19DC"/>
    <w:rsid w:val="003C22AC"/>
    <w:rsid w:val="003E025F"/>
    <w:rsid w:val="003E0932"/>
    <w:rsid w:val="003E7C8A"/>
    <w:rsid w:val="003F0401"/>
    <w:rsid w:val="003F079B"/>
    <w:rsid w:val="003F7C77"/>
    <w:rsid w:val="004255C4"/>
    <w:rsid w:val="00426C11"/>
    <w:rsid w:val="00430CF5"/>
    <w:rsid w:val="004424E7"/>
    <w:rsid w:val="004A22ED"/>
    <w:rsid w:val="004D40CB"/>
    <w:rsid w:val="004E4076"/>
    <w:rsid w:val="004F4DFA"/>
    <w:rsid w:val="004F517A"/>
    <w:rsid w:val="005014D5"/>
    <w:rsid w:val="00505EBF"/>
    <w:rsid w:val="005249FE"/>
    <w:rsid w:val="005363DA"/>
    <w:rsid w:val="005478D7"/>
    <w:rsid w:val="00554B7B"/>
    <w:rsid w:val="0055645C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1259"/>
    <w:rsid w:val="006B376A"/>
    <w:rsid w:val="007607E9"/>
    <w:rsid w:val="007B34D7"/>
    <w:rsid w:val="007C04DC"/>
    <w:rsid w:val="007D4DC5"/>
    <w:rsid w:val="007F3FA5"/>
    <w:rsid w:val="007F645B"/>
    <w:rsid w:val="008324AE"/>
    <w:rsid w:val="0084469D"/>
    <w:rsid w:val="00862641"/>
    <w:rsid w:val="008675FE"/>
    <w:rsid w:val="008758A6"/>
    <w:rsid w:val="00880AF7"/>
    <w:rsid w:val="00886C01"/>
    <w:rsid w:val="00894258"/>
    <w:rsid w:val="008A5A3D"/>
    <w:rsid w:val="008D29F6"/>
    <w:rsid w:val="008D3645"/>
    <w:rsid w:val="008E17F7"/>
    <w:rsid w:val="008F1BE4"/>
    <w:rsid w:val="008F28CD"/>
    <w:rsid w:val="008F2E1B"/>
    <w:rsid w:val="009050FD"/>
    <w:rsid w:val="00907213"/>
    <w:rsid w:val="009175A5"/>
    <w:rsid w:val="009323A7"/>
    <w:rsid w:val="009533AF"/>
    <w:rsid w:val="0096101D"/>
    <w:rsid w:val="009636D0"/>
    <w:rsid w:val="00965BE9"/>
    <w:rsid w:val="00977AA8"/>
    <w:rsid w:val="0099199D"/>
    <w:rsid w:val="009A17F2"/>
    <w:rsid w:val="009A4DC3"/>
    <w:rsid w:val="009E48E1"/>
    <w:rsid w:val="009F01B7"/>
    <w:rsid w:val="009F1228"/>
    <w:rsid w:val="009F53E0"/>
    <w:rsid w:val="00A005E5"/>
    <w:rsid w:val="00A115B6"/>
    <w:rsid w:val="00A336D5"/>
    <w:rsid w:val="00A41B7F"/>
    <w:rsid w:val="00A5210C"/>
    <w:rsid w:val="00A63746"/>
    <w:rsid w:val="00A642A3"/>
    <w:rsid w:val="00A90F37"/>
    <w:rsid w:val="00A92675"/>
    <w:rsid w:val="00A94058"/>
    <w:rsid w:val="00AA1F87"/>
    <w:rsid w:val="00AA5F4C"/>
    <w:rsid w:val="00AB4B42"/>
    <w:rsid w:val="00AE3F30"/>
    <w:rsid w:val="00AF1E6C"/>
    <w:rsid w:val="00B20413"/>
    <w:rsid w:val="00B23992"/>
    <w:rsid w:val="00B3289C"/>
    <w:rsid w:val="00B41D5C"/>
    <w:rsid w:val="00B46395"/>
    <w:rsid w:val="00BA3B3C"/>
    <w:rsid w:val="00BB3197"/>
    <w:rsid w:val="00BB7AC8"/>
    <w:rsid w:val="00BD196F"/>
    <w:rsid w:val="00C12D8D"/>
    <w:rsid w:val="00C41496"/>
    <w:rsid w:val="00C4203E"/>
    <w:rsid w:val="00C45345"/>
    <w:rsid w:val="00C453F1"/>
    <w:rsid w:val="00C55C6C"/>
    <w:rsid w:val="00C66749"/>
    <w:rsid w:val="00C704D2"/>
    <w:rsid w:val="00C77E76"/>
    <w:rsid w:val="00CC4933"/>
    <w:rsid w:val="00CD1706"/>
    <w:rsid w:val="00CE72FE"/>
    <w:rsid w:val="00D3209B"/>
    <w:rsid w:val="00D346A1"/>
    <w:rsid w:val="00D60A18"/>
    <w:rsid w:val="00D72526"/>
    <w:rsid w:val="00D75779"/>
    <w:rsid w:val="00D82537"/>
    <w:rsid w:val="00D83835"/>
    <w:rsid w:val="00D83DB5"/>
    <w:rsid w:val="00DB430D"/>
    <w:rsid w:val="00DB7202"/>
    <w:rsid w:val="00DD4F0C"/>
    <w:rsid w:val="00DE18A3"/>
    <w:rsid w:val="00DF0ED6"/>
    <w:rsid w:val="00DF21F8"/>
    <w:rsid w:val="00E02892"/>
    <w:rsid w:val="00E15F38"/>
    <w:rsid w:val="00E35F40"/>
    <w:rsid w:val="00E43675"/>
    <w:rsid w:val="00E70A19"/>
    <w:rsid w:val="00E84A2F"/>
    <w:rsid w:val="00E86DC2"/>
    <w:rsid w:val="00E9068E"/>
    <w:rsid w:val="00EA0933"/>
    <w:rsid w:val="00EA2759"/>
    <w:rsid w:val="00EC360C"/>
    <w:rsid w:val="00ED7269"/>
    <w:rsid w:val="00EF6505"/>
    <w:rsid w:val="00F15A64"/>
    <w:rsid w:val="00F215AE"/>
    <w:rsid w:val="00F22674"/>
    <w:rsid w:val="00F22AF9"/>
    <w:rsid w:val="00F345EA"/>
    <w:rsid w:val="00F66AEE"/>
    <w:rsid w:val="00F75052"/>
    <w:rsid w:val="00FB4C3A"/>
    <w:rsid w:val="00FC3432"/>
    <w:rsid w:val="00FC514D"/>
    <w:rsid w:val="00FC707F"/>
    <w:rsid w:val="00FF1501"/>
    <w:rsid w:val="00FF2DAB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link w:val="10"/>
    <w:uiPriority w:val="9"/>
    <w:qFormat/>
    <w:rsid w:val="00BD196F"/>
    <w:pPr>
      <w:spacing w:after="100" w:afterAutospacing="1"/>
      <w:ind w:leftChars="0" w:left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BD196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a0"/>
    <w:rsid w:val="00BD196F"/>
  </w:style>
  <w:style w:type="character" w:customStyle="1" w:styleId="a-size-large">
    <w:name w:val="a-size-large"/>
    <w:basedOn w:val="a0"/>
    <w:rsid w:val="00BD196F"/>
  </w:style>
  <w:style w:type="character" w:styleId="ab">
    <w:name w:val="Hyperlink"/>
    <w:basedOn w:val="a0"/>
    <w:uiPriority w:val="99"/>
    <w:semiHidden/>
    <w:unhideWhenUsed/>
    <w:rsid w:val="00290487"/>
    <w:rPr>
      <w:color w:val="0000FF"/>
      <w:u w:val="single"/>
    </w:rPr>
  </w:style>
  <w:style w:type="character" w:customStyle="1" w:styleId="jss301">
    <w:name w:val="jss301"/>
    <w:basedOn w:val="a0"/>
    <w:rsid w:val="0012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industry.com/17-tips-to-motivate-adult-learne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esdoc.unesco.org/query?q=%E5%9B%A2%E4%BD%93:%20%22UNESCO.%20Director-General,%201999-2009%20(Matsuura,%20K.)%20%5Bwriter%20of%20foreword%5D%22&amp;sf=sf:*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books.com.tw/search/query/key/Rubenson%2C+Kjell+%28EDT%29/adv_author/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mazon.com/Adult-Education-Learning-Society-International/dp/0415364949/ref=sr_1_25?ie=UTF8&amp;s=books&amp;qid=1250219941&amp;sr=8-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Profession-Practice-Adult-Education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B596-8498-4F56-B9ED-E2A26DEA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895</Words>
  <Characters>5107</Characters>
  <Application>Microsoft Office Word</Application>
  <DocSecurity>0</DocSecurity>
  <Lines>42</Lines>
  <Paragraphs>11</Paragraphs>
  <ScaleCrop>false</ScaleCrop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adumch1@gmail.com</cp:lastModifiedBy>
  <cp:revision>46</cp:revision>
  <cp:lastPrinted>2023-06-26T09:36:00Z</cp:lastPrinted>
  <dcterms:created xsi:type="dcterms:W3CDTF">2024-05-31T06:22:00Z</dcterms:created>
  <dcterms:modified xsi:type="dcterms:W3CDTF">2025-08-31T14:26:00Z</dcterms:modified>
</cp:coreProperties>
</file>