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5F0" w:rsidRPr="00806D3F" w:rsidRDefault="00000000">
      <w:pPr>
        <w:jc w:val="center"/>
        <w:rPr>
          <w:rFonts w:ascii="BiauKaiTC Regular" w:eastAsia="BiauKaiTC Regular" w:hAnsi="BiauKaiTC Regular" w:cs="DFKai-SB"/>
          <w:sz w:val="28"/>
          <w:szCs w:val="28"/>
        </w:rPr>
      </w:pPr>
      <w:r w:rsidRPr="00806D3F">
        <w:rPr>
          <w:rFonts w:ascii="BiauKaiTC Regular" w:eastAsia="BiauKaiTC Regular" w:hAnsi="BiauKaiTC Regular" w:cs="DFKai-SB"/>
          <w:color w:val="000000"/>
          <w:sz w:val="28"/>
          <w:szCs w:val="28"/>
        </w:rPr>
        <w:t>質化研究方法</w:t>
      </w:r>
    </w:p>
    <w:p w:rsidR="002635F0" w:rsidRPr="00806D3F" w:rsidRDefault="00000000">
      <w:pPr>
        <w:jc w:val="center"/>
        <w:rPr>
          <w:rFonts w:ascii="BiauKaiTC Regular" w:eastAsia="BiauKaiTC Regular" w:hAnsi="BiauKaiTC Regular" w:cs="Times New Roman"/>
          <w:sz w:val="28"/>
          <w:szCs w:val="28"/>
        </w:rPr>
      </w:pPr>
      <w:r w:rsidRPr="00806D3F">
        <w:rPr>
          <w:rFonts w:ascii="BiauKaiTC Regular" w:eastAsia="BiauKaiTC Regular" w:hAnsi="BiauKaiTC Regular" w:cs="Times New Roman"/>
          <w:b/>
          <w:sz w:val="28"/>
          <w:szCs w:val="28"/>
        </w:rPr>
        <w:t>NATIONAL CHUNG CHENG UNIVERSITY</w:t>
      </w:r>
    </w:p>
    <w:p w:rsidR="002635F0" w:rsidRPr="00806D3F" w:rsidRDefault="000D7689">
      <w:pPr>
        <w:jc w:val="center"/>
        <w:rPr>
          <w:rFonts w:ascii="BiauKaiTC Regular" w:eastAsia="BiauKaiTC Regular" w:hAnsi="BiauKaiTC Regular" w:cs="Times New Roman"/>
          <w:sz w:val="28"/>
          <w:szCs w:val="28"/>
        </w:rPr>
      </w:pPr>
      <w:r w:rsidRPr="00806D3F">
        <w:rPr>
          <w:rFonts w:ascii="BiauKaiTC Regular" w:eastAsia="BiauKaiTC Regular" w:hAnsi="BiauKaiTC Regular" w:cs="Times New Roman"/>
          <w:b/>
          <w:sz w:val="28"/>
          <w:szCs w:val="28"/>
        </w:rPr>
        <w:t>Fall</w:t>
      </w:r>
      <w:r w:rsidR="00000000" w:rsidRPr="00806D3F">
        <w:rPr>
          <w:rFonts w:ascii="BiauKaiTC Regular" w:eastAsia="BiauKaiTC Regular" w:hAnsi="BiauKaiTC Regular" w:cs="Times New Roman"/>
          <w:b/>
          <w:sz w:val="28"/>
          <w:szCs w:val="28"/>
        </w:rPr>
        <w:t xml:space="preserve"> 202</w:t>
      </w:r>
      <w:r w:rsidRPr="00806D3F">
        <w:rPr>
          <w:rFonts w:ascii="BiauKaiTC Regular" w:eastAsia="BiauKaiTC Regular" w:hAnsi="BiauKaiTC Regular" w:cs="Times New Roman"/>
          <w:b/>
          <w:sz w:val="28"/>
          <w:szCs w:val="28"/>
        </w:rPr>
        <w:t>3</w:t>
      </w:r>
    </w:p>
    <w:tbl>
      <w:tblPr>
        <w:tblStyle w:val="a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1276"/>
        <w:gridCol w:w="992"/>
        <w:gridCol w:w="1021"/>
        <w:gridCol w:w="609"/>
        <w:gridCol w:w="71"/>
        <w:gridCol w:w="1559"/>
      </w:tblGrid>
      <w:tr w:rsidR="002635F0" w:rsidRPr="00806D3F"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系所</w:t>
            </w:r>
          </w:p>
        </w:tc>
        <w:tc>
          <w:tcPr>
            <w:tcW w:w="4394" w:type="dxa"/>
            <w:gridSpan w:val="3"/>
          </w:tcPr>
          <w:p w:rsidR="002635F0" w:rsidRPr="00806D3F" w:rsidRDefault="00000000">
            <w:pPr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企管系</w:t>
            </w:r>
          </w:p>
        </w:tc>
        <w:tc>
          <w:tcPr>
            <w:tcW w:w="1630" w:type="dxa"/>
            <w:gridSpan w:val="2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必選修</w:t>
            </w:r>
          </w:p>
        </w:tc>
        <w:tc>
          <w:tcPr>
            <w:tcW w:w="1630" w:type="dxa"/>
            <w:gridSpan w:val="2"/>
          </w:tcPr>
          <w:p w:rsidR="002635F0" w:rsidRPr="00806D3F" w:rsidRDefault="002635F0">
            <w:pPr>
              <w:rPr>
                <w:rFonts w:ascii="BiauKaiTC Regular" w:eastAsia="BiauKaiTC Regular" w:hAnsi="BiauKaiTC Regular" w:cs="Times New Roman"/>
              </w:rPr>
            </w:pPr>
          </w:p>
        </w:tc>
      </w:tr>
      <w:tr w:rsidR="002635F0" w:rsidRPr="00806D3F"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課程名稱</w:t>
            </w:r>
          </w:p>
        </w:tc>
        <w:tc>
          <w:tcPr>
            <w:tcW w:w="4394" w:type="dxa"/>
            <w:gridSpan w:val="3"/>
            <w:tcBorders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  <w:color w:val="000000"/>
              </w:rPr>
              <w:t>質化研究方法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學分數</w:t>
            </w:r>
          </w:p>
        </w:tc>
        <w:tc>
          <w:tcPr>
            <w:tcW w:w="2239" w:type="dxa"/>
            <w:gridSpan w:val="3"/>
            <w:tcBorders>
              <w:lef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>3</w:t>
            </w:r>
          </w:p>
        </w:tc>
      </w:tr>
      <w:tr w:rsidR="002635F0" w:rsidRPr="00806D3F"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講授代碼</w:t>
            </w:r>
          </w:p>
        </w:tc>
        <w:tc>
          <w:tcPr>
            <w:tcW w:w="7654" w:type="dxa"/>
            <w:gridSpan w:val="7"/>
          </w:tcPr>
          <w:p w:rsidR="002635F0" w:rsidRPr="00806D3F" w:rsidRDefault="002635F0">
            <w:pPr>
              <w:rPr>
                <w:rFonts w:ascii="BiauKaiTC Regular" w:eastAsia="BiauKaiTC Regular" w:hAnsi="BiauKaiTC Regular" w:cs="Times New Roman"/>
              </w:rPr>
            </w:pPr>
          </w:p>
        </w:tc>
      </w:tr>
      <w:tr w:rsidR="002635F0" w:rsidRPr="00806D3F"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講授教師</w:t>
            </w:r>
          </w:p>
        </w:tc>
        <w:tc>
          <w:tcPr>
            <w:tcW w:w="7654" w:type="dxa"/>
            <w:gridSpan w:val="7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授課教師:連雅慧、許嘉文</w:t>
            </w:r>
            <w:r w:rsidRPr="00806D3F">
              <w:rPr>
                <w:rFonts w:ascii="BiauKaiTC Regular" w:eastAsia="BiauKaiTC Regular" w:hAnsi="BiauKaiTC Regular" w:cs="PMingLiU"/>
              </w:rPr>
              <w:t>、</w:t>
            </w:r>
            <w:r w:rsidRPr="00806D3F">
              <w:rPr>
                <w:rFonts w:ascii="BiauKaiTC Regular" w:eastAsia="BiauKaiTC Regular" w:hAnsi="BiauKaiTC Regular" w:cs="Gungsuh"/>
              </w:rPr>
              <w:t>游蓓怡</w:t>
            </w:r>
          </w:p>
          <w:p w:rsidR="002635F0" w:rsidRPr="00806D3F" w:rsidRDefault="00000000">
            <w:pPr>
              <w:ind w:left="2876" w:hanging="2876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 xml:space="preserve">上課時間: 雙週六 8:10～12:00 </w:t>
            </w:r>
          </w:p>
        </w:tc>
      </w:tr>
      <w:tr w:rsidR="002635F0" w:rsidRPr="00806D3F"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地點/時間</w:t>
            </w:r>
          </w:p>
        </w:tc>
        <w:tc>
          <w:tcPr>
            <w:tcW w:w="7654" w:type="dxa"/>
            <w:gridSpan w:val="7"/>
          </w:tcPr>
          <w:p w:rsidR="002635F0" w:rsidRPr="00806D3F" w:rsidRDefault="002635F0">
            <w:pPr>
              <w:ind w:left="2876" w:hanging="2876"/>
              <w:rPr>
                <w:rFonts w:ascii="BiauKaiTC Regular" w:eastAsia="BiauKaiTC Regular" w:hAnsi="BiauKaiTC Regular" w:cs="Times New Roman"/>
              </w:rPr>
            </w:pPr>
          </w:p>
        </w:tc>
      </w:tr>
      <w:tr w:rsidR="002635F0" w:rsidRPr="00806D3F"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先修課程</w:t>
            </w:r>
          </w:p>
        </w:tc>
        <w:tc>
          <w:tcPr>
            <w:tcW w:w="7654" w:type="dxa"/>
            <w:gridSpan w:val="7"/>
          </w:tcPr>
          <w:p w:rsidR="002635F0" w:rsidRPr="00806D3F" w:rsidRDefault="002635F0">
            <w:pPr>
              <w:rPr>
                <w:rFonts w:ascii="BiauKaiTC Regular" w:eastAsia="BiauKaiTC Regular" w:hAnsi="BiauKaiTC Regular" w:cs="Times New Roman"/>
              </w:rPr>
            </w:pPr>
          </w:p>
        </w:tc>
      </w:tr>
      <w:tr w:rsidR="002635F0" w:rsidRPr="00806D3F"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課程目標</w:t>
            </w:r>
          </w:p>
        </w:tc>
        <w:tc>
          <w:tcPr>
            <w:tcW w:w="7654" w:type="dxa"/>
            <w:gridSpan w:val="7"/>
          </w:tcPr>
          <w:p w:rsidR="002635F0" w:rsidRPr="00806D3F" w:rsidRDefault="00000000">
            <w:pPr>
              <w:jc w:val="both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在此質化研究課程中，學習者將透過理論學習與實務操作的方式，經由文獻閱讀、課堂參與、研究設計與實際操作等多元學習管道，以認識質化研究方法之基本原則，並瞭解基本的執行程序。</w:t>
            </w:r>
          </w:p>
        </w:tc>
      </w:tr>
      <w:tr w:rsidR="002635F0" w:rsidRPr="00806D3F"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教材</w:t>
            </w:r>
          </w:p>
        </w:tc>
        <w:tc>
          <w:tcPr>
            <w:tcW w:w="7654" w:type="dxa"/>
            <w:gridSpan w:val="7"/>
          </w:tcPr>
          <w:p w:rsidR="002635F0" w:rsidRPr="00806D3F" w:rsidRDefault="00000000">
            <w:pPr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教科書、指定閱讀文章</w:t>
            </w:r>
          </w:p>
        </w:tc>
      </w:tr>
      <w:tr w:rsidR="002635F0" w:rsidRPr="00806D3F"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課程網址</w:t>
            </w:r>
          </w:p>
        </w:tc>
        <w:tc>
          <w:tcPr>
            <w:tcW w:w="7654" w:type="dxa"/>
            <w:gridSpan w:val="7"/>
          </w:tcPr>
          <w:p w:rsidR="002635F0" w:rsidRPr="00806D3F" w:rsidRDefault="002635F0">
            <w:pPr>
              <w:rPr>
                <w:rFonts w:ascii="BiauKaiTC Regular" w:eastAsia="BiauKaiTC Regular" w:hAnsi="BiauKaiTC Regular" w:cs="Times New Roman"/>
              </w:rPr>
            </w:pPr>
          </w:p>
        </w:tc>
      </w:tr>
      <w:tr w:rsidR="002635F0" w:rsidRPr="00806D3F">
        <w:trPr>
          <w:trHeight w:val="1041"/>
        </w:trPr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參考資料/參考書</w:t>
            </w:r>
          </w:p>
        </w:tc>
        <w:tc>
          <w:tcPr>
            <w:tcW w:w="7654" w:type="dxa"/>
            <w:gridSpan w:val="7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瞿海源、畢恆達、留長萱、楊國樞主編。2012。《社會及行為科學研究法》《一》《二》。東華書局。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畢恆達。《教授為什麼沒告訴我》。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林本炫，周平主編。2005。《質性研究方法與議題創新》。復文圖書。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高淑清，2008。《質性研究的18 堂課－首航初探之旅》。麗文文化。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潘淑滿。2003。《質性研究：理論與應用》。台北市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蔡敦浩、劉育忠、王慧蘭。2011。敘說探究的第一堂課。鼎茂圖書。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Mills, G. E.著，蔡美華譯。2003。《行動研究法》。台北市：學富。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Patton, M. Q.著，吳芝儀，李奉儒譯。2008。《質性研究與評鑑（上／下）》（Qualitative Research &amp; Evaluation Methods, 3rd ed.）。濤石文化。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Ritchie, J., and J. Lewis 著，藍毓仁譯。2008。《質性研究方法》（Qualitative Research Practice: A Guide for Social Science Students and Researchers）。巨流。</w:t>
            </w:r>
          </w:p>
        </w:tc>
      </w:tr>
      <w:tr w:rsidR="002635F0" w:rsidRPr="00806D3F">
        <w:tc>
          <w:tcPr>
            <w:tcW w:w="2093" w:type="dxa"/>
            <w:vMerge w:val="restart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評量方式</w:t>
            </w: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Segoe UI Symbol" w:eastAsia="BiauKaiTC Regular" w:hAnsi="Segoe UI Symbol" w:cs="Segoe UI Symbol"/>
              </w:rPr>
              <w:t>🗹</w:t>
            </w:r>
            <w:r w:rsidRPr="00806D3F">
              <w:rPr>
                <w:rFonts w:ascii="BiauKaiTC Regular" w:eastAsia="BiauKaiTC Regular" w:hAnsi="BiauKaiTC Regular" w:cs="Times New Roman"/>
              </w:rPr>
              <w:t xml:space="preserve"> Assignment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000000">
            <w:pPr>
              <w:jc w:val="right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>40%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>□Presentation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635F0" w:rsidRPr="00806D3F" w:rsidRDefault="002635F0">
            <w:pPr>
              <w:jc w:val="right"/>
              <w:rPr>
                <w:rFonts w:ascii="BiauKaiTC Regular" w:eastAsia="BiauKaiTC Regular" w:hAnsi="BiauKaiTC Regular" w:cs="Times New Roman"/>
              </w:rPr>
            </w:pPr>
          </w:p>
        </w:tc>
      </w:tr>
      <w:tr w:rsidR="002635F0" w:rsidRPr="00806D3F">
        <w:tc>
          <w:tcPr>
            <w:tcW w:w="2093" w:type="dxa"/>
            <w:vMerge/>
          </w:tcPr>
          <w:p w:rsidR="002635F0" w:rsidRPr="00806D3F" w:rsidRDefault="00263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TC Regular" w:eastAsia="BiauKaiTC Regular" w:hAnsi="BiauKaiTC Regular" w:cs="Times New Roman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2635F0" w:rsidRPr="00806D3F" w:rsidRDefault="00000000">
            <w:pPr>
              <w:jc w:val="both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>□ Quiz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2635F0">
            <w:pPr>
              <w:ind w:firstLine="240"/>
              <w:jc w:val="right"/>
              <w:rPr>
                <w:rFonts w:ascii="BiauKaiTC Regular" w:eastAsia="BiauKaiTC Regular" w:hAnsi="BiauKaiTC Regular" w:cs="Times New Roman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Segoe UI Symbol" w:eastAsia="BiauKaiTC Regular" w:hAnsi="Segoe UI Symbol" w:cs="Segoe UI Symbol"/>
              </w:rPr>
              <w:t>🗹</w:t>
            </w:r>
            <w:r w:rsidRPr="00806D3F">
              <w:rPr>
                <w:rFonts w:ascii="BiauKaiTC Regular" w:eastAsia="BiauKaiTC Regular" w:hAnsi="BiauKaiTC Regular" w:cs="Times New Roman"/>
              </w:rPr>
              <w:t xml:space="preserve"> Term Paper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635F0" w:rsidRPr="00806D3F" w:rsidRDefault="00000000">
            <w:pPr>
              <w:jc w:val="right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>60%</w:t>
            </w:r>
          </w:p>
        </w:tc>
      </w:tr>
      <w:tr w:rsidR="002635F0" w:rsidRPr="00806D3F">
        <w:tc>
          <w:tcPr>
            <w:tcW w:w="2093" w:type="dxa"/>
            <w:vMerge/>
          </w:tcPr>
          <w:p w:rsidR="002635F0" w:rsidRPr="00806D3F" w:rsidRDefault="00263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TC Regular" w:eastAsia="BiauKaiTC Regular" w:hAnsi="BiauKaiTC Regular" w:cs="Times New Roman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>□ Midterm Test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2635F0">
            <w:pPr>
              <w:jc w:val="right"/>
              <w:rPr>
                <w:rFonts w:ascii="BiauKaiTC Regular" w:eastAsia="BiauKaiTC Regular" w:hAnsi="BiauKaiTC Regular" w:cs="Times New Roman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>□Project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635F0" w:rsidRPr="00806D3F" w:rsidRDefault="002635F0">
            <w:pPr>
              <w:jc w:val="right"/>
              <w:rPr>
                <w:rFonts w:ascii="BiauKaiTC Regular" w:eastAsia="BiauKaiTC Regular" w:hAnsi="BiauKaiTC Regular" w:cs="Times New Roman"/>
              </w:rPr>
            </w:pPr>
          </w:p>
        </w:tc>
      </w:tr>
      <w:tr w:rsidR="002635F0" w:rsidRPr="00806D3F">
        <w:tc>
          <w:tcPr>
            <w:tcW w:w="2093" w:type="dxa"/>
            <w:vMerge/>
          </w:tcPr>
          <w:p w:rsidR="002635F0" w:rsidRPr="00806D3F" w:rsidRDefault="00263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TC Regular" w:eastAsia="BiauKaiTC Regular" w:hAnsi="BiauKaiTC Regular" w:cs="Times New Roman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>□Final Test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2635F0">
            <w:pPr>
              <w:jc w:val="right"/>
              <w:rPr>
                <w:rFonts w:ascii="BiauKaiTC Regular" w:eastAsia="BiauKaiTC Regular" w:hAnsi="BiauKaiTC Regular" w:cs="Times New Roman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 xml:space="preserve">□Others </w:t>
            </w:r>
            <w:proofErr w:type="gramStart"/>
            <w:r w:rsidRPr="00806D3F">
              <w:rPr>
                <w:rFonts w:ascii="BiauKaiTC Regular" w:eastAsia="BiauKaiTC Regular" w:hAnsi="BiauKaiTC Regular" w:cs="Times New Roman"/>
              </w:rPr>
              <w:t xml:space="preserve">(  </w:t>
            </w:r>
            <w:proofErr w:type="gramEnd"/>
            <w:r w:rsidRPr="00806D3F">
              <w:rPr>
                <w:rFonts w:ascii="BiauKaiTC Regular" w:eastAsia="BiauKaiTC Regular" w:hAnsi="BiauKaiTC Regular" w:cs="Times New Roman"/>
              </w:rPr>
              <w:t xml:space="preserve"> )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635F0" w:rsidRPr="00806D3F" w:rsidRDefault="002635F0">
            <w:pPr>
              <w:jc w:val="right"/>
              <w:rPr>
                <w:rFonts w:ascii="BiauKaiTC Regular" w:eastAsia="BiauKaiTC Regular" w:hAnsi="BiauKaiTC Regular" w:cs="Times New Roman"/>
              </w:rPr>
            </w:pPr>
          </w:p>
        </w:tc>
      </w:tr>
      <w:tr w:rsidR="002635F0" w:rsidRPr="00806D3F">
        <w:tc>
          <w:tcPr>
            <w:tcW w:w="2093" w:type="dxa"/>
            <w:vMerge/>
          </w:tcPr>
          <w:p w:rsidR="002635F0" w:rsidRPr="00806D3F" w:rsidRDefault="00263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TC Regular" w:eastAsia="BiauKaiTC Regular" w:hAnsi="BiauKaiTC Regular" w:cs="Times New Roman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</w:rPr>
              <w:t>□Case Discussion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2635F0">
            <w:pPr>
              <w:jc w:val="right"/>
              <w:rPr>
                <w:rFonts w:ascii="BiauKaiTC Regular" w:eastAsia="BiauKaiTC Regular" w:hAnsi="BiauKaiTC Regular" w:cs="Times New Roman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635F0" w:rsidRPr="00806D3F" w:rsidRDefault="002635F0">
            <w:pPr>
              <w:rPr>
                <w:rFonts w:ascii="BiauKaiTC Regular" w:eastAsia="BiauKaiTC Regular" w:hAnsi="BiauKaiTC Regular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635F0" w:rsidRPr="00806D3F" w:rsidRDefault="002635F0">
            <w:pPr>
              <w:jc w:val="right"/>
              <w:rPr>
                <w:rFonts w:ascii="BiauKaiTC Regular" w:eastAsia="BiauKaiTC Regular" w:hAnsi="BiauKaiTC Regular" w:cs="Times New Roman"/>
              </w:rPr>
            </w:pPr>
          </w:p>
        </w:tc>
      </w:tr>
      <w:tr w:rsidR="002635F0" w:rsidRPr="00806D3F">
        <w:trPr>
          <w:trHeight w:val="1483"/>
        </w:trPr>
        <w:tc>
          <w:tcPr>
            <w:tcW w:w="2093" w:type="dxa"/>
          </w:tcPr>
          <w:p w:rsidR="002635F0" w:rsidRPr="00806D3F" w:rsidRDefault="00000000">
            <w:pPr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附註及相關規定</w:t>
            </w:r>
          </w:p>
        </w:tc>
        <w:tc>
          <w:tcPr>
            <w:tcW w:w="7654" w:type="dxa"/>
            <w:gridSpan w:val="7"/>
          </w:tcPr>
          <w:p w:rsidR="002635F0" w:rsidRPr="00806D3F" w:rsidRDefault="00000000">
            <w:pPr>
              <w:jc w:val="both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作業一：An interview practice</w:t>
            </w:r>
          </w:p>
          <w:p w:rsidR="002635F0" w:rsidRPr="00806D3F" w:rsidRDefault="00000000">
            <w:pPr>
              <w:jc w:val="both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期末報告：Research Proposal（Oral Presentation）</w:t>
            </w:r>
          </w:p>
          <w:p w:rsidR="002635F0" w:rsidRPr="00806D3F" w:rsidRDefault="00000000">
            <w:pPr>
              <w:jc w:val="both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</w:rPr>
              <w:t>(相關要求於課堂上發放)</w:t>
            </w:r>
            <w:r w:rsidRPr="00806D3F">
              <w:rPr>
                <w:rFonts w:ascii="BiauKaiTC Regular" w:eastAsia="BiauKaiTC Regular" w:hAnsi="BiauKaiTC Regular" w:cs="Gungsuh"/>
              </w:rPr>
              <w:tab/>
            </w:r>
          </w:p>
        </w:tc>
      </w:tr>
    </w:tbl>
    <w:p w:rsidR="002635F0" w:rsidRPr="00806D3F" w:rsidRDefault="00000000">
      <w:pPr>
        <w:jc w:val="center"/>
        <w:rPr>
          <w:rFonts w:ascii="BiauKaiTC Regular" w:eastAsia="BiauKaiTC Regular" w:hAnsi="BiauKaiTC Regular" w:cs="Times New Roman"/>
          <w:sz w:val="28"/>
          <w:szCs w:val="28"/>
        </w:rPr>
      </w:pPr>
      <w:r w:rsidRPr="00806D3F">
        <w:rPr>
          <w:rFonts w:ascii="BiauKaiTC Regular" w:eastAsia="BiauKaiTC Regular" w:hAnsi="BiauKaiTC Regular"/>
        </w:rPr>
        <w:br w:type="page"/>
      </w:r>
      <w:r w:rsidRPr="00806D3F">
        <w:rPr>
          <w:rFonts w:ascii="BiauKaiTC Regular" w:eastAsia="BiauKaiTC Regular" w:hAnsi="BiauKaiTC Regular" w:cs="Times New Roman"/>
          <w:b/>
          <w:sz w:val="28"/>
          <w:szCs w:val="28"/>
        </w:rPr>
        <w:lastRenderedPageBreak/>
        <w:t>CLASS SCHEDULE</w:t>
      </w:r>
    </w:p>
    <w:tbl>
      <w:tblPr>
        <w:tblStyle w:val="a0"/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153"/>
        <w:gridCol w:w="3096"/>
        <w:gridCol w:w="783"/>
        <w:gridCol w:w="1403"/>
        <w:gridCol w:w="1150"/>
      </w:tblGrid>
      <w:tr w:rsidR="002635F0" w:rsidRPr="00806D3F"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  <w:b/>
              </w:rPr>
              <w:t>課次</w:t>
            </w:r>
          </w:p>
        </w:tc>
        <w:tc>
          <w:tcPr>
            <w:tcW w:w="215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  <w:b/>
              </w:rPr>
              <w:t>日期/課次</w:t>
            </w:r>
          </w:p>
        </w:tc>
        <w:tc>
          <w:tcPr>
            <w:tcW w:w="3096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Gungsuh"/>
                <w:b/>
              </w:rPr>
              <w:t>內容</w:t>
            </w:r>
          </w:p>
        </w:tc>
        <w:tc>
          <w:tcPr>
            <w:tcW w:w="78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Text</w:t>
            </w:r>
          </w:p>
        </w:tc>
        <w:tc>
          <w:tcPr>
            <w:tcW w:w="140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Reading &amp; Case</w:t>
            </w:r>
          </w:p>
        </w:tc>
        <w:tc>
          <w:tcPr>
            <w:tcW w:w="1150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Note</w:t>
            </w:r>
          </w:p>
        </w:tc>
      </w:tr>
      <w:tr w:rsidR="002635F0" w:rsidRPr="00806D3F">
        <w:trPr>
          <w:trHeight w:val="1544"/>
        </w:trPr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1.</w:t>
            </w:r>
          </w:p>
        </w:tc>
        <w:tc>
          <w:tcPr>
            <w:tcW w:w="2153" w:type="dxa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3/6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ind w:left="240" w:hanging="12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質化研究課程簡介</w:t>
            </w:r>
          </w:p>
          <w:p w:rsidR="002635F0" w:rsidRPr="00806D3F" w:rsidRDefault="00000000">
            <w:pPr>
              <w:spacing w:before="240" w:after="240"/>
              <w:ind w:left="240" w:hanging="12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社會科學研究方法概論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>連</w:t>
            </w:r>
          </w:p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 xml:space="preserve"> </w:t>
            </w:r>
          </w:p>
        </w:tc>
      </w:tr>
      <w:tr w:rsidR="002635F0" w:rsidRPr="00806D3F">
        <w:trPr>
          <w:trHeight w:val="923"/>
        </w:trPr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2</w:t>
            </w:r>
          </w:p>
        </w:tc>
        <w:tc>
          <w:tcPr>
            <w:tcW w:w="2153" w:type="dxa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3/20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質化研究的發展階段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>連</w:t>
            </w:r>
          </w:p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 xml:space="preserve"> </w:t>
            </w:r>
          </w:p>
        </w:tc>
      </w:tr>
      <w:tr w:rsidR="002635F0" w:rsidRPr="00806D3F">
        <w:trPr>
          <w:trHeight w:val="547"/>
        </w:trPr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3</w:t>
            </w:r>
          </w:p>
        </w:tc>
        <w:tc>
          <w:tcPr>
            <w:tcW w:w="2153" w:type="dxa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4/3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質化研究設計 (I)</w:t>
            </w:r>
          </w:p>
          <w:p w:rsidR="002635F0" w:rsidRPr="00806D3F" w:rsidRDefault="002635F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>連</w:t>
            </w:r>
          </w:p>
        </w:tc>
      </w:tr>
      <w:tr w:rsidR="002635F0" w:rsidRPr="00806D3F">
        <w:trPr>
          <w:trHeight w:val="554"/>
        </w:trPr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4</w:t>
            </w:r>
          </w:p>
        </w:tc>
        <w:tc>
          <w:tcPr>
            <w:tcW w:w="2153" w:type="dxa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4/17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質化資料蒐集策略：文獻與蒐集與分析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>游</w:t>
            </w:r>
          </w:p>
        </w:tc>
      </w:tr>
      <w:tr w:rsidR="002635F0" w:rsidRPr="00806D3F">
        <w:trPr>
          <w:trHeight w:val="548"/>
        </w:trPr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5</w:t>
            </w:r>
          </w:p>
        </w:tc>
        <w:tc>
          <w:tcPr>
            <w:tcW w:w="2153" w:type="dxa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5/1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質化資料蒐集策略：訪談法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>游</w:t>
            </w:r>
          </w:p>
        </w:tc>
      </w:tr>
      <w:tr w:rsidR="002635F0" w:rsidRPr="00806D3F">
        <w:trPr>
          <w:trHeight w:val="570"/>
        </w:trPr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6</w:t>
            </w:r>
          </w:p>
        </w:tc>
        <w:tc>
          <w:tcPr>
            <w:tcW w:w="2153" w:type="dxa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5/15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質化資料蒐集策略：焦點團體訪談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 xml:space="preserve"> </w:t>
            </w:r>
          </w:p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>游</w:t>
            </w:r>
          </w:p>
        </w:tc>
      </w:tr>
      <w:tr w:rsidR="002635F0" w:rsidRPr="00806D3F">
        <w:trPr>
          <w:trHeight w:val="565"/>
        </w:trPr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7</w:t>
            </w:r>
          </w:p>
        </w:tc>
        <w:tc>
          <w:tcPr>
            <w:tcW w:w="2153" w:type="dxa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5/29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質化資料蒐集策略： 個案研究Case Study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 w:line="436" w:lineRule="auto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 xml:space="preserve"> </w:t>
            </w:r>
          </w:p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>許</w:t>
            </w:r>
          </w:p>
        </w:tc>
      </w:tr>
      <w:tr w:rsidR="002635F0" w:rsidRPr="00806D3F">
        <w:trPr>
          <w:trHeight w:val="544"/>
        </w:trPr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8</w:t>
            </w:r>
          </w:p>
        </w:tc>
        <w:tc>
          <w:tcPr>
            <w:tcW w:w="2153" w:type="dxa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6/12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質化資料分析策略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>許</w:t>
            </w:r>
          </w:p>
        </w:tc>
      </w:tr>
      <w:tr w:rsidR="002635F0" w:rsidRPr="00806D3F">
        <w:trPr>
          <w:trHeight w:val="553"/>
        </w:trPr>
        <w:tc>
          <w:tcPr>
            <w:tcW w:w="763" w:type="dxa"/>
            <w:vAlign w:val="center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Times New Roman"/>
              </w:rPr>
            </w:pPr>
            <w:r w:rsidRPr="00806D3F">
              <w:rPr>
                <w:rFonts w:ascii="BiauKaiTC Regular" w:eastAsia="BiauKaiTC Regular" w:hAnsi="BiauKaiTC Regular" w:cs="Times New Roman"/>
                <w:b/>
              </w:rPr>
              <w:t>9</w:t>
            </w:r>
          </w:p>
        </w:tc>
        <w:tc>
          <w:tcPr>
            <w:tcW w:w="2153" w:type="dxa"/>
          </w:tcPr>
          <w:p w:rsidR="002635F0" w:rsidRPr="00806D3F" w:rsidRDefault="00000000">
            <w:pPr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6/26</w:t>
            </w:r>
          </w:p>
        </w:tc>
        <w:tc>
          <w:tcPr>
            <w:tcW w:w="3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>紮根理論的建構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</w:rPr>
            </w:pPr>
            <w:r w:rsidRPr="00806D3F">
              <w:rPr>
                <w:rFonts w:ascii="BiauKaiTC Regular" w:eastAsia="BiauKaiTC Regular" w:hAnsi="BiauKaiTC Regular" w:cs="DFKai-SB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F0" w:rsidRPr="00806D3F" w:rsidRDefault="00000000">
            <w:pPr>
              <w:spacing w:before="240" w:after="240"/>
              <w:jc w:val="center"/>
              <w:rPr>
                <w:rFonts w:ascii="BiauKaiTC Regular" w:eastAsia="BiauKaiTC Regular" w:hAnsi="BiauKaiTC Regular" w:cs="DFKai-SB"/>
                <w:sz w:val="20"/>
                <w:szCs w:val="20"/>
              </w:rPr>
            </w:pPr>
            <w:r w:rsidRPr="00806D3F">
              <w:rPr>
                <w:rFonts w:ascii="BiauKaiTC Regular" w:eastAsia="BiauKaiTC Regular" w:hAnsi="BiauKaiTC Regular" w:cs="DFKai-SB"/>
                <w:sz w:val="20"/>
                <w:szCs w:val="20"/>
              </w:rPr>
              <w:t>許</w:t>
            </w:r>
          </w:p>
        </w:tc>
      </w:tr>
    </w:tbl>
    <w:p w:rsidR="002635F0" w:rsidRPr="00806D3F" w:rsidRDefault="00000000">
      <w:pPr>
        <w:widowControl/>
        <w:rPr>
          <w:rFonts w:ascii="BiauKaiTC Regular" w:eastAsia="BiauKaiTC Regular" w:hAnsi="BiauKaiTC Regular"/>
        </w:rPr>
      </w:pPr>
      <w:r w:rsidRPr="00806D3F">
        <w:rPr>
          <w:rFonts w:ascii="BiauKaiTC Regular" w:eastAsia="BiauKaiTC Regular" w:hAnsi="BiauKaiTC Regular"/>
        </w:rPr>
        <w:br w:type="page"/>
      </w:r>
      <w:r w:rsidRPr="00806D3F">
        <w:rPr>
          <w:rFonts w:ascii="BiauKaiTC Regular" w:eastAsia="BiauKaiTC Regular" w:hAnsi="BiauKaiTC Regular"/>
          <w:b/>
        </w:rPr>
        <w:lastRenderedPageBreak/>
        <w:t>Course materials</w:t>
      </w:r>
    </w:p>
    <w:tbl>
      <w:tblPr>
        <w:tblStyle w:val="a1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2635F0" w:rsidRPr="00806D3F">
        <w:trPr>
          <w:trHeight w:val="900"/>
        </w:trPr>
        <w:tc>
          <w:tcPr>
            <w:tcW w:w="9900" w:type="dxa"/>
            <w:vAlign w:val="center"/>
          </w:tcPr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Deetz, S. (1996). Describing differences in approaches to organization science: Rethinking Burrell and Morgan and their legacy, Organization Science, 7, 191-207.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Morgan, G. (1980). Paradigms, metaphors, and puzzles solving in organization theory, Administrative Science Quarterly, 25, 605-622.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proofErr w:type="spellStart"/>
            <w:r w:rsidRPr="00806D3F">
              <w:rPr>
                <w:rFonts w:ascii="BiauKaiTC Regular" w:eastAsia="BiauKaiTC Regular" w:hAnsi="BiauKaiTC Regular"/>
              </w:rPr>
              <w:t>Gephart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>, R. P. (2004).  From the Editors: Qualitative research and the academy of management journal.  Academy of Management Journal, 47(4), 454-462.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Alford, Robert R. 1998. The Craft of Inquiry: Theories, Methods, Evidence. Chapter 2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proofErr w:type="spellStart"/>
            <w:r w:rsidRPr="00806D3F">
              <w:rPr>
                <w:rFonts w:ascii="BiauKaiTC Regular" w:eastAsia="BiauKaiTC Regular" w:hAnsi="BiauKaiTC Regular"/>
              </w:rPr>
              <w:t>Gephart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 xml:space="preserve">, R. P. (1993).  The textual approach: Risk and blame in disaster </w:t>
            </w:r>
            <w:proofErr w:type="spellStart"/>
            <w:r w:rsidRPr="00806D3F">
              <w:rPr>
                <w:rFonts w:ascii="BiauKaiTC Regular" w:eastAsia="BiauKaiTC Regular" w:hAnsi="BiauKaiTC Regular"/>
              </w:rPr>
              <w:t>sensmaking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>. Academy of Management Journal, 36: 1465-1514. (observation/ethnography)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Isabella, L. (1990).  Evolving interpretation as a change unfolds: How managers construe key organizational events.  Academy of Management Journal, 33: 7-41. (Interviews)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proofErr w:type="spellStart"/>
            <w:r w:rsidRPr="00806D3F">
              <w:rPr>
                <w:rFonts w:ascii="BiauKaiTC Regular" w:eastAsia="BiauKaiTC Regular" w:hAnsi="BiauKaiTC Regular"/>
              </w:rPr>
              <w:t>Perlow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 xml:space="preserve">, L., </w:t>
            </w:r>
            <w:proofErr w:type="spellStart"/>
            <w:r w:rsidRPr="00806D3F">
              <w:rPr>
                <w:rFonts w:ascii="BiauKaiTC Regular" w:eastAsia="BiauKaiTC Regular" w:hAnsi="BiauKaiTC Regular"/>
              </w:rPr>
              <w:t>Okhuysen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 xml:space="preserve">, G., &amp; </w:t>
            </w:r>
            <w:proofErr w:type="spellStart"/>
            <w:r w:rsidRPr="00806D3F">
              <w:rPr>
                <w:rFonts w:ascii="BiauKaiTC Regular" w:eastAsia="BiauKaiTC Regular" w:hAnsi="BiauKaiTC Regular"/>
              </w:rPr>
              <w:t>Repenning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>, N. P. (2002).  The speed trap: Exploring the relationship between decision making and temporal context.  Academy of Management Journal, 45: 931-955. (observation/grounded theory)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proofErr w:type="spellStart"/>
            <w:r w:rsidRPr="00806D3F">
              <w:rPr>
                <w:rFonts w:ascii="BiauKaiTC Regular" w:eastAsia="BiauKaiTC Regular" w:hAnsi="BiauKaiTC Regular"/>
              </w:rPr>
              <w:t>Heracleous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>, L., &amp; Barrett, M. (2001).  Organizational change as discourse: Communicative actions and deep structures in the context of information technology implementation.  Academy of Management Journal, 44: 755-778. (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case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 xml:space="preserve"> study)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Miles &amp; Huberman, Qualitative Data Analysis, Ch4, Appendix. (Coding Qualitative Data)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Strauss, A., &amp; Corbin, J. (1990) Basics of Qualitative Research: Grounded Theory Procedures and Techniques, Newbury Park, CA: Sage. (Coding Qualitative Data)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Rouse, A., &amp; Dick, M. (1994). The use of NUDIST, a computerized analytical tool, to support qualitative information system research, Information Technology &amp; People, 7, 50-62. (Coding Qualitative Data)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Locke, K., &amp; Golden-Biddle, K. (1997).  Constructing opportunities for contribution: Structuring coherence and “problematizing” in organization studies. Academy of Management Journal, 40: 1023-1062. (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text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 xml:space="preserve"> analysis)</w:t>
            </w:r>
          </w:p>
          <w:p w:rsidR="002635F0" w:rsidRPr="00806D3F" w:rsidRDefault="00000000">
            <w:pPr>
              <w:numPr>
                <w:ilvl w:val="0"/>
                <w:numId w:val="1"/>
              </w:num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Miles &amp; Huberman, Qualitative Data Analysis, Ch5-6. (Within-Case Analysis)</w:t>
            </w:r>
          </w:p>
          <w:p w:rsidR="002635F0" w:rsidRPr="00806D3F" w:rsidRDefault="00000000">
            <w:pPr>
              <w:ind w:left="360" w:hanging="360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14. </w:t>
            </w:r>
            <w:proofErr w:type="spellStart"/>
            <w:r w:rsidRPr="00806D3F">
              <w:rPr>
                <w:rFonts w:ascii="BiauKaiTC Regular" w:eastAsia="BiauKaiTC Regular" w:hAnsi="BiauKaiTC Regular"/>
              </w:rPr>
              <w:t>Orlikowski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>, W. J. (1993). CASE tools as organizational change: Investigating incremental and radical changes in systems development, MIS Quarterly, 17, 309-340. (Across-Case Analysis)</w:t>
            </w:r>
          </w:p>
          <w:p w:rsidR="002635F0" w:rsidRPr="00806D3F" w:rsidRDefault="00000000">
            <w:pPr>
              <w:ind w:left="360" w:hanging="360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Interview &amp; Focus group references</w:t>
            </w:r>
          </w:p>
          <w:p w:rsidR="002635F0" w:rsidRPr="00806D3F" w:rsidRDefault="002635F0">
            <w:pPr>
              <w:ind w:left="360" w:hanging="360"/>
              <w:rPr>
                <w:rFonts w:ascii="BiauKaiTC Regular" w:eastAsia="BiauKaiTC Regular" w:hAnsi="BiauKaiTC Regular"/>
              </w:rPr>
            </w:pP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 Unicode MS"/>
                <w:b/>
                <w:color w:val="222222"/>
                <w:sz w:val="21"/>
                <w:szCs w:val="21"/>
              </w:rPr>
              <w:t>Interviewing (游)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 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 xml:space="preserve">Arksey, H. (1999), Interviewing for social scientists: an </w:t>
            </w:r>
            <w:proofErr w:type="gramStart"/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introductory resources</w:t>
            </w:r>
            <w:proofErr w:type="gramEnd"/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 xml:space="preserve"> with examples, London: Sage.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Rubin, H.J. (2005), Qualitative interviewing: the art of hearing data, London: Sage.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 Focus groups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Morgan, D., The Focus Group Guidebook, Sage.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Morgan, D., Moderating Focus Groups, Sage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Krueger, R., Analyzing &amp; Reporting Focus Group Results, Sage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Kruger, R., Moderating Focus Groups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Kruger, R. &amp; King, J., Involving Community Members in Focus Groups, Sage</w:t>
            </w:r>
          </w:p>
          <w:p w:rsidR="002635F0" w:rsidRPr="00806D3F" w:rsidRDefault="00000000">
            <w:pPr>
              <w:widowControl/>
              <w:shd w:val="clear" w:color="auto" w:fill="FFFFFF"/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</w:pPr>
            <w:r w:rsidRPr="00806D3F">
              <w:rPr>
                <w:rFonts w:ascii="BiauKaiTC Regular" w:eastAsia="BiauKaiTC Regular" w:hAnsi="BiauKaiTC Regular" w:cs="Arial"/>
                <w:color w:val="222222"/>
                <w:sz w:val="21"/>
                <w:szCs w:val="21"/>
              </w:rPr>
              <w:t>Kruger, R., Developing Questions for Focus groups.</w:t>
            </w:r>
          </w:p>
          <w:p w:rsidR="002635F0" w:rsidRPr="00806D3F" w:rsidRDefault="002635F0">
            <w:pPr>
              <w:ind w:left="360" w:hanging="360"/>
              <w:rPr>
                <w:rFonts w:ascii="BiauKaiTC Regular" w:eastAsia="BiauKaiTC Regular" w:hAnsi="BiauKaiTC Regular" w:cs="PMingLiU"/>
              </w:rPr>
            </w:pPr>
          </w:p>
        </w:tc>
      </w:tr>
      <w:tr w:rsidR="002635F0" w:rsidRPr="00806D3F">
        <w:trPr>
          <w:trHeight w:val="1042"/>
        </w:trPr>
        <w:tc>
          <w:tcPr>
            <w:tcW w:w="9900" w:type="dxa"/>
            <w:vAlign w:val="center"/>
          </w:tcPr>
          <w:p w:rsidR="002635F0" w:rsidRPr="00806D3F" w:rsidRDefault="00000000">
            <w:pPr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lastRenderedPageBreak/>
              <w:t>references</w:t>
            </w:r>
          </w:p>
        </w:tc>
      </w:tr>
      <w:tr w:rsidR="002635F0" w:rsidRPr="00806D3F">
        <w:trPr>
          <w:trHeight w:val="1391"/>
        </w:trPr>
        <w:tc>
          <w:tcPr>
            <w:tcW w:w="9900" w:type="dxa"/>
            <w:vAlign w:val="center"/>
          </w:tcPr>
          <w:p w:rsidR="002635F0" w:rsidRPr="00806D3F" w:rsidRDefault="00000000">
            <w:p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1. 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蕭瑞麟(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>2006)。不用數字的研究：鍛鍊深度思考力的質性研究。台北：培生。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2. 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畢恆達(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>2005)。教授為什麼沒告訴我/論文寫作枕邊書。台北：學富文化。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3. 蔡敦浩、劉育忠、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王慧蘭(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>2011)。敘說探究的第一堂課。台北：鼎茂。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4. 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藍佩嘉(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>2009)。跨國灰姑娘。台北：行人。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5. 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龍應台(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>2009)。大江大海1949。台北：天下文化。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6. 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陳向明(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>2002)。社會科學質的研究。台北：五南。</w:t>
            </w:r>
          </w:p>
          <w:p w:rsidR="002635F0" w:rsidRPr="00806D3F" w:rsidRDefault="00000000">
            <w:pPr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7. </w:t>
            </w:r>
            <w:hyperlink r:id="rId7">
              <w:r w:rsidRPr="00806D3F">
                <w:rPr>
                  <w:rFonts w:ascii="BiauKaiTC Regular" w:eastAsia="BiauKaiTC Regular" w:hAnsi="BiauKaiTC Regular"/>
                  <w:color w:val="0000FF"/>
                  <w:u w:val="single"/>
                </w:rPr>
                <w:t>張保隆</w:t>
              </w:r>
            </w:hyperlink>
            <w:r w:rsidRPr="00806D3F">
              <w:rPr>
                <w:rFonts w:ascii="BiauKaiTC Regular" w:eastAsia="BiauKaiTC Regular" w:hAnsi="BiauKaiTC Regular"/>
                <w:b/>
              </w:rPr>
              <w:t>、</w:t>
            </w:r>
            <w:r w:rsidRPr="00806D3F">
              <w:rPr>
                <w:rFonts w:ascii="BiauKaiTC Regular" w:eastAsia="BiauKaiTC Regular" w:hAnsi="BiauKaiTC Regular"/>
              </w:rPr>
              <w:fldChar w:fldCharType="begin"/>
            </w:r>
            <w:r w:rsidRPr="00806D3F">
              <w:rPr>
                <w:rFonts w:ascii="BiauKaiTC Regular" w:eastAsia="BiauKaiTC Regular" w:hAnsi="BiauKaiTC Regular"/>
              </w:rPr>
              <w:instrText>HYPERLINK "http://www.hwatai.com.tw/serch_2_1.asp?author=%E8%AC%9D%E5%AF%B6%E7%85%96" \h</w:instrText>
            </w:r>
            <w:r w:rsidRPr="00806D3F">
              <w:rPr>
                <w:rFonts w:ascii="BiauKaiTC Regular" w:eastAsia="BiauKaiTC Regular" w:hAnsi="BiauKaiTC Regular"/>
              </w:rPr>
            </w:r>
            <w:r w:rsidRPr="00806D3F">
              <w:rPr>
                <w:rFonts w:ascii="BiauKaiTC Regular" w:eastAsia="BiauKaiTC Regular" w:hAnsi="BiauKaiTC Regular"/>
              </w:rPr>
              <w:fldChar w:fldCharType="separate"/>
            </w:r>
            <w:r w:rsidRPr="00806D3F">
              <w:rPr>
                <w:rFonts w:ascii="BiauKaiTC Regular" w:eastAsia="BiauKaiTC Regular" w:hAnsi="BiauKaiTC Regular"/>
                <w:color w:val="0000FF"/>
                <w:u w:val="single"/>
              </w:rPr>
              <w:t>謝寶煖</w:t>
            </w:r>
            <w:r w:rsidRPr="00806D3F">
              <w:rPr>
                <w:rFonts w:ascii="BiauKaiTC Regular" w:eastAsia="BiauKaiTC Regular" w:hAnsi="BiauKaiTC Regular"/>
                <w:color w:val="0000FF"/>
                <w:u w:val="single"/>
              </w:rPr>
              <w:fldChar w:fldCharType="end"/>
            </w:r>
            <w:r w:rsidRPr="00806D3F">
              <w:rPr>
                <w:rFonts w:ascii="BiauKaiTC Regular" w:eastAsia="BiauKaiTC Regular" w:hAnsi="BiauKaiTC Regular"/>
                <w:b/>
              </w:rPr>
              <w:t>(2006)。</w:t>
            </w:r>
            <w:r w:rsidRPr="00806D3F">
              <w:rPr>
                <w:rFonts w:ascii="BiauKaiTC Regular" w:eastAsia="BiauKaiTC Regular" w:hAnsi="BiauKaiTC Regular"/>
              </w:rPr>
              <w:t>學術論文寫作：APA規範。台北：華泰。</w:t>
            </w:r>
          </w:p>
          <w:p w:rsidR="002635F0" w:rsidRPr="00806D3F" w:rsidRDefault="00000000">
            <w:pPr>
              <w:ind w:left="240" w:hanging="240"/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8. </w:t>
            </w:r>
            <w:proofErr w:type="spellStart"/>
            <w:r w:rsidRPr="00806D3F">
              <w:rPr>
                <w:rFonts w:ascii="BiauKaiTC Regular" w:eastAsia="BiauKaiTC Regular" w:hAnsi="BiauKaiTC Regular"/>
              </w:rPr>
              <w:t>Clandinin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>, D. J., &amp; Connelly, F. M. (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2003)。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>敘說探究：質性研究中的經驗與故事（蔡敏玲＆余曉雯譯）。台北市：心理。（原著出版年2000）。</w:t>
            </w:r>
          </w:p>
          <w:p w:rsidR="002635F0" w:rsidRPr="00806D3F" w:rsidRDefault="00000000">
            <w:pPr>
              <w:ind w:left="360" w:hanging="360"/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9. Creswell, J. W. (1998). Qualitative inquiry and research design: Choosing among five traditions.  Thousand Oaks: Sage.</w:t>
            </w:r>
          </w:p>
          <w:p w:rsidR="002635F0" w:rsidRPr="00806D3F" w:rsidRDefault="00000000">
            <w:pPr>
              <w:ind w:left="360" w:hanging="360"/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10. Denzin, N. K., &amp; Y. S. Lincoln (2000).  Handbook of qualitative research (2nd ed.).  Thousand Oaks: Sage.</w:t>
            </w:r>
          </w:p>
          <w:p w:rsidR="002635F0" w:rsidRPr="00806D3F" w:rsidRDefault="00000000">
            <w:pPr>
              <w:ind w:left="360" w:hanging="360"/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11. Guba, E. G., &amp; Lincoln, Y. S. (1989). Fourth generation evaluation. Newbury Park, CA: Sage publication.</w:t>
            </w:r>
          </w:p>
          <w:p w:rsidR="002635F0" w:rsidRPr="00806D3F" w:rsidRDefault="00000000">
            <w:pPr>
              <w:ind w:left="480" w:hanging="480"/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12. Miles, M. B., &amp; Huberman, A. M. (1994). Qualitative data </w:t>
            </w:r>
            <w:proofErr w:type="gramStart"/>
            <w:r w:rsidRPr="00806D3F">
              <w:rPr>
                <w:rFonts w:ascii="BiauKaiTC Regular" w:eastAsia="BiauKaiTC Regular" w:hAnsi="BiauKaiTC Regular"/>
              </w:rPr>
              <w:t>analysis :</w:t>
            </w:r>
            <w:proofErr w:type="gramEnd"/>
            <w:r w:rsidRPr="00806D3F">
              <w:rPr>
                <w:rFonts w:ascii="BiauKaiTC Regular" w:eastAsia="BiauKaiTC Regular" w:hAnsi="BiauKaiTC Regular"/>
              </w:rPr>
              <w:t xml:space="preserve"> an expanded sourcebook (2nd ed.). Thousand Oaks: Sage Publications.</w:t>
            </w:r>
          </w:p>
          <w:p w:rsidR="002635F0" w:rsidRPr="00806D3F" w:rsidRDefault="00000000">
            <w:pPr>
              <w:ind w:left="480" w:hanging="480"/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13. Patton, M. Q. (2002). Qualitative Research &amp; Evaluation Methods (3rd ed.). Thousand Oaks, Calif.: Sage Publications (中譯本)</w:t>
            </w:r>
          </w:p>
          <w:p w:rsidR="002635F0" w:rsidRPr="00806D3F" w:rsidRDefault="00000000">
            <w:pPr>
              <w:ind w:left="360" w:hanging="360"/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14. Strauss, A., &amp; Corbin, J. (2001).   質性研究入門：紮根理論研究方法。嘉義市 : 濤石文化。</w:t>
            </w:r>
          </w:p>
          <w:p w:rsidR="002635F0" w:rsidRPr="00806D3F" w:rsidRDefault="00000000">
            <w:pPr>
              <w:ind w:left="360" w:hanging="360"/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 xml:space="preserve">15. Van </w:t>
            </w:r>
            <w:proofErr w:type="spellStart"/>
            <w:r w:rsidRPr="00806D3F">
              <w:rPr>
                <w:rFonts w:ascii="BiauKaiTC Regular" w:eastAsia="BiauKaiTC Regular" w:hAnsi="BiauKaiTC Regular"/>
              </w:rPr>
              <w:t>Manen</w:t>
            </w:r>
            <w:proofErr w:type="spellEnd"/>
            <w:r w:rsidRPr="00806D3F">
              <w:rPr>
                <w:rFonts w:ascii="BiauKaiTC Regular" w:eastAsia="BiauKaiTC Regular" w:hAnsi="BiauKaiTC Regular"/>
              </w:rPr>
              <w:t xml:space="preserve"> (2004). Researching lived experience. 探究生活經驗。嘉義市 : 濤石文化。</w:t>
            </w:r>
          </w:p>
          <w:p w:rsidR="002635F0" w:rsidRPr="00806D3F" w:rsidRDefault="00000000">
            <w:pPr>
              <w:widowControl/>
              <w:ind w:left="360" w:hanging="360"/>
              <w:jc w:val="both"/>
              <w:rPr>
                <w:rFonts w:ascii="BiauKaiTC Regular" w:eastAsia="BiauKaiTC Regular" w:hAnsi="BiauKaiTC Regular"/>
              </w:rPr>
            </w:pPr>
            <w:r w:rsidRPr="00806D3F">
              <w:rPr>
                <w:rFonts w:ascii="BiauKaiTC Regular" w:eastAsia="BiauKaiTC Regular" w:hAnsi="BiauKaiTC Regular"/>
              </w:rPr>
              <w:t>16. Yin, R. K. (2003).  Case study research: Design and methods (3rd Ed.). Thousand Oaks: Sage.</w:t>
            </w:r>
          </w:p>
        </w:tc>
      </w:tr>
    </w:tbl>
    <w:p w:rsidR="002635F0" w:rsidRPr="00806D3F" w:rsidRDefault="002635F0">
      <w:pPr>
        <w:ind w:left="840" w:hanging="480"/>
        <w:rPr>
          <w:rFonts w:ascii="BiauKaiTC Regular" w:eastAsia="BiauKaiTC Regular" w:hAnsi="BiauKaiTC Regular" w:cs="Times New Roman"/>
        </w:rPr>
      </w:pPr>
    </w:p>
    <w:p w:rsidR="002635F0" w:rsidRPr="00806D3F" w:rsidRDefault="00000000">
      <w:pPr>
        <w:ind w:left="840" w:hanging="480"/>
        <w:rPr>
          <w:rFonts w:ascii="BiauKaiTC Regular" w:eastAsia="BiauKaiTC Regular" w:hAnsi="BiauKaiTC Regular" w:cs="Times New Roman"/>
        </w:rPr>
      </w:pPr>
      <w:r w:rsidRPr="00806D3F">
        <w:rPr>
          <w:rFonts w:ascii="BiauKaiTC Regular" w:eastAsia="BiauKaiTC Regular" w:hAnsi="BiauKaiTC Regular" w:cs="Gungsuh"/>
        </w:rPr>
        <w:t>(1). 蔡敦浩，李慶芳(2008)，</w:t>
      </w:r>
      <w:r w:rsidRPr="00806D3F">
        <w:rPr>
          <w:rFonts w:ascii="BiauKaiTC Regular" w:eastAsia="BiauKaiTC Regular" w:hAnsi="BiauKaiTC Regular" w:cs="DFKai-SB"/>
        </w:rPr>
        <w:t>情境知識的浮現：敘說探究半導體工程師的維修經驗，</w:t>
      </w:r>
      <w:r w:rsidRPr="00806D3F">
        <w:rPr>
          <w:rFonts w:ascii="BiauKaiTC Regular" w:eastAsia="BiauKaiTC Regular" w:hAnsi="BiauKaiTC Regular" w:cs="Gungsuh"/>
        </w:rPr>
        <w:t>管理學報，25卷6期，pp. 699-716。</w:t>
      </w:r>
    </w:p>
    <w:p w:rsidR="002635F0" w:rsidRPr="00806D3F" w:rsidRDefault="00000000">
      <w:pPr>
        <w:ind w:left="840" w:hanging="480"/>
        <w:rPr>
          <w:rFonts w:ascii="BiauKaiTC Regular" w:eastAsia="BiauKaiTC Regular" w:hAnsi="BiauKaiTC Regular" w:cs="Times New Roman"/>
        </w:rPr>
      </w:pPr>
      <w:r w:rsidRPr="00806D3F">
        <w:rPr>
          <w:rFonts w:ascii="BiauKaiTC Regular" w:eastAsia="BiauKaiTC Regular" w:hAnsi="BiauKaiTC Regular" w:cs="Gungsuh"/>
        </w:rPr>
        <w:t>(2). 虞邦祥、林月雲、張小鳳(2009)，傳承或變革：台灣企業接班歷程之質性研究，組織與管理，2(2)，109-153。</w:t>
      </w:r>
    </w:p>
    <w:p w:rsidR="002635F0" w:rsidRPr="00806D3F" w:rsidRDefault="00000000">
      <w:pPr>
        <w:ind w:left="840" w:hanging="480"/>
        <w:rPr>
          <w:rFonts w:ascii="BiauKaiTC Regular" w:eastAsia="BiauKaiTC Regular" w:hAnsi="BiauKaiTC Regular" w:cs="Times New Roman"/>
        </w:rPr>
      </w:pPr>
      <w:r w:rsidRPr="00806D3F">
        <w:rPr>
          <w:rFonts w:ascii="BiauKaiTC Regular" w:eastAsia="BiauKaiTC Regular" w:hAnsi="BiauKaiTC Regular" w:cs="Gungsuh"/>
        </w:rPr>
        <w:t>(3). 侯勝宗(2010)，服務可以庫存嗎？台灣大車隊司機工作實務個案研究，臺大管理論叢，20卷S1期，1-28。</w:t>
      </w:r>
    </w:p>
    <w:p w:rsidR="002635F0" w:rsidRPr="00806D3F" w:rsidRDefault="00000000">
      <w:pPr>
        <w:ind w:left="840" w:hanging="480"/>
        <w:rPr>
          <w:rFonts w:ascii="BiauKaiTC Regular" w:eastAsia="BiauKaiTC Regular" w:hAnsi="BiauKaiTC Regular" w:cs="Times New Roman"/>
        </w:rPr>
      </w:pPr>
      <w:r w:rsidRPr="00806D3F">
        <w:rPr>
          <w:rFonts w:ascii="BiauKaiTC Regular" w:eastAsia="BiauKaiTC Regular" w:hAnsi="BiauKaiTC Regular" w:cs="Gungsuh"/>
        </w:rPr>
        <w:t>(4).吳建明，連雅慧(2012)，家族企業接班衍生組織變革、衝突與轉化之歷程研究，管理學報，29卷3期279-305。</w:t>
      </w:r>
    </w:p>
    <w:p w:rsidR="002635F0" w:rsidRPr="00806D3F" w:rsidRDefault="00000000">
      <w:pPr>
        <w:ind w:left="840" w:hanging="480"/>
        <w:rPr>
          <w:rFonts w:ascii="BiauKaiTC Regular" w:eastAsia="BiauKaiTC Regular" w:hAnsi="BiauKaiTC Regular" w:cs="Times New Roman"/>
        </w:rPr>
      </w:pPr>
      <w:r w:rsidRPr="00806D3F">
        <w:rPr>
          <w:rFonts w:ascii="BiauKaiTC Regular" w:eastAsia="BiauKaiTC Regular" w:hAnsi="BiauKaiTC Regular" w:cs="Gungsuh"/>
        </w:rPr>
        <w:t>(5). 李慶芳(2009)，我對質性研究的反思：兩個三角形與兩個問題，組織與管理，第二卷第二期，21-27。</w:t>
      </w:r>
    </w:p>
    <w:p w:rsidR="002635F0" w:rsidRPr="00806D3F" w:rsidRDefault="00000000">
      <w:pPr>
        <w:ind w:left="840" w:hanging="480"/>
        <w:rPr>
          <w:rFonts w:ascii="BiauKaiTC Regular" w:eastAsia="BiauKaiTC Regular" w:hAnsi="BiauKaiTC Regular" w:cs="Times New Roman"/>
        </w:rPr>
      </w:pPr>
      <w:r w:rsidRPr="00806D3F">
        <w:rPr>
          <w:rFonts w:ascii="BiauKaiTC Regular" w:eastAsia="BiauKaiTC Regular" w:hAnsi="BiauKaiTC Regular" w:cs="Gungsuh"/>
        </w:rPr>
        <w:t>(6). 侯勝宗(2012)，見所未見：詮釋性個案研究方法探索，組織與管理，第五卷第一期，111-153。</w:t>
      </w:r>
    </w:p>
    <w:p w:rsidR="002635F0" w:rsidRPr="00806D3F" w:rsidRDefault="00000000">
      <w:pPr>
        <w:ind w:left="840" w:hanging="480"/>
        <w:rPr>
          <w:rFonts w:ascii="BiauKaiTC Regular" w:eastAsia="BiauKaiTC Regular" w:hAnsi="BiauKaiTC Regular" w:cs="Times New Roman"/>
        </w:rPr>
      </w:pPr>
      <w:r w:rsidRPr="00806D3F">
        <w:rPr>
          <w:rFonts w:ascii="BiauKaiTC Regular" w:eastAsia="BiauKaiTC Regular" w:hAnsi="BiauKaiTC Regular" w:cs="Gungsuh"/>
        </w:rPr>
        <w:t>(7). 侯勝宗、吳思華(2009)，時空情境、科技意會與工作實務：以計程車實務社群為例。管理學報，26(3)，309-322。</w:t>
      </w:r>
    </w:p>
    <w:p w:rsidR="002635F0" w:rsidRPr="00806D3F" w:rsidRDefault="002635F0">
      <w:pPr>
        <w:widowControl/>
        <w:rPr>
          <w:rFonts w:ascii="BiauKaiTC Regular" w:eastAsia="BiauKaiTC Regular" w:hAnsi="BiauKaiTC Regular"/>
        </w:rPr>
      </w:pPr>
    </w:p>
    <w:sectPr w:rsidR="002635F0" w:rsidRPr="00806D3F">
      <w:footerReference w:type="default" r:id="rId8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12C2" w:rsidRDefault="000F12C2">
      <w:r>
        <w:separator/>
      </w:r>
    </w:p>
  </w:endnote>
  <w:endnote w:type="continuationSeparator" w:id="0">
    <w:p w:rsidR="000F12C2" w:rsidRDefault="000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TC Regular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DFKai-SB">
    <w:altName w:val="Microsoft YaHei"/>
    <w:panose1 w:val="020B0604020202020204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35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D768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2635F0" w:rsidRDefault="002635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12C2" w:rsidRDefault="000F12C2">
      <w:r>
        <w:separator/>
      </w:r>
    </w:p>
  </w:footnote>
  <w:footnote w:type="continuationSeparator" w:id="0">
    <w:p w:rsidR="000F12C2" w:rsidRDefault="000F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A1102"/>
    <w:multiLevelType w:val="multilevel"/>
    <w:tmpl w:val="639494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06321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F0"/>
    <w:rsid w:val="000D7689"/>
    <w:rsid w:val="000F12C2"/>
    <w:rsid w:val="002635F0"/>
    <w:rsid w:val="008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F29F8"/>
  <w15:docId w15:val="{1CDEA898-87E7-9B47-BF22-401BBD4E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watai.com.tw/serch_2_1.asp?author=%E5%BC%B5%E4%BF%9D%E9%9A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2023-08-27T15:25:00Z</dcterms:created>
  <dcterms:modified xsi:type="dcterms:W3CDTF">2023-08-27T15:25:00Z</dcterms:modified>
</cp:coreProperties>
</file>