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AD4B" w14:textId="4A56FE08" w:rsidR="00D95A9F" w:rsidRPr="008F4F5D" w:rsidRDefault="00903E25" w:rsidP="00D95A9F">
      <w:pPr>
        <w:snapToGrid w:val="0"/>
        <w:spacing w:line="480" w:lineRule="atLeast"/>
        <w:ind w:left="-181" w:right="-329"/>
        <w:jc w:val="center"/>
        <w:outlineLvl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國立中正大學11</w:t>
      </w:r>
      <w:r w:rsidR="0063478D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573DBE" w:rsidRPr="001C662B">
        <w:rPr>
          <w:rFonts w:ascii="標楷體" w:eastAsia="標楷體" w:hAnsi="標楷體"/>
          <w:b/>
          <w:color w:val="000000"/>
          <w:sz w:val="28"/>
          <w:szCs w:val="28"/>
        </w:rPr>
        <w:t>學年度第</w:t>
      </w:r>
      <w:r w:rsidR="0063478D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73DBE" w:rsidRPr="001C662B">
        <w:rPr>
          <w:rFonts w:ascii="標楷體" w:eastAsia="標楷體" w:hAnsi="標楷體"/>
          <w:b/>
          <w:color w:val="000000"/>
          <w:sz w:val="28"/>
          <w:szCs w:val="28"/>
        </w:rPr>
        <w:t>學期</w:t>
      </w:r>
      <w:r w:rsidR="00752103">
        <w:rPr>
          <w:rFonts w:ascii="標楷體" w:eastAsia="標楷體" w:hAnsi="標楷體" w:hint="eastAsia"/>
          <w:b/>
          <w:color w:val="000000"/>
          <w:sz w:val="28"/>
          <w:szCs w:val="28"/>
        </w:rPr>
        <w:t>防衛動員</w:t>
      </w:r>
      <w:r w:rsidR="00573DBE" w:rsidRPr="001C662B">
        <w:rPr>
          <w:rFonts w:ascii="標楷體" w:eastAsia="標楷體" w:hAnsi="標楷體" w:hint="eastAsia"/>
          <w:b/>
          <w:color w:val="000000"/>
          <w:sz w:val="28"/>
          <w:szCs w:val="28"/>
        </w:rPr>
        <w:t>課程</w:t>
      </w:r>
      <w:r w:rsidR="00573DBE" w:rsidRPr="001C662B">
        <w:rPr>
          <w:rFonts w:ascii="標楷體" w:eastAsia="標楷體" w:hAnsi="標楷體"/>
          <w:b/>
          <w:color w:val="000000"/>
          <w:sz w:val="28"/>
          <w:szCs w:val="28"/>
        </w:rPr>
        <w:t>授課計畫</w:t>
      </w:r>
      <w:r w:rsidR="00573DBE" w:rsidRPr="001C662B">
        <w:rPr>
          <w:rFonts w:ascii="標楷體" w:eastAsia="標楷體" w:hAnsi="標楷體" w:hint="eastAsia"/>
          <w:b/>
          <w:color w:val="000000"/>
          <w:sz w:val="28"/>
          <w:szCs w:val="28"/>
        </w:rPr>
        <w:t>表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285"/>
        <w:gridCol w:w="1080"/>
        <w:gridCol w:w="1321"/>
        <w:gridCol w:w="720"/>
        <w:gridCol w:w="1142"/>
        <w:gridCol w:w="1018"/>
        <w:gridCol w:w="1996"/>
      </w:tblGrid>
      <w:tr w:rsidR="00573DBE" w:rsidRPr="001C662B" w14:paraId="32A1CC64" w14:textId="77777777" w:rsidTr="00E81FCD">
        <w:trPr>
          <w:trHeight w:val="79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4AF81A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/>
                <w:color w:val="000000"/>
              </w:rPr>
              <w:t>課</w:t>
            </w:r>
            <w:r w:rsidRPr="001C662B">
              <w:rPr>
                <w:rFonts w:ascii="標楷體" w:eastAsia="標楷體" w:hAnsi="標楷體" w:hint="eastAsia"/>
                <w:color w:val="000000"/>
              </w:rPr>
              <w:t>程</w:t>
            </w:r>
            <w:r w:rsidRPr="001C662B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CDFF9" w14:textId="77777777" w:rsidR="00573DBE" w:rsidRPr="001C662B" w:rsidRDefault="00752103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94E30" w14:textId="77777777" w:rsidR="00573DBE" w:rsidRPr="001C662B" w:rsidRDefault="00EC4B89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上課</w:t>
            </w:r>
            <w:r w:rsidR="00573DBE" w:rsidRPr="001C662B">
              <w:rPr>
                <w:rFonts w:ascii="標楷體" w:eastAsia="標楷體" w:hAnsi="標楷體"/>
                <w:color w:val="000000"/>
              </w:rPr>
              <w:t>時間</w:t>
            </w:r>
          </w:p>
          <w:p w14:paraId="60C975A8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（學分）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38F4A" w14:textId="57AD5043" w:rsidR="00573DBE" w:rsidRDefault="00094B0F" w:rsidP="006C2F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週</w:t>
            </w:r>
            <w:r w:rsidR="00AF0153">
              <w:rPr>
                <w:rFonts w:ascii="標楷體" w:eastAsia="標楷體" w:hAnsi="標楷體" w:hint="eastAsia"/>
                <w:color w:val="000000"/>
              </w:rPr>
              <w:t>三</w:t>
            </w:r>
          </w:p>
          <w:p w14:paraId="228CDAE2" w14:textId="77777777" w:rsidR="00EC4B89" w:rsidRPr="001C662B" w:rsidRDefault="00EC4B89" w:rsidP="006C2F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1010-1200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5D124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/>
                <w:color w:val="000000"/>
              </w:rPr>
              <w:t>授課年級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51F08" w14:textId="77777777" w:rsidR="00573DBE" w:rsidRPr="001C662B" w:rsidRDefault="00903E25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一至四年級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43E49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/>
                <w:color w:val="000000"/>
              </w:rPr>
              <w:t>授課教</w:t>
            </w:r>
            <w:r w:rsidRPr="001C662B">
              <w:rPr>
                <w:rFonts w:ascii="標楷體" w:eastAsia="標楷體" w:hAnsi="標楷體" w:hint="eastAsia"/>
                <w:color w:val="000000"/>
              </w:rPr>
              <w:t>師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66232" w14:textId="77777777" w:rsidR="00573DBE" w:rsidRPr="001C662B" w:rsidRDefault="00903E25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573DBE" w:rsidRPr="001C662B" w14:paraId="7822F56D" w14:textId="77777777" w:rsidTr="00CD5C85">
        <w:trPr>
          <w:trHeight w:val="394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E2F6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評量項目</w:t>
            </w:r>
          </w:p>
        </w:tc>
        <w:tc>
          <w:tcPr>
            <w:tcW w:w="9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1A78B" w14:textId="77777777" w:rsidR="00903E25" w:rsidRPr="00707994" w:rsidRDefault="00903E25" w:rsidP="00903E2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94B0F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&amp;測驗</w:t>
            </w:r>
            <w:r w:rsidRPr="00707994">
              <w:rPr>
                <w:rFonts w:ascii="標楷體" w:eastAsia="標楷體" w:hAnsi="標楷體" w:hint="eastAsia"/>
              </w:rPr>
              <w:t>：</w:t>
            </w:r>
            <w:r w:rsidR="00E3047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％。</w:t>
            </w:r>
          </w:p>
          <w:p w14:paraId="639577D4" w14:textId="77777777" w:rsidR="00573DBE" w:rsidRPr="001C662B" w:rsidRDefault="00903E25" w:rsidP="00903E2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.平常成績(出席表現)：</w:t>
            </w:r>
            <w:r w:rsidR="00E3047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0％。</w:t>
            </w:r>
          </w:p>
        </w:tc>
      </w:tr>
      <w:tr w:rsidR="00094B0F" w:rsidRPr="001C662B" w14:paraId="6355B0C4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2E48A3" w14:textId="77777777" w:rsidR="00094B0F" w:rsidRPr="001C662B" w:rsidRDefault="00094B0F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C662B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1C662B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3AA580BD" w14:textId="77777777" w:rsidR="00094B0F" w:rsidRPr="001C662B" w:rsidRDefault="00094B0F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分配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</w:tcBorders>
            <w:vAlign w:val="center"/>
          </w:tcPr>
          <w:p w14:paraId="7A489F4F" w14:textId="77777777" w:rsidR="00094B0F" w:rsidRPr="001C662B" w:rsidRDefault="00094B0F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課程</w:t>
            </w:r>
            <w:r w:rsidR="00EC4B89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492EF" w14:textId="77777777" w:rsidR="00094B0F" w:rsidRPr="001C662B" w:rsidRDefault="00EC4B89" w:rsidP="00EC4B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報告人</w:t>
            </w:r>
          </w:p>
        </w:tc>
      </w:tr>
      <w:tr w:rsidR="00094B0F" w:rsidRPr="001C662B" w14:paraId="3691744D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6B3627" w14:textId="31FBC691" w:rsidR="00094B0F" w:rsidRPr="001C662B" w:rsidRDefault="007F7417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</w:t>
            </w:r>
            <w:r w:rsidR="00AF0153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1A380" w14:textId="5B049534" w:rsidR="00C12894" w:rsidRDefault="00C12894" w:rsidP="000A75B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課程介紹、分配每周上課報告及加簽處理</w:t>
            </w:r>
          </w:p>
          <w:p w14:paraId="51096609" w14:textId="1E7F627F" w:rsidR="00094B0F" w:rsidRPr="001C662B" w:rsidRDefault="00C12894" w:rsidP="000A75B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校園安全講座: 詐騙方法百百種</w:t>
            </w:r>
            <w:proofErr w:type="gramStart"/>
            <w:r w:rsidRPr="00C12894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C12894">
              <w:rPr>
                <w:rFonts w:ascii="標楷體" w:eastAsia="標楷體" w:hAnsi="標楷體" w:hint="eastAsia"/>
                <w:color w:val="000000"/>
              </w:rPr>
              <w:t>你上當了嗎？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C4860" w14:textId="77777777" w:rsidR="00094B0F" w:rsidRPr="001C662B" w:rsidRDefault="00AB0499" w:rsidP="00F87BD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7F7417" w:rsidRPr="001C662B" w14:paraId="33C02215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8F263A" w14:textId="6E20E630" w:rsidR="007F7417" w:rsidRDefault="007F7417" w:rsidP="007F74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9/1</w:t>
            </w:r>
            <w:r w:rsidR="00AF0153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8F7B9" w14:textId="410C61CD" w:rsidR="00C12894" w:rsidRDefault="00C12894" w:rsidP="007F741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分配每周上課報告及加簽處理</w:t>
            </w:r>
          </w:p>
          <w:p w14:paraId="53BA39E3" w14:textId="770D21C2" w:rsidR="007F7417" w:rsidRDefault="00C12894" w:rsidP="007F741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校園安全講座:</w:t>
            </w:r>
            <w:r>
              <w:rPr>
                <w:rFonts w:hint="eastAsia"/>
              </w:rPr>
              <w:t xml:space="preserve"> </w:t>
            </w:r>
            <w:r w:rsidRPr="004E24DF">
              <w:rPr>
                <w:rFonts w:ascii="標楷體" w:eastAsia="標楷體" w:hAnsi="標楷體" w:hint="eastAsia"/>
                <w:color w:val="000000"/>
              </w:rPr>
              <w:t>道路交通安全知多少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BA9DC" w14:textId="703147E7" w:rsidR="007F7417" w:rsidRDefault="00EC05D0" w:rsidP="007F74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C12894" w:rsidRPr="001C662B" w14:paraId="2CE8760E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277755" w14:textId="4C55690C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9/24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9A4AF" w14:textId="6E59FA81" w:rsidR="00C12894" w:rsidRPr="001C662B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校園安全演講:藥物濫用安全教育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FBF3E" w14:textId="0087C48A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66015"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C12894" w:rsidRPr="001C662B" w14:paraId="79924943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C105C" w14:textId="0A6F9945" w:rsidR="00C12894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9E7A3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7B34FF">
              <w:rPr>
                <w:rFonts w:ascii="標楷體" w:eastAsia="標楷體" w:hAnsi="標楷體" w:hint="eastAsia"/>
                <w:color w:val="FF0000"/>
              </w:rPr>
              <w:t>防衛動員基本概念</w:t>
            </w:r>
          </w:p>
          <w:p w14:paraId="02A81EF4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A520C">
              <w:rPr>
                <w:rFonts w:ascii="標楷體" w:eastAsia="標楷體" w:hAnsi="標楷體" w:hint="eastAsia"/>
                <w:color w:val="000000"/>
              </w:rPr>
              <w:t>從「國防三法」 看全民國防的涵義</w:t>
            </w:r>
          </w:p>
          <w:p w14:paraId="06B815BD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第一章第一節</w:t>
            </w:r>
          </w:p>
          <w:p w14:paraId="5F26B5BF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第一章第二節</w:t>
            </w:r>
          </w:p>
          <w:p w14:paraId="6B175929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第一章第三節</w:t>
            </w:r>
          </w:p>
          <w:p w14:paraId="79C46351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第一章第四節</w:t>
            </w:r>
          </w:p>
          <w:p w14:paraId="7E230A24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第一章第五節</w:t>
            </w:r>
          </w:p>
          <w:p w14:paraId="214900B0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</w:t>
            </w:r>
            <w:r w:rsidRPr="00C01DA9">
              <w:rPr>
                <w:rFonts w:ascii="標楷體" w:eastAsia="標楷體" w:hAnsi="標楷體" w:hint="eastAsia"/>
                <w:color w:val="000000"/>
              </w:rPr>
              <w:t>探析中華民國的全民</w:t>
            </w:r>
            <w:proofErr w:type="gramStart"/>
            <w:r w:rsidRPr="00C01DA9">
              <w:rPr>
                <w:rFonts w:ascii="標楷體" w:eastAsia="標楷體" w:hAnsi="標楷體" w:hint="eastAsia"/>
                <w:color w:val="000000"/>
              </w:rPr>
              <w:t>國防－從概念</w:t>
            </w:r>
            <w:proofErr w:type="gramEnd"/>
            <w:r w:rsidRPr="00C01DA9">
              <w:rPr>
                <w:rFonts w:ascii="標楷體" w:eastAsia="標楷體" w:hAnsi="標楷體" w:hint="eastAsia"/>
                <w:color w:val="000000"/>
              </w:rPr>
              <w:t>到決心</w:t>
            </w:r>
          </w:p>
          <w:p w14:paraId="08AC324A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5F72AA">
              <w:rPr>
                <w:rFonts w:ascii="標楷體" w:eastAsia="標楷體" w:hAnsi="標楷體" w:hint="eastAsia"/>
                <w:color w:val="000000"/>
              </w:rPr>
              <w:t>海洋國家的海洋戰略與全民國防</w:t>
            </w:r>
          </w:p>
          <w:p w14:paraId="5111E5E6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9.</w:t>
            </w:r>
            <w:proofErr w:type="gramStart"/>
            <w:r w:rsidRPr="005F72AA">
              <w:rPr>
                <w:rFonts w:ascii="標楷體" w:eastAsia="標楷體" w:hAnsi="標楷體" w:hint="eastAsia"/>
                <w:color w:val="000000"/>
              </w:rPr>
              <w:t>淺析中共</w:t>
            </w:r>
            <w:proofErr w:type="gramEnd"/>
            <w:r w:rsidRPr="005F72AA">
              <w:rPr>
                <w:rFonts w:ascii="標楷體" w:eastAsia="標楷體" w:hAnsi="標楷體" w:hint="eastAsia"/>
                <w:color w:val="000000"/>
              </w:rPr>
              <w:t>修訂《國防法》對我國之省思</w:t>
            </w:r>
          </w:p>
          <w:p w14:paraId="522C7D00" w14:textId="36AD780E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  <w:r w:rsidRPr="003D5816">
              <w:rPr>
                <w:rFonts w:ascii="標楷體" w:eastAsia="標楷體" w:hAnsi="標楷體" w:hint="eastAsia"/>
                <w:color w:val="000000"/>
              </w:rPr>
              <w:t>從國土防衛</w:t>
            </w:r>
            <w:proofErr w:type="gramStart"/>
            <w:r w:rsidRPr="003D5816">
              <w:rPr>
                <w:rFonts w:ascii="標楷體" w:eastAsia="標楷體" w:hAnsi="標楷體" w:hint="eastAsia"/>
                <w:color w:val="000000"/>
              </w:rPr>
              <w:t>作戰析</w:t>
            </w:r>
            <w:proofErr w:type="gramEnd"/>
            <w:r w:rsidRPr="003D5816">
              <w:rPr>
                <w:rFonts w:ascii="標楷體" w:eastAsia="標楷體" w:hAnsi="標楷體" w:hint="eastAsia"/>
                <w:color w:val="000000"/>
              </w:rPr>
              <w:t>論全民國防教育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E1444" w14:textId="77777777" w:rsidR="00C12894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CB42DD5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F190D3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D0C8C21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8E437C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B57E2A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E161B37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7DD774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3878313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FC45234" w14:textId="698D7C9B" w:rsidR="006D290B" w:rsidRPr="00F66015" w:rsidRDefault="006D290B" w:rsidP="006D290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45CC886D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05CA54" w14:textId="6FFE3C70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10/8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2700A" w14:textId="77777777" w:rsidR="00C12894" w:rsidRPr="007B34FF" w:rsidRDefault="00C12894" w:rsidP="00C12894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7B34FF">
              <w:rPr>
                <w:rFonts w:ascii="標楷體" w:eastAsia="標楷體" w:hAnsi="標楷體" w:hint="eastAsia"/>
                <w:color w:val="FF0000"/>
              </w:rPr>
              <w:t>防衛動員與全民國防</w:t>
            </w:r>
          </w:p>
          <w:p w14:paraId="04E10B6D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123D72">
              <w:rPr>
                <w:rFonts w:ascii="標楷體" w:eastAsia="標楷體" w:hAnsi="標楷體" w:hint="eastAsia"/>
                <w:color w:val="000000"/>
              </w:rPr>
              <w:t>「全民國防」的法制建構與實踐</w:t>
            </w:r>
          </w:p>
          <w:p w14:paraId="487FF544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B467B">
              <w:rPr>
                <w:rFonts w:ascii="標楷體" w:eastAsia="標楷體" w:hAnsi="標楷體" w:hint="eastAsia"/>
                <w:color w:val="000000"/>
              </w:rPr>
              <w:t>從「全民國防教育」論國家安全</w:t>
            </w:r>
          </w:p>
          <w:p w14:paraId="6FF11308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第二章第一節</w:t>
            </w:r>
          </w:p>
          <w:p w14:paraId="0E74183D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第二章第二節</w:t>
            </w:r>
          </w:p>
          <w:p w14:paraId="16D2993B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第二章第三節</w:t>
            </w:r>
          </w:p>
          <w:p w14:paraId="284D2156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全民防衛動員準備法立法沿革</w:t>
            </w:r>
          </w:p>
          <w:p w14:paraId="32049CDC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華府在鋪陳另一場戰爭？</w:t>
            </w:r>
            <w:proofErr w:type="gramStart"/>
            <w:r w:rsidRPr="00AC7E7E">
              <w:rPr>
                <w:rFonts w:ascii="標楷體" w:eastAsia="標楷體" w:hAnsi="標楷體" w:hint="eastAsia"/>
                <w:color w:val="000000"/>
              </w:rPr>
              <w:t>－評民進黨</w:t>
            </w:r>
            <w:proofErr w:type="gramEnd"/>
            <w:r w:rsidRPr="00AC7E7E">
              <w:rPr>
                <w:rFonts w:ascii="標楷體" w:eastAsia="標楷體" w:hAnsi="標楷體" w:hint="eastAsia"/>
                <w:color w:val="000000"/>
              </w:rPr>
              <w:t>的《全民防衛動員準備法》</w:t>
            </w:r>
          </w:p>
          <w:p w14:paraId="76027BBC" w14:textId="77777777" w:rsidR="00C12894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364FE">
              <w:rPr>
                <w:rFonts w:ascii="標楷體" w:eastAsia="標楷體" w:hAnsi="標楷體" w:hint="eastAsia"/>
                <w:color w:val="000000"/>
              </w:rPr>
              <w:t>從全民國防法制與實踐盲點論如何建構新亮點</w:t>
            </w:r>
          </w:p>
          <w:p w14:paraId="5851D701" w14:textId="77777777" w:rsidR="00C12894" w:rsidRPr="00445FCB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台灣國際戰略行動理論建構與實踐模型之研究-壹前言</w:t>
            </w:r>
          </w:p>
          <w:p w14:paraId="62B40D0D" w14:textId="56B21701" w:rsidR="00C12894" w:rsidRPr="00D31D28" w:rsidRDefault="00C12894" w:rsidP="00C1289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台灣國際戰略行動理論建構與實踐模型之研究-貳理論建構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7465E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8E35A8B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5154A89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CD91A8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FDC5036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1FE226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D7B7E46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5A812A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BDF841A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065A08A" w14:textId="58DBBC93" w:rsidR="00C12894" w:rsidRPr="00496543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7D459722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9AA393" w14:textId="1917DA1D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10/15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6BE8A" w14:textId="6AF3B2D5" w:rsidR="00C12894" w:rsidRP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演講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86B35" w14:textId="2C7D84D2" w:rsidR="00C12894" w:rsidRPr="00157B16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12894" w:rsidRPr="001C662B" w14:paraId="4513FB31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3ED1B" w14:textId="6E0EC69F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A7BB0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7B34FF">
              <w:rPr>
                <w:rFonts w:ascii="標楷體" w:eastAsia="標楷體" w:hAnsi="標楷體" w:hint="eastAsia"/>
                <w:color w:val="FF0000"/>
              </w:rPr>
              <w:t>我國防衛動員簡介-</w:t>
            </w:r>
            <w:r w:rsidRPr="007B34FF">
              <w:rPr>
                <w:rFonts w:ascii="標楷體" w:eastAsia="標楷體" w:hAnsi="標楷體"/>
                <w:color w:val="FF0000"/>
              </w:rPr>
              <w:t>-</w:t>
            </w:r>
            <w:r w:rsidRPr="007B34FF">
              <w:rPr>
                <w:rFonts w:ascii="標楷體" w:eastAsia="標楷體" w:hAnsi="標楷體" w:hint="eastAsia"/>
                <w:color w:val="FF0000"/>
              </w:rPr>
              <w:t>法制基礎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 w:rsidRPr="007B34FF">
              <w:rPr>
                <w:rFonts w:ascii="標楷體" w:eastAsia="標楷體" w:hAnsi="標楷體" w:hint="eastAsia"/>
                <w:color w:val="FF0000"/>
              </w:rPr>
              <w:t>防衛動員機制</w:t>
            </w:r>
          </w:p>
          <w:p w14:paraId="62980BC4" w14:textId="77777777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t>我國國家動員機制對國家安全影響之研究-第一章</w:t>
            </w:r>
          </w:p>
          <w:p w14:paraId="7E084FB7" w14:textId="77777777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t>我國國家動員機制對國家安全影響之研究-第二章</w:t>
            </w:r>
            <w:r>
              <w:rPr>
                <w:rFonts w:ascii="標楷體" w:eastAsia="標楷體" w:hAnsi="標楷體" w:hint="eastAsia"/>
                <w:color w:val="000000"/>
              </w:rPr>
              <w:t>第一節</w:t>
            </w:r>
          </w:p>
          <w:p w14:paraId="1FE726CE" w14:textId="77777777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t>我國國家動員機制對國家安全影響之研究-第二章</w:t>
            </w:r>
            <w:r>
              <w:rPr>
                <w:rFonts w:ascii="標楷體" w:eastAsia="標楷體" w:hAnsi="標楷體" w:hint="eastAsia"/>
                <w:color w:val="000000"/>
              </w:rPr>
              <w:t>第二節</w:t>
            </w:r>
          </w:p>
          <w:p w14:paraId="01C8621D" w14:textId="77777777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t>我國國家動員機制對國家安全影響之研究-第二章</w:t>
            </w:r>
            <w:r>
              <w:rPr>
                <w:rFonts w:ascii="標楷體" w:eastAsia="標楷體" w:hAnsi="標楷體" w:hint="eastAsia"/>
                <w:color w:val="000000"/>
              </w:rPr>
              <w:t>第三節</w:t>
            </w:r>
          </w:p>
          <w:p w14:paraId="7F68ABA1" w14:textId="77777777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t>我國國家動員機制對國家安全影響之研究-第二章</w:t>
            </w:r>
            <w:r>
              <w:rPr>
                <w:rFonts w:ascii="標楷體" w:eastAsia="標楷體" w:hAnsi="標楷體" w:hint="eastAsia"/>
                <w:color w:val="000000"/>
              </w:rPr>
              <w:t>第四節</w:t>
            </w:r>
          </w:p>
          <w:p w14:paraId="6D8D2910" w14:textId="77777777" w:rsidR="00C12894" w:rsidRPr="00D31D28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lastRenderedPageBreak/>
              <w:t>我國國家動員機制對國家安全影響之研究-第二章</w:t>
            </w:r>
            <w:r>
              <w:rPr>
                <w:rFonts w:ascii="標楷體" w:eastAsia="標楷體" w:hAnsi="標楷體" w:hint="eastAsia"/>
                <w:color w:val="000000"/>
              </w:rPr>
              <w:t>第五節</w:t>
            </w:r>
          </w:p>
          <w:p w14:paraId="5B6D3908" w14:textId="77777777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我國國家動員機制對國家安全影響之研究-第三章第一節</w:t>
            </w:r>
          </w:p>
          <w:p w14:paraId="0831C93E" w14:textId="29366E9A" w:rsidR="00C12894" w:rsidRDefault="00C12894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31D28">
              <w:rPr>
                <w:rFonts w:ascii="標楷體" w:eastAsia="標楷體" w:hAnsi="標楷體" w:hint="eastAsia"/>
                <w:color w:val="000000"/>
              </w:rPr>
              <w:t>我國國家動員機制對國家安全影響之研究-第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D31D28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第二節</w:t>
            </w:r>
          </w:p>
          <w:p w14:paraId="283DC55D" w14:textId="60265AC8" w:rsidR="006D290B" w:rsidRDefault="006D290B" w:rsidP="00C12894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C05D0">
              <w:rPr>
                <w:rFonts w:ascii="標楷體" w:eastAsia="標楷體" w:hAnsi="標楷體" w:hint="eastAsia"/>
                <w:color w:val="000000"/>
              </w:rPr>
              <w:t>我國國家動員機制對國家安全影響之研究-第三章第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EC05D0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24ADBE1B" w14:textId="7902011F" w:rsidR="00C12894" w:rsidRPr="00EC05D0" w:rsidRDefault="00C12894" w:rsidP="00EC05D0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C05D0">
              <w:rPr>
                <w:rFonts w:ascii="標楷體" w:eastAsia="標楷體" w:hAnsi="標楷體" w:hint="eastAsia"/>
                <w:color w:val="000000"/>
              </w:rPr>
              <w:t>我國國家動員機制對國家安全影響之研究-第三章第四節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E3929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84380A1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0AA9D2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C5C698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048C03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202424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BB6571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D3711E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4B58B0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862E5BB" w14:textId="43A35E6A" w:rsidR="00C12894" w:rsidRPr="006D0422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5D201DCB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9872D9" w14:textId="7816D038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10/29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F90AF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我國國家動員機制對國家安全影響之研究-第四章</w:t>
            </w:r>
            <w:r>
              <w:rPr>
                <w:rFonts w:ascii="標楷體" w:eastAsia="標楷體" w:hAnsi="標楷體" w:hint="eastAsia"/>
                <w:color w:val="000000"/>
              </w:rPr>
              <w:t>第一節</w:t>
            </w:r>
          </w:p>
          <w:p w14:paraId="6C1E5566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F350A0">
              <w:rPr>
                <w:rFonts w:ascii="標楷體" w:eastAsia="標楷體" w:hAnsi="標楷體" w:hint="eastAsia"/>
                <w:color w:val="000000"/>
              </w:rPr>
              <w:t>我國國家動員機制對國家安全影響之研究</w:t>
            </w:r>
            <w:r>
              <w:rPr>
                <w:rFonts w:ascii="標楷體" w:eastAsia="標楷體" w:hAnsi="標楷體" w:hint="eastAsia"/>
                <w:color w:val="000000"/>
              </w:rPr>
              <w:t>-第四章第二節</w:t>
            </w:r>
          </w:p>
          <w:p w14:paraId="62BF235D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F350A0">
              <w:rPr>
                <w:rFonts w:ascii="標楷體" w:eastAsia="標楷體" w:hAnsi="標楷體" w:hint="eastAsia"/>
                <w:color w:val="000000"/>
              </w:rPr>
              <w:t>我國國家動員機制對國家安全影響之研究</w:t>
            </w:r>
            <w:r>
              <w:rPr>
                <w:rFonts w:ascii="標楷體" w:eastAsia="標楷體" w:hAnsi="標楷體" w:hint="eastAsia"/>
                <w:color w:val="000000"/>
              </w:rPr>
              <w:t>-第四章第三節</w:t>
            </w:r>
          </w:p>
          <w:p w14:paraId="59BC839F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F350A0">
              <w:rPr>
                <w:rFonts w:ascii="標楷體" w:eastAsia="標楷體" w:hAnsi="標楷體" w:hint="eastAsia"/>
                <w:color w:val="000000"/>
              </w:rPr>
              <w:t>我國國家動員機制對國家安全影響之研究</w:t>
            </w:r>
            <w:r>
              <w:rPr>
                <w:rFonts w:ascii="標楷體" w:eastAsia="標楷體" w:hAnsi="標楷體" w:hint="eastAsia"/>
                <w:color w:val="000000"/>
              </w:rPr>
              <w:t>-第四章第四節</w:t>
            </w:r>
          </w:p>
          <w:p w14:paraId="301246A0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F350A0">
              <w:rPr>
                <w:rFonts w:ascii="標楷體" w:eastAsia="標楷體" w:hAnsi="標楷體" w:hint="eastAsia"/>
                <w:color w:val="000000"/>
              </w:rPr>
              <w:t>我國國家動員機制對國家安全影響之研究</w:t>
            </w:r>
            <w:r>
              <w:rPr>
                <w:rFonts w:ascii="標楷體" w:eastAsia="標楷體" w:hAnsi="標楷體" w:hint="eastAsia"/>
                <w:color w:val="000000"/>
              </w:rPr>
              <w:t>-第四章第五節</w:t>
            </w:r>
          </w:p>
          <w:p w14:paraId="482C3620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我國國家動員機制對國家安全影響之研究-第五章結論</w:t>
            </w:r>
          </w:p>
          <w:p w14:paraId="632546D5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F350A0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F350A0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F350A0">
              <w:rPr>
                <w:rFonts w:ascii="標楷體" w:eastAsia="標楷體" w:hAnsi="標楷體" w:hint="eastAsia"/>
                <w:color w:val="000000"/>
              </w:rPr>
              <w:t>第三章</w:t>
            </w:r>
            <w:r>
              <w:rPr>
                <w:rFonts w:ascii="標楷體" w:eastAsia="標楷體" w:hAnsi="標楷體" w:hint="eastAsia"/>
                <w:color w:val="000000"/>
              </w:rPr>
              <w:t>第一節</w:t>
            </w:r>
          </w:p>
          <w:p w14:paraId="281B5816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第三章第二節</w:t>
            </w:r>
          </w:p>
          <w:p w14:paraId="3C0EFD63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第三章第三節</w:t>
            </w:r>
          </w:p>
          <w:p w14:paraId="261B9E0D" w14:textId="77777777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第三章第四節</w:t>
            </w:r>
          </w:p>
          <w:p w14:paraId="0C8B1F75" w14:textId="5E1F96BD" w:rsid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第三章第五節</w:t>
            </w:r>
          </w:p>
          <w:p w14:paraId="46C99F41" w14:textId="504290F6" w:rsidR="00C12894" w:rsidRPr="00C12894" w:rsidRDefault="00C12894" w:rsidP="00C12894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戰時體制下台南師範學校學生的軍事訓練與動員(1937-1945)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9DE4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18208FE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49FA3A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B56446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78A7A6E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687C07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0EEEA9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8AABBD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8F5BD76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52D8E7C" w14:textId="77777777" w:rsidR="00C12894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  <w:p w14:paraId="3C1107F5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1.</w:t>
            </w:r>
          </w:p>
          <w:p w14:paraId="3FEF5F19" w14:textId="533576DF" w:rsidR="006D290B" w:rsidRPr="00C673C4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2.</w:t>
            </w:r>
          </w:p>
        </w:tc>
      </w:tr>
      <w:tr w:rsidR="00C12894" w:rsidRPr="001C662B" w14:paraId="40E9E4DE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3DB2D" w14:textId="6C11A5B5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11/5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1D4B4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F72AA">
              <w:rPr>
                <w:rFonts w:ascii="標楷體" w:eastAsia="標楷體" w:hAnsi="標楷體" w:hint="eastAsia"/>
                <w:color w:val="000000"/>
              </w:rPr>
              <w:t>現代戰爭中動員整備之研究</w:t>
            </w:r>
          </w:p>
          <w:p w14:paraId="5F19FF2A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F72AA">
              <w:rPr>
                <w:rFonts w:ascii="標楷體" w:eastAsia="標楷體" w:hAnsi="標楷體" w:hint="eastAsia"/>
                <w:color w:val="000000"/>
              </w:rPr>
              <w:t>從「戰爭控制」析論現代戰爭之預防與控制</w:t>
            </w:r>
          </w:p>
          <w:p w14:paraId="035EDF2E" w14:textId="77777777" w:rsidR="00C12894" w:rsidRPr="005F72AA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5816">
              <w:rPr>
                <w:rFonts w:ascii="標楷體" w:eastAsia="標楷體" w:hAnsi="標楷體" w:hint="eastAsia"/>
                <w:color w:val="000000"/>
              </w:rPr>
              <w:t>從《孫子兵法》軍事經濟思想論戰爭控制</w:t>
            </w:r>
          </w:p>
          <w:p w14:paraId="69A490EB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F72AA">
              <w:rPr>
                <w:rFonts w:ascii="標楷體" w:eastAsia="標楷體" w:hAnsi="標楷體" w:hint="eastAsia"/>
                <w:color w:val="000000"/>
              </w:rPr>
              <w:t>影響台灣預防性防衛過程中動員因素之探討</w:t>
            </w:r>
          </w:p>
          <w:p w14:paraId="695883D3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F6ADE">
              <w:rPr>
                <w:rFonts w:ascii="標楷體" w:eastAsia="標楷體" w:hAnsi="標楷體" w:hint="eastAsia"/>
                <w:color w:val="000000"/>
              </w:rPr>
              <w:t>兵棋推演的方法、侷限與常見的誤解</w:t>
            </w:r>
          </w:p>
          <w:p w14:paraId="03C62A8B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第四章第一節</w:t>
            </w:r>
          </w:p>
          <w:p w14:paraId="645AD7C2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第四章第二節</w:t>
            </w:r>
          </w:p>
          <w:p w14:paraId="0C140F56" w14:textId="77777777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第四章第三節</w:t>
            </w:r>
          </w:p>
          <w:p w14:paraId="789D1242" w14:textId="3E854264" w:rsid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第四章第四節</w:t>
            </w:r>
          </w:p>
          <w:p w14:paraId="71484627" w14:textId="3CD25AC6" w:rsidR="00C12894" w:rsidRPr="00C12894" w:rsidRDefault="00C12894" w:rsidP="00C12894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C12894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C12894">
              <w:rPr>
                <w:rFonts w:ascii="標楷體" w:eastAsia="標楷體" w:hAnsi="標楷體" w:hint="eastAsia"/>
                <w:color w:val="000000"/>
              </w:rPr>
              <w:t>第五章第一節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E2613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0A7714F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2B2A557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A7DB29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338A58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F338DCE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7D3D62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4CC71F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23DB12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CB82ED7" w14:textId="43C11DFF" w:rsidR="00C12894" w:rsidRPr="00C673C4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0117BB64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ED814D" w14:textId="1FE9C069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11/12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9E34E" w14:textId="77777777" w:rsidR="00C12894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五章第二節</w:t>
            </w:r>
          </w:p>
          <w:p w14:paraId="0E122E23" w14:textId="77777777" w:rsidR="00C12894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第三節</w:t>
            </w:r>
          </w:p>
          <w:p w14:paraId="6A809F7F" w14:textId="77777777" w:rsidR="00C12894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第四節</w:t>
            </w:r>
          </w:p>
          <w:p w14:paraId="6373C079" w14:textId="77777777" w:rsidR="00C12894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論全民國防的兵役制度</w:t>
            </w:r>
          </w:p>
          <w:p w14:paraId="6AABCD07" w14:textId="77777777" w:rsidR="00C12894" w:rsidRPr="00AC7E7E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從兵役制度變革探討陸戰隊兵力結構-壹</w:t>
            </w:r>
          </w:p>
          <w:p w14:paraId="5BE57509" w14:textId="77777777" w:rsidR="00C12894" w:rsidRPr="00AC7E7E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從兵役制度變革探討陸戰隊兵力結構-貳</w:t>
            </w:r>
          </w:p>
          <w:p w14:paraId="0CC7BEE7" w14:textId="77777777" w:rsidR="00C12894" w:rsidRPr="00AC7E7E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從兵役制度變革探討陸戰隊兵力結構-參</w:t>
            </w:r>
          </w:p>
          <w:p w14:paraId="65F35538" w14:textId="63B7A62E" w:rsidR="00C12894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364FE">
              <w:rPr>
                <w:rFonts w:ascii="標楷體" w:eastAsia="標楷體" w:hAnsi="標楷體" w:hint="eastAsia"/>
                <w:color w:val="000000"/>
              </w:rPr>
              <w:t>從兵役制度變革探討陸戰隊兵力結構</w:t>
            </w:r>
            <w:r>
              <w:rPr>
                <w:rFonts w:ascii="標楷體" w:eastAsia="標楷體" w:hAnsi="標楷體" w:hint="eastAsia"/>
                <w:color w:val="000000"/>
              </w:rPr>
              <w:t>-肆</w:t>
            </w:r>
          </w:p>
          <w:p w14:paraId="3E2904CD" w14:textId="4319331D" w:rsidR="00C12894" w:rsidRPr="00C12894" w:rsidRDefault="00C12894" w:rsidP="00C12894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從兵役制度變革探討陸戰隊兵力結構-伍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8A5C3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AEC19C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EA5F5BB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FD0EC5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D0689B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EDCE98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BF68EB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CCD092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6A9F48E" w14:textId="731EF8FE" w:rsidR="00C12894" w:rsidRP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</w:tc>
      </w:tr>
      <w:tr w:rsidR="00C12894" w:rsidRPr="001C662B" w14:paraId="3AD3AA6C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7C899A" w14:textId="1173B352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11/19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EC2B1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18B4">
              <w:rPr>
                <w:rFonts w:ascii="標楷體" w:eastAsia="標楷體" w:hAnsi="標楷體" w:hint="eastAsia"/>
                <w:color w:val="000000"/>
              </w:rPr>
              <w:t>軍隊人力動員與後備部隊戰力轉型評析</w:t>
            </w:r>
          </w:p>
          <w:p w14:paraId="1B0FE575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國軍全面實施募兵制對</w:t>
            </w:r>
            <w:proofErr w:type="gramStart"/>
            <w:r w:rsidRPr="00AC7E7E">
              <w:rPr>
                <w:rFonts w:ascii="標楷體" w:eastAsia="標楷體" w:hAnsi="標楷體" w:hint="eastAsia"/>
                <w:color w:val="000000"/>
              </w:rPr>
              <w:t>廣儲後備</w:t>
            </w:r>
            <w:proofErr w:type="gramEnd"/>
            <w:r w:rsidRPr="00AC7E7E">
              <w:rPr>
                <w:rFonts w:ascii="標楷體" w:eastAsia="標楷體" w:hAnsi="標楷體" w:hint="eastAsia"/>
                <w:color w:val="000000"/>
              </w:rPr>
              <w:t>影響之研究</w:t>
            </w:r>
          </w:p>
          <w:p w14:paraId="4BE27539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18B4">
              <w:rPr>
                <w:rFonts w:ascii="標楷體" w:eastAsia="標楷體" w:hAnsi="標楷體" w:hint="eastAsia"/>
                <w:color w:val="000000"/>
              </w:rPr>
              <w:t>軍事動員模式的變遷：歷史趨勢與理論</w:t>
            </w:r>
          </w:p>
          <w:p w14:paraId="49B7DCA1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5816">
              <w:rPr>
                <w:rFonts w:ascii="標楷體" w:eastAsia="標楷體" w:hAnsi="標楷體" w:hint="eastAsia"/>
                <w:color w:val="000000"/>
              </w:rPr>
              <w:t>借鏡烏克蘭國土防衛作戰淺談國軍衛勤</w:t>
            </w:r>
            <w:proofErr w:type="gramStart"/>
            <w:r w:rsidRPr="003D5816">
              <w:rPr>
                <w:rFonts w:ascii="標楷體" w:eastAsia="標楷體" w:hAnsi="標楷體" w:hint="eastAsia"/>
                <w:color w:val="000000"/>
              </w:rPr>
              <w:t>前支作為研</w:t>
            </w:r>
            <w:proofErr w:type="gramEnd"/>
            <w:r w:rsidRPr="003D5816">
              <w:rPr>
                <w:rFonts w:ascii="標楷體" w:eastAsia="標楷體" w:hAnsi="標楷體" w:hint="eastAsia"/>
                <w:color w:val="000000"/>
              </w:rPr>
              <w:t>析</w:t>
            </w:r>
          </w:p>
          <w:p w14:paraId="2D97ECEC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第五節</w:t>
            </w:r>
          </w:p>
          <w:p w14:paraId="3868EACF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</w:p>
          <w:p w14:paraId="2C04CF35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5816">
              <w:rPr>
                <w:rFonts w:ascii="標楷體" w:eastAsia="標楷體" w:hAnsi="標楷體" w:hint="eastAsia"/>
                <w:color w:val="000000"/>
              </w:rPr>
              <w:t>俄烏戰爭對防衛作戰之啟示：游擊戰理論與實踐</w:t>
            </w:r>
          </w:p>
          <w:p w14:paraId="4F8DED15" w14:textId="77777777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從俄烏戰爭檢視中共在</w:t>
            </w:r>
            <w:proofErr w:type="gramStart"/>
            <w:r w:rsidRPr="00445FCB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445FCB">
              <w:rPr>
                <w:rFonts w:ascii="標楷體" w:eastAsia="標楷體" w:hAnsi="標楷體" w:hint="eastAsia"/>
                <w:color w:val="000000"/>
              </w:rPr>
              <w:t>海衝突場景可能作為與對我防衛作戰之啟示</w:t>
            </w:r>
          </w:p>
          <w:p w14:paraId="12CD2DC0" w14:textId="7B92112B" w:rsid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18B4">
              <w:rPr>
                <w:rFonts w:ascii="標楷體" w:eastAsia="標楷體" w:hAnsi="標楷體" w:hint="eastAsia"/>
                <w:color w:val="000000"/>
              </w:rPr>
              <w:t>台灣國際戰略行動理論建構與實踐模型之研究-參實踐模型</w:t>
            </w:r>
          </w:p>
          <w:p w14:paraId="72B79B1B" w14:textId="6460E089" w:rsidR="00C12894" w:rsidRPr="00C12894" w:rsidRDefault="00C12894" w:rsidP="00C12894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lastRenderedPageBreak/>
              <w:t>台灣國際戰略行動理論建構與實踐模型之研究-肆結語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30CD5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54FF1D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6FE84BF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D378EF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773A19E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A0C2415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ED112DF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5CDB54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FB11EF7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8C64F0F" w14:textId="28FDDB53" w:rsidR="00C12894" w:rsidRPr="001C662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1C9D428D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3DBF02" w14:textId="018C9B6A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11/26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D6F87" w14:textId="77777777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中共「海上民兵」從事「灰色地帶」衝突爭議活動之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研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析</w:t>
            </w:r>
          </w:p>
          <w:p w14:paraId="640C7D76" w14:textId="77777777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由漁權糾紛評析漁民的防衛意識</w:t>
            </w:r>
          </w:p>
          <w:p w14:paraId="4E35F587" w14:textId="77777777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中共軍機繞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對我國謀略戰之運用與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影響－以平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、戰時為例</w:t>
            </w:r>
          </w:p>
          <w:p w14:paraId="071917D5" w14:textId="77777777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我國關鍵資訊基礎設施平戰防護之運用</w:t>
            </w:r>
          </w:p>
          <w:p w14:paraId="68B40D69" w14:textId="1876B5C6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從全民國防理念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建構平戰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合一的動員制度-第六章全民防衛動員與國家安全</w:t>
            </w:r>
            <w:r>
              <w:rPr>
                <w:rFonts w:ascii="標楷體" w:eastAsia="標楷體" w:hAnsi="標楷體" w:hint="eastAsia"/>
                <w:color w:val="000000"/>
              </w:rPr>
              <w:t>-第</w:t>
            </w:r>
            <w:r w:rsidR="006D290B" w:rsidRPr="007B34FF"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5E73567A" w14:textId="50BF3C9B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從全民國防理念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建構平戰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合一的動員制度-第六章全民防衛動員與國家安全</w:t>
            </w:r>
            <w:r>
              <w:rPr>
                <w:rFonts w:ascii="標楷體" w:eastAsia="標楷體" w:hAnsi="標楷體" w:hint="eastAsia"/>
                <w:color w:val="000000"/>
              </w:rPr>
              <w:t>-第</w:t>
            </w:r>
            <w:r w:rsidR="006D290B" w:rsidRPr="007B34FF"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09C95E4A" w14:textId="443AA272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7B34FF">
              <w:rPr>
                <w:rFonts w:ascii="標楷體" w:eastAsia="標楷體" w:hAnsi="標楷體" w:hint="eastAsia"/>
                <w:color w:val="000000"/>
              </w:rPr>
              <w:t>從全民國防理念</w:t>
            </w:r>
            <w:proofErr w:type="gramStart"/>
            <w:r w:rsidRPr="007B34FF">
              <w:rPr>
                <w:rFonts w:ascii="標楷體" w:eastAsia="標楷體" w:hAnsi="標楷體" w:hint="eastAsia"/>
                <w:color w:val="000000"/>
              </w:rPr>
              <w:t>建構平戰</w:t>
            </w:r>
            <w:proofErr w:type="gramEnd"/>
            <w:r w:rsidRPr="007B34FF">
              <w:rPr>
                <w:rFonts w:ascii="標楷體" w:eastAsia="標楷體" w:hAnsi="標楷體" w:hint="eastAsia"/>
                <w:color w:val="000000"/>
              </w:rPr>
              <w:t>合一的動員制度-第六章全民防衛動員與國家安全-第</w:t>
            </w:r>
            <w:r w:rsidR="006D290B">
              <w:rPr>
                <w:rFonts w:ascii="標楷體" w:eastAsia="標楷體" w:hAnsi="標楷體" w:hint="eastAsia"/>
                <w:color w:val="000000"/>
              </w:rPr>
              <w:t>三</w:t>
            </w:r>
            <w:r w:rsidRPr="007B34FF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0D32F9CE" w14:textId="1874B7E3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7B34FF">
              <w:rPr>
                <w:rFonts w:ascii="標楷體" w:eastAsia="標楷體" w:hAnsi="標楷體" w:hint="eastAsia"/>
                <w:color w:val="000000"/>
              </w:rPr>
              <w:t>從全民國防理念</w:t>
            </w:r>
            <w:proofErr w:type="gramStart"/>
            <w:r w:rsidRPr="007B34FF">
              <w:rPr>
                <w:rFonts w:ascii="標楷體" w:eastAsia="標楷體" w:hAnsi="標楷體" w:hint="eastAsia"/>
                <w:color w:val="000000"/>
              </w:rPr>
              <w:t>建構平戰</w:t>
            </w:r>
            <w:proofErr w:type="gramEnd"/>
            <w:r w:rsidRPr="007B34FF">
              <w:rPr>
                <w:rFonts w:ascii="標楷體" w:eastAsia="標楷體" w:hAnsi="標楷體" w:hint="eastAsia"/>
                <w:color w:val="000000"/>
              </w:rPr>
              <w:t>合一的動員制度-第六章全民防衛動員與國家安全-第</w:t>
            </w:r>
            <w:r w:rsidR="006D290B">
              <w:rPr>
                <w:rFonts w:ascii="標楷體" w:eastAsia="標楷體" w:hAnsi="標楷體" w:hint="eastAsia"/>
                <w:color w:val="000000"/>
              </w:rPr>
              <w:t>四</w:t>
            </w:r>
            <w:r w:rsidRPr="007B34FF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77A5FACC" w14:textId="00B858F2" w:rsid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建構我國國土安全五大應變體系國土安全網之探討</w:t>
            </w:r>
            <w:r>
              <w:rPr>
                <w:rFonts w:ascii="標楷體" w:eastAsia="標楷體" w:hAnsi="標楷體" w:hint="eastAsia"/>
                <w:color w:val="000000"/>
              </w:rPr>
              <w:t>-壹~肆</w:t>
            </w:r>
          </w:p>
          <w:p w14:paraId="4A4FB587" w14:textId="35934F55" w:rsidR="00C12894" w:rsidRPr="00C12894" w:rsidRDefault="00C12894" w:rsidP="00C12894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建構我國國土安全五大應變體系國土安全網之探討-伍~</w:t>
            </w:r>
            <w:proofErr w:type="gramStart"/>
            <w:r w:rsidRPr="00C12894">
              <w:rPr>
                <w:rFonts w:ascii="標楷體" w:eastAsia="標楷體" w:hAnsi="標楷體" w:hint="eastAsia"/>
                <w:color w:val="000000"/>
              </w:rPr>
              <w:t>柒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3C0B7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F9503D9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2C16DB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19B66D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1C61483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70DC97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6F6DF4E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7E17D96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09BE3EB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EF3DE1F" w14:textId="078394F4" w:rsidR="00C12894" w:rsidRPr="001C662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36EBC935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0ED54A" w14:textId="7963BB94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12/3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C6E2D" w14:textId="77777777" w:rsidR="00C12894" w:rsidRPr="00445FCB" w:rsidRDefault="00C12894" w:rsidP="00C12894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FF0000"/>
              </w:rPr>
              <w:t>我國防衛動員組織與災害防救</w:t>
            </w:r>
          </w:p>
          <w:p w14:paraId="492B626E" w14:textId="77777777" w:rsidR="00C12894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從執行災害防救探討我國動員準備機制之研究</w:t>
            </w:r>
          </w:p>
          <w:p w14:paraId="206BE4A4" w14:textId="77777777" w:rsidR="00C12894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從「2018年花蓮大地震」探討政府災害防救現況</w:t>
            </w:r>
            <w:proofErr w:type="gramStart"/>
            <w:r w:rsidRPr="00AC7E7E">
              <w:rPr>
                <w:rFonts w:ascii="標楷體" w:eastAsia="標楷體" w:hAnsi="標楷體" w:hint="eastAsia"/>
                <w:color w:val="000000"/>
              </w:rPr>
              <w:t>興革與全民</w:t>
            </w:r>
            <w:proofErr w:type="gramEnd"/>
            <w:r w:rsidRPr="00AC7E7E">
              <w:rPr>
                <w:rFonts w:ascii="標楷體" w:eastAsia="標楷體" w:hAnsi="標楷體" w:hint="eastAsia"/>
                <w:color w:val="000000"/>
              </w:rPr>
              <w:t>防衛動員政策之關係</w:t>
            </w:r>
          </w:p>
          <w:p w14:paraId="662F276A" w14:textId="77777777" w:rsidR="00C12894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364FE">
              <w:rPr>
                <w:rFonts w:ascii="標楷體" w:eastAsia="標楷體" w:hAnsi="標楷體" w:hint="eastAsia"/>
                <w:color w:val="000000"/>
              </w:rPr>
              <w:t>災害防救納入聯合作戰訓練系統推演之研究</w:t>
            </w:r>
          </w:p>
          <w:p w14:paraId="3A08046B" w14:textId="77777777" w:rsidR="00C12894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全民防衛動員準備法的國軍災害防救探討</w:t>
            </w:r>
          </w:p>
          <w:p w14:paraId="609E60D3" w14:textId="77777777" w:rsidR="00C12894" w:rsidRPr="00C91173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從國內救災作為探討國軍非軍事行動支援能力-第一章</w:t>
            </w:r>
          </w:p>
          <w:p w14:paraId="36F56455" w14:textId="77777777" w:rsidR="00C12894" w:rsidRPr="00C91173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從國內救災作為探討國軍非軍事行動支援能力-第二章</w:t>
            </w:r>
          </w:p>
          <w:p w14:paraId="7F16D702" w14:textId="77777777" w:rsidR="00C12894" w:rsidRPr="00C91173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 xml:space="preserve">從國內救災作為探討國軍非軍事行動支援能力-第三章 </w:t>
            </w:r>
          </w:p>
          <w:p w14:paraId="2A436888" w14:textId="77777777" w:rsidR="00C12894" w:rsidRPr="00C91173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從國內救災作為探討國軍非軍事行動支援能力-第四章</w:t>
            </w:r>
          </w:p>
          <w:p w14:paraId="770DE62C" w14:textId="575A1BD3" w:rsidR="00C12894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從國內救災作為探討國軍非軍事行動支援能力-第五章</w:t>
            </w:r>
          </w:p>
          <w:p w14:paraId="2357B552" w14:textId="6B440BBC" w:rsidR="00C12894" w:rsidRPr="00C12894" w:rsidRDefault="00C12894" w:rsidP="00C12894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從國內救災作為探討國軍非軍事行動支援能力-第六章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5FB4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0B6AEAF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B58572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7134183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8C52517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E2CCFC7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82BD8C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527980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4AFFAFDD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6D3D052" w14:textId="4E0A8607" w:rsidR="00C12894" w:rsidRPr="00F314D0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0.</w:t>
            </w:r>
          </w:p>
        </w:tc>
      </w:tr>
      <w:tr w:rsidR="00C12894" w:rsidRPr="001C662B" w14:paraId="5F1260DE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95997B" w14:textId="0FA1A781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12/10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31EEA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FF0000"/>
              </w:rPr>
              <w:t>災害的認識與防範</w:t>
            </w:r>
          </w:p>
          <w:p w14:paraId="3D45B4F9" w14:textId="77777777" w:rsidR="00C12894" w:rsidRPr="006F501D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前言及方法</w:t>
            </w:r>
          </w:p>
          <w:p w14:paraId="363C969D" w14:textId="77777777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概念定義</w:t>
            </w:r>
          </w:p>
          <w:p w14:paraId="4D6ADCED" w14:textId="77777777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操作流程</w:t>
            </w:r>
          </w:p>
          <w:p w14:paraId="17AA4C69" w14:textId="77777777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國外案例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整</w:t>
            </w:r>
          </w:p>
          <w:p w14:paraId="7B422997" w14:textId="77777777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國內調查與結果</w:t>
            </w:r>
          </w:p>
          <w:p w14:paraId="344270B4" w14:textId="77777777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專家會議及訪談</w:t>
            </w:r>
          </w:p>
          <w:p w14:paraId="73EA8420" w14:textId="77777777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整體缺口分析</w:t>
            </w:r>
          </w:p>
          <w:p w14:paraId="06DBBE8F" w14:textId="13674F42" w:rsid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整體性建議</w:t>
            </w:r>
          </w:p>
          <w:p w14:paraId="2B2A9102" w14:textId="372A1C09" w:rsidR="00C12894" w:rsidRPr="00C12894" w:rsidRDefault="00C12894" w:rsidP="00C12894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C12894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C12894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C12894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C12894">
              <w:rPr>
                <w:rFonts w:ascii="標楷體" w:eastAsia="標楷體" w:hAnsi="標楷體" w:hint="eastAsia"/>
                <w:color w:val="000000"/>
              </w:rPr>
              <w:t>結論與優先推動議題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26B0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2504C99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D9762BF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63B41911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0F329FBC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24269AC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80BC57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6A24608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B09B932" w14:textId="3D1D83C3" w:rsidR="00C12894" w:rsidRP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</w:tc>
      </w:tr>
      <w:tr w:rsidR="00C12894" w:rsidRPr="001C662B" w14:paraId="2DC54F2D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B1D35" w14:textId="2250E2BE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12/17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265ED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762572">
              <w:rPr>
                <w:rFonts w:ascii="標楷體" w:eastAsia="標楷體" w:hAnsi="標楷體" w:hint="eastAsia"/>
                <w:color w:val="FF0000"/>
              </w:rPr>
              <w:t>我國緊急應變機制</w:t>
            </w:r>
          </w:p>
          <w:p w14:paraId="568D1B13" w14:textId="77777777" w:rsidR="00C12894" w:rsidRPr="006F501D" w:rsidRDefault="00C12894" w:rsidP="00C12894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台灣災害防救法之過去、現在與未來</w:t>
            </w:r>
          </w:p>
          <w:p w14:paraId="7E5489E8" w14:textId="6EB22012" w:rsidR="00C12894" w:rsidRDefault="00C12894" w:rsidP="00C12894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B1649">
              <w:rPr>
                <w:rFonts w:ascii="標楷體" w:eastAsia="標楷體" w:hAnsi="標楷體" w:hint="eastAsia"/>
                <w:color w:val="000000"/>
              </w:rPr>
              <w:t>我國災害防救相關制度之檢討</w:t>
            </w:r>
          </w:p>
          <w:p w14:paraId="2E3C5E0F" w14:textId="0C3B799A" w:rsidR="00C12894" w:rsidRPr="00C12894" w:rsidRDefault="00C12894" w:rsidP="00C12894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我國災害救助體系運作及其優缺點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4ABB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3B4BE664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CF13D30" w14:textId="1A32AE1F" w:rsidR="00C12894" w:rsidRPr="001C662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</w:tc>
      </w:tr>
      <w:tr w:rsidR="00C12894" w:rsidRPr="001C662B" w14:paraId="764A9321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7B4B0A" w14:textId="79933413" w:rsidR="00C12894" w:rsidRPr="001C662B" w:rsidRDefault="00C12894" w:rsidP="00C128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12/24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B3A49" w14:textId="5384E88A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6D290B">
              <w:rPr>
                <w:rFonts w:ascii="標楷體" w:eastAsia="標楷體" w:hAnsi="標楷體" w:hint="eastAsia"/>
                <w:color w:val="FF0000"/>
              </w:rPr>
              <w:t>防衛動員演習</w:t>
            </w:r>
          </w:p>
          <w:p w14:paraId="6B07C9ED" w14:textId="77777777" w:rsidR="00C12894" w:rsidRPr="0005385D" w:rsidRDefault="00C12894" w:rsidP="00C12894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民安演習</w:t>
            </w:r>
          </w:p>
          <w:p w14:paraId="24DA66E9" w14:textId="77777777" w:rsidR="00C12894" w:rsidRDefault="00C12894" w:rsidP="00C12894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萬安</w:t>
            </w:r>
            <w:r w:rsidRPr="00762572">
              <w:rPr>
                <w:rFonts w:ascii="標楷體" w:eastAsia="標楷體" w:hAnsi="標楷體" w:hint="eastAsia"/>
                <w:color w:val="000000"/>
              </w:rPr>
              <w:t>演習</w:t>
            </w:r>
          </w:p>
          <w:p w14:paraId="69AABC01" w14:textId="77777777" w:rsidR="00C12894" w:rsidRDefault="00C12894" w:rsidP="00C12894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同心</w:t>
            </w:r>
            <w:r w:rsidRPr="00762572">
              <w:rPr>
                <w:rFonts w:ascii="標楷體" w:eastAsia="標楷體" w:hAnsi="標楷體" w:hint="eastAsia"/>
                <w:color w:val="000000"/>
              </w:rPr>
              <w:t>演習</w:t>
            </w:r>
          </w:p>
          <w:p w14:paraId="55FB5784" w14:textId="77777777" w:rsidR="00C12894" w:rsidRDefault="00C12894" w:rsidP="00C12894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lastRenderedPageBreak/>
              <w:t>自強</w:t>
            </w:r>
            <w:r w:rsidRPr="00762572">
              <w:rPr>
                <w:rFonts w:ascii="標楷體" w:eastAsia="標楷體" w:hAnsi="標楷體" w:hint="eastAsia"/>
                <w:color w:val="000000"/>
              </w:rPr>
              <w:t>演習</w:t>
            </w:r>
          </w:p>
          <w:p w14:paraId="26594509" w14:textId="77777777" w:rsidR="00C12894" w:rsidRDefault="00C12894" w:rsidP="00C12894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2025城鎮韌性(全民防衛動員)演習</w:t>
            </w:r>
          </w:p>
          <w:p w14:paraId="49BA3B31" w14:textId="77777777" w:rsidR="00C12894" w:rsidRPr="0005385D" w:rsidRDefault="00C12894" w:rsidP="00C12894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FF0000"/>
              </w:rPr>
              <w:t>動員</w:t>
            </w:r>
            <w:proofErr w:type="gramStart"/>
            <w:r w:rsidRPr="0005385D">
              <w:rPr>
                <w:rFonts w:ascii="標楷體" w:eastAsia="標楷體" w:hAnsi="標楷體" w:hint="eastAsia"/>
                <w:color w:val="FF0000"/>
              </w:rPr>
              <w:t>與災防模擬</w:t>
            </w:r>
            <w:proofErr w:type="gramEnd"/>
            <w:r w:rsidRPr="0005385D">
              <w:rPr>
                <w:rFonts w:ascii="標楷體" w:eastAsia="標楷體" w:hAnsi="標楷體" w:hint="eastAsia"/>
                <w:color w:val="FF0000"/>
              </w:rPr>
              <w:t>演練</w:t>
            </w:r>
          </w:p>
          <w:p w14:paraId="087DA73D" w14:textId="77777777" w:rsidR="00C12894" w:rsidRPr="0005385D" w:rsidRDefault="00C12894" w:rsidP="00C12894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複合式防災簡介</w:t>
            </w:r>
          </w:p>
          <w:p w14:paraId="578579DE" w14:textId="77777777" w:rsidR="00C12894" w:rsidRPr="0005385D" w:rsidRDefault="00C12894" w:rsidP="00C12894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地震避難教育</w:t>
            </w:r>
          </w:p>
          <w:p w14:paraId="36A12805" w14:textId="77777777" w:rsidR="00C12894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青年學生動員</w:t>
            </w:r>
          </w:p>
          <w:p w14:paraId="65FA825E" w14:textId="5F8910A5" w:rsidR="00C12894" w:rsidRPr="001C662B" w:rsidRDefault="00C12894" w:rsidP="00C1289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防衛技能訓練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四大領域的課程，戰爭樣貌、資訊作戰、衛生與基礎救護及避難準備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E9CC0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3E04226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D5681D2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ABF4335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68233FF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7C11C57A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0D1E5A9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1F64667A" w14:textId="77777777" w:rsidR="006D290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  <w:p w14:paraId="566831C7" w14:textId="4DD460E1" w:rsidR="00C12894" w:rsidRPr="001C662B" w:rsidRDefault="006D290B" w:rsidP="006D290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</w:p>
        </w:tc>
      </w:tr>
    </w:tbl>
    <w:p w14:paraId="25FB5226" w14:textId="77777777" w:rsidR="00A84E10" w:rsidRPr="00A84E10" w:rsidRDefault="00A84E10" w:rsidP="00014113">
      <w:pPr>
        <w:snapToGrid w:val="0"/>
        <w:spacing w:line="480" w:lineRule="atLeast"/>
        <w:ind w:right="-329"/>
        <w:outlineLvl w:val="0"/>
      </w:pPr>
    </w:p>
    <w:sectPr w:rsidR="00A84E10" w:rsidRPr="00A84E10" w:rsidSect="00EC4B89">
      <w:footerReference w:type="even" r:id="rId8"/>
      <w:footerReference w:type="default" r:id="rId9"/>
      <w:pgSz w:w="11906" w:h="16838"/>
      <w:pgMar w:top="567" w:right="567" w:bottom="567" w:left="567" w:header="851" w:footer="9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24B7" w14:textId="77777777" w:rsidR="00CA48A3" w:rsidRDefault="00CA48A3">
      <w:r>
        <w:separator/>
      </w:r>
    </w:p>
  </w:endnote>
  <w:endnote w:type="continuationSeparator" w:id="0">
    <w:p w14:paraId="619915F0" w14:textId="77777777" w:rsidR="00CA48A3" w:rsidRDefault="00C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7974" w14:textId="77777777" w:rsidR="00B32B66" w:rsidRDefault="00B32B66" w:rsidP="006525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524A06A5" w14:textId="77777777" w:rsidR="00B32B66" w:rsidRDefault="00B32B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9CB9" w14:textId="0FF9F022" w:rsidR="00B32B66" w:rsidRDefault="00B32B66" w:rsidP="006525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44BC">
      <w:rPr>
        <w:rStyle w:val="a6"/>
        <w:noProof/>
      </w:rPr>
      <w:t>2</w:t>
    </w:r>
    <w:r>
      <w:rPr>
        <w:rStyle w:val="a6"/>
      </w:rPr>
      <w:fldChar w:fldCharType="end"/>
    </w:r>
  </w:p>
  <w:p w14:paraId="435845F1" w14:textId="77777777" w:rsidR="00B32B66" w:rsidRDefault="00B32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6677" w14:textId="77777777" w:rsidR="00CA48A3" w:rsidRDefault="00CA48A3">
      <w:r>
        <w:separator/>
      </w:r>
    </w:p>
  </w:footnote>
  <w:footnote w:type="continuationSeparator" w:id="0">
    <w:p w14:paraId="65E7A9A5" w14:textId="77777777" w:rsidR="00CA48A3" w:rsidRDefault="00CA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EF7"/>
    <w:multiLevelType w:val="hybridMultilevel"/>
    <w:tmpl w:val="4DA2B2AA"/>
    <w:lvl w:ilvl="0" w:tplc="8516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94F22"/>
    <w:multiLevelType w:val="hybridMultilevel"/>
    <w:tmpl w:val="7084FA86"/>
    <w:lvl w:ilvl="0" w:tplc="4B0C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749FB"/>
    <w:multiLevelType w:val="hybridMultilevel"/>
    <w:tmpl w:val="94EEFB70"/>
    <w:lvl w:ilvl="0" w:tplc="673E5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4297B"/>
    <w:multiLevelType w:val="hybridMultilevel"/>
    <w:tmpl w:val="FB2AFE84"/>
    <w:lvl w:ilvl="0" w:tplc="F3F6D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2D6FD0"/>
    <w:multiLevelType w:val="hybridMultilevel"/>
    <w:tmpl w:val="FB2AFE84"/>
    <w:lvl w:ilvl="0" w:tplc="F3F6D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15783"/>
    <w:multiLevelType w:val="hybridMultilevel"/>
    <w:tmpl w:val="6AD62FF6"/>
    <w:lvl w:ilvl="0" w:tplc="9DC28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0661EF"/>
    <w:multiLevelType w:val="hybridMultilevel"/>
    <w:tmpl w:val="EAF09F36"/>
    <w:lvl w:ilvl="0" w:tplc="CFBAB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1B6C13"/>
    <w:multiLevelType w:val="hybridMultilevel"/>
    <w:tmpl w:val="A93E5A4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2778AC"/>
    <w:multiLevelType w:val="hybridMultilevel"/>
    <w:tmpl w:val="44782A34"/>
    <w:lvl w:ilvl="0" w:tplc="D1961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33106"/>
    <w:multiLevelType w:val="hybridMultilevel"/>
    <w:tmpl w:val="97983F98"/>
    <w:lvl w:ilvl="0" w:tplc="0E566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0255C7"/>
    <w:multiLevelType w:val="hybridMultilevel"/>
    <w:tmpl w:val="C78CD914"/>
    <w:lvl w:ilvl="0" w:tplc="0E566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A50602"/>
    <w:multiLevelType w:val="hybridMultilevel"/>
    <w:tmpl w:val="4DA2B2AA"/>
    <w:lvl w:ilvl="0" w:tplc="8516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7359E3"/>
    <w:multiLevelType w:val="hybridMultilevel"/>
    <w:tmpl w:val="FB2AFE84"/>
    <w:lvl w:ilvl="0" w:tplc="F3F6D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0D283F"/>
    <w:multiLevelType w:val="hybridMultilevel"/>
    <w:tmpl w:val="26F87C9E"/>
    <w:lvl w:ilvl="0" w:tplc="F0FA3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770A8A"/>
    <w:multiLevelType w:val="hybridMultilevel"/>
    <w:tmpl w:val="B1C2069E"/>
    <w:lvl w:ilvl="0" w:tplc="4B0C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E87C24"/>
    <w:multiLevelType w:val="hybridMultilevel"/>
    <w:tmpl w:val="7992741E"/>
    <w:lvl w:ilvl="0" w:tplc="F3A0D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6D3393"/>
    <w:multiLevelType w:val="hybridMultilevel"/>
    <w:tmpl w:val="BE7E6E32"/>
    <w:lvl w:ilvl="0" w:tplc="B88E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F14CAE"/>
    <w:multiLevelType w:val="hybridMultilevel"/>
    <w:tmpl w:val="C0366D4E"/>
    <w:lvl w:ilvl="0" w:tplc="5EDCAB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596813"/>
    <w:multiLevelType w:val="hybridMultilevel"/>
    <w:tmpl w:val="8F16DD72"/>
    <w:lvl w:ilvl="0" w:tplc="7EF614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742269"/>
    <w:multiLevelType w:val="hybridMultilevel"/>
    <w:tmpl w:val="97983F98"/>
    <w:lvl w:ilvl="0" w:tplc="0E566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D85681"/>
    <w:multiLevelType w:val="hybridMultilevel"/>
    <w:tmpl w:val="6C9E621C"/>
    <w:lvl w:ilvl="0" w:tplc="0A24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8610F2"/>
    <w:multiLevelType w:val="hybridMultilevel"/>
    <w:tmpl w:val="A93E5A4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57227A"/>
    <w:multiLevelType w:val="hybridMultilevel"/>
    <w:tmpl w:val="1CF6909A"/>
    <w:lvl w:ilvl="0" w:tplc="B4E6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967E6"/>
    <w:multiLevelType w:val="hybridMultilevel"/>
    <w:tmpl w:val="D3A4D36A"/>
    <w:lvl w:ilvl="0" w:tplc="455E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1A02B9"/>
    <w:multiLevelType w:val="hybridMultilevel"/>
    <w:tmpl w:val="BE7E6E32"/>
    <w:lvl w:ilvl="0" w:tplc="B88E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D35FC6"/>
    <w:multiLevelType w:val="hybridMultilevel"/>
    <w:tmpl w:val="EAF09F36"/>
    <w:lvl w:ilvl="0" w:tplc="CFBAB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0"/>
  </w:num>
  <w:num w:numId="5">
    <w:abstractNumId w:val="8"/>
  </w:num>
  <w:num w:numId="6">
    <w:abstractNumId w:val="12"/>
  </w:num>
  <w:num w:numId="7">
    <w:abstractNumId w:val="9"/>
  </w:num>
  <w:num w:numId="8">
    <w:abstractNumId w:val="22"/>
  </w:num>
  <w:num w:numId="9">
    <w:abstractNumId w:val="19"/>
  </w:num>
  <w:num w:numId="10">
    <w:abstractNumId w:val="15"/>
  </w:num>
  <w:num w:numId="11">
    <w:abstractNumId w:val="20"/>
  </w:num>
  <w:num w:numId="12">
    <w:abstractNumId w:val="5"/>
  </w:num>
  <w:num w:numId="13">
    <w:abstractNumId w:val="6"/>
  </w:num>
  <w:num w:numId="14">
    <w:abstractNumId w:val="23"/>
  </w:num>
  <w:num w:numId="15">
    <w:abstractNumId w:val="17"/>
  </w:num>
  <w:num w:numId="16">
    <w:abstractNumId w:val="18"/>
  </w:num>
  <w:num w:numId="17">
    <w:abstractNumId w:val="10"/>
  </w:num>
  <w:num w:numId="18">
    <w:abstractNumId w:val="21"/>
  </w:num>
  <w:num w:numId="19">
    <w:abstractNumId w:val="7"/>
  </w:num>
  <w:num w:numId="20">
    <w:abstractNumId w:val="11"/>
  </w:num>
  <w:num w:numId="21">
    <w:abstractNumId w:val="3"/>
  </w:num>
  <w:num w:numId="22">
    <w:abstractNumId w:val="4"/>
  </w:num>
  <w:num w:numId="23">
    <w:abstractNumId w:val="1"/>
  </w:num>
  <w:num w:numId="24">
    <w:abstractNumId w:val="14"/>
  </w:num>
  <w:num w:numId="25">
    <w:abstractNumId w:val="16"/>
  </w:num>
  <w:num w:numId="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C8"/>
    <w:rsid w:val="0000014D"/>
    <w:rsid w:val="00000CAC"/>
    <w:rsid w:val="00002E52"/>
    <w:rsid w:val="0000349F"/>
    <w:rsid w:val="000078A0"/>
    <w:rsid w:val="00011546"/>
    <w:rsid w:val="00011C94"/>
    <w:rsid w:val="00012780"/>
    <w:rsid w:val="00013DBD"/>
    <w:rsid w:val="00014113"/>
    <w:rsid w:val="00016BCB"/>
    <w:rsid w:val="000205D3"/>
    <w:rsid w:val="00021329"/>
    <w:rsid w:val="0002270F"/>
    <w:rsid w:val="00023EB1"/>
    <w:rsid w:val="000262EB"/>
    <w:rsid w:val="00026635"/>
    <w:rsid w:val="00026D90"/>
    <w:rsid w:val="000312F5"/>
    <w:rsid w:val="00031F93"/>
    <w:rsid w:val="00033359"/>
    <w:rsid w:val="0004068D"/>
    <w:rsid w:val="00061398"/>
    <w:rsid w:val="000650B2"/>
    <w:rsid w:val="0006695C"/>
    <w:rsid w:val="00067221"/>
    <w:rsid w:val="00067968"/>
    <w:rsid w:val="0007069A"/>
    <w:rsid w:val="00072196"/>
    <w:rsid w:val="00072956"/>
    <w:rsid w:val="00072F1F"/>
    <w:rsid w:val="00073846"/>
    <w:rsid w:val="00073E47"/>
    <w:rsid w:val="00094B0F"/>
    <w:rsid w:val="00096DED"/>
    <w:rsid w:val="000A071C"/>
    <w:rsid w:val="000A0758"/>
    <w:rsid w:val="000A75BB"/>
    <w:rsid w:val="000B5C61"/>
    <w:rsid w:val="000C2EF3"/>
    <w:rsid w:val="000D0F21"/>
    <w:rsid w:val="000D12F3"/>
    <w:rsid w:val="000D4361"/>
    <w:rsid w:val="000D5E23"/>
    <w:rsid w:val="000D7096"/>
    <w:rsid w:val="000E2BA8"/>
    <w:rsid w:val="000E3EDE"/>
    <w:rsid w:val="000E471A"/>
    <w:rsid w:val="000E4B70"/>
    <w:rsid w:val="000E7819"/>
    <w:rsid w:val="000E7DA1"/>
    <w:rsid w:val="000F4E4A"/>
    <w:rsid w:val="000F5DC1"/>
    <w:rsid w:val="000F6B38"/>
    <w:rsid w:val="00106BB5"/>
    <w:rsid w:val="00106D79"/>
    <w:rsid w:val="00114395"/>
    <w:rsid w:val="00114717"/>
    <w:rsid w:val="00115555"/>
    <w:rsid w:val="00117218"/>
    <w:rsid w:val="001225EA"/>
    <w:rsid w:val="0013416F"/>
    <w:rsid w:val="001501F4"/>
    <w:rsid w:val="00153BB4"/>
    <w:rsid w:val="00157B16"/>
    <w:rsid w:val="00160ED5"/>
    <w:rsid w:val="00167127"/>
    <w:rsid w:val="0017305F"/>
    <w:rsid w:val="0017522B"/>
    <w:rsid w:val="00175D12"/>
    <w:rsid w:val="00180B8D"/>
    <w:rsid w:val="00183C4D"/>
    <w:rsid w:val="00186AB2"/>
    <w:rsid w:val="00190B24"/>
    <w:rsid w:val="00192E67"/>
    <w:rsid w:val="00195761"/>
    <w:rsid w:val="001A2ED8"/>
    <w:rsid w:val="001A5E32"/>
    <w:rsid w:val="001B1D1B"/>
    <w:rsid w:val="001B6530"/>
    <w:rsid w:val="001B6574"/>
    <w:rsid w:val="001C2689"/>
    <w:rsid w:val="001C389E"/>
    <w:rsid w:val="001C46B2"/>
    <w:rsid w:val="001C662B"/>
    <w:rsid w:val="001D09D5"/>
    <w:rsid w:val="001D27F4"/>
    <w:rsid w:val="001D47E1"/>
    <w:rsid w:val="001D5D95"/>
    <w:rsid w:val="001E09FC"/>
    <w:rsid w:val="001E2EA3"/>
    <w:rsid w:val="001E66E0"/>
    <w:rsid w:val="001E69CA"/>
    <w:rsid w:val="001E7E8B"/>
    <w:rsid w:val="001F35ED"/>
    <w:rsid w:val="00203A70"/>
    <w:rsid w:val="00204F9B"/>
    <w:rsid w:val="002063C7"/>
    <w:rsid w:val="00224075"/>
    <w:rsid w:val="002272B5"/>
    <w:rsid w:val="00232528"/>
    <w:rsid w:val="0023371C"/>
    <w:rsid w:val="00237481"/>
    <w:rsid w:val="00247DFA"/>
    <w:rsid w:val="00247E7D"/>
    <w:rsid w:val="0025152D"/>
    <w:rsid w:val="00256378"/>
    <w:rsid w:val="00257BB0"/>
    <w:rsid w:val="00267710"/>
    <w:rsid w:val="0028338E"/>
    <w:rsid w:val="00283B07"/>
    <w:rsid w:val="00293FC8"/>
    <w:rsid w:val="00295ED6"/>
    <w:rsid w:val="002A16ED"/>
    <w:rsid w:val="002A3359"/>
    <w:rsid w:val="002A4986"/>
    <w:rsid w:val="002B1470"/>
    <w:rsid w:val="002B295B"/>
    <w:rsid w:val="002B3CBC"/>
    <w:rsid w:val="002B42E6"/>
    <w:rsid w:val="002B77BE"/>
    <w:rsid w:val="002C062D"/>
    <w:rsid w:val="002D3F2E"/>
    <w:rsid w:val="002E13D2"/>
    <w:rsid w:val="002E2572"/>
    <w:rsid w:val="002E64DA"/>
    <w:rsid w:val="002F22B1"/>
    <w:rsid w:val="00307285"/>
    <w:rsid w:val="00314484"/>
    <w:rsid w:val="003168B3"/>
    <w:rsid w:val="00320D02"/>
    <w:rsid w:val="00322125"/>
    <w:rsid w:val="00323E7B"/>
    <w:rsid w:val="00325247"/>
    <w:rsid w:val="00325C73"/>
    <w:rsid w:val="0032754C"/>
    <w:rsid w:val="003344BC"/>
    <w:rsid w:val="003359C7"/>
    <w:rsid w:val="00337C70"/>
    <w:rsid w:val="0034141D"/>
    <w:rsid w:val="0034433F"/>
    <w:rsid w:val="00346131"/>
    <w:rsid w:val="00347DBF"/>
    <w:rsid w:val="00350492"/>
    <w:rsid w:val="0035123A"/>
    <w:rsid w:val="003522B0"/>
    <w:rsid w:val="0035642A"/>
    <w:rsid w:val="00371863"/>
    <w:rsid w:val="00373F00"/>
    <w:rsid w:val="00376049"/>
    <w:rsid w:val="0037625D"/>
    <w:rsid w:val="003864F1"/>
    <w:rsid w:val="00386676"/>
    <w:rsid w:val="00386FD1"/>
    <w:rsid w:val="0039067B"/>
    <w:rsid w:val="00393170"/>
    <w:rsid w:val="0039352F"/>
    <w:rsid w:val="003967B1"/>
    <w:rsid w:val="003A0E0C"/>
    <w:rsid w:val="003C0D84"/>
    <w:rsid w:val="003C1934"/>
    <w:rsid w:val="003C1942"/>
    <w:rsid w:val="003C5D1B"/>
    <w:rsid w:val="003D10EC"/>
    <w:rsid w:val="003D3AB9"/>
    <w:rsid w:val="003D5816"/>
    <w:rsid w:val="003E0FB4"/>
    <w:rsid w:val="003E14DD"/>
    <w:rsid w:val="003E493E"/>
    <w:rsid w:val="003E667F"/>
    <w:rsid w:val="003F25B4"/>
    <w:rsid w:val="00406836"/>
    <w:rsid w:val="004117E4"/>
    <w:rsid w:val="004128F9"/>
    <w:rsid w:val="004219DC"/>
    <w:rsid w:val="0042467A"/>
    <w:rsid w:val="00425247"/>
    <w:rsid w:val="00425734"/>
    <w:rsid w:val="004260C8"/>
    <w:rsid w:val="004405DC"/>
    <w:rsid w:val="004421F4"/>
    <w:rsid w:val="00446FAD"/>
    <w:rsid w:val="004520AA"/>
    <w:rsid w:val="00460C40"/>
    <w:rsid w:val="00460E21"/>
    <w:rsid w:val="00465326"/>
    <w:rsid w:val="0046689F"/>
    <w:rsid w:val="004713C4"/>
    <w:rsid w:val="00471491"/>
    <w:rsid w:val="00476F31"/>
    <w:rsid w:val="0047740D"/>
    <w:rsid w:val="00490C31"/>
    <w:rsid w:val="00493B1C"/>
    <w:rsid w:val="00496543"/>
    <w:rsid w:val="00496DD0"/>
    <w:rsid w:val="004A17D6"/>
    <w:rsid w:val="004A4E24"/>
    <w:rsid w:val="004A6E6D"/>
    <w:rsid w:val="004B0527"/>
    <w:rsid w:val="004B1FED"/>
    <w:rsid w:val="004B3D9D"/>
    <w:rsid w:val="004B45D1"/>
    <w:rsid w:val="004B6E65"/>
    <w:rsid w:val="004C01F7"/>
    <w:rsid w:val="004C0890"/>
    <w:rsid w:val="004C0A3C"/>
    <w:rsid w:val="004C2020"/>
    <w:rsid w:val="004C26BA"/>
    <w:rsid w:val="004C4B9D"/>
    <w:rsid w:val="004C5367"/>
    <w:rsid w:val="004C68E4"/>
    <w:rsid w:val="004D12A8"/>
    <w:rsid w:val="004D4F80"/>
    <w:rsid w:val="004E21A7"/>
    <w:rsid w:val="004F51EE"/>
    <w:rsid w:val="005048FF"/>
    <w:rsid w:val="00506F57"/>
    <w:rsid w:val="00507BB2"/>
    <w:rsid w:val="0051268E"/>
    <w:rsid w:val="00512F84"/>
    <w:rsid w:val="00514575"/>
    <w:rsid w:val="005207F7"/>
    <w:rsid w:val="005229C7"/>
    <w:rsid w:val="005266ED"/>
    <w:rsid w:val="0052755C"/>
    <w:rsid w:val="00535A7C"/>
    <w:rsid w:val="005364FE"/>
    <w:rsid w:val="005404B3"/>
    <w:rsid w:val="00561253"/>
    <w:rsid w:val="005638E0"/>
    <w:rsid w:val="00563DA4"/>
    <w:rsid w:val="00564EF8"/>
    <w:rsid w:val="00567550"/>
    <w:rsid w:val="00573DBE"/>
    <w:rsid w:val="00575076"/>
    <w:rsid w:val="00576C02"/>
    <w:rsid w:val="0057723F"/>
    <w:rsid w:val="00582D34"/>
    <w:rsid w:val="00587A8E"/>
    <w:rsid w:val="005916BF"/>
    <w:rsid w:val="005952E3"/>
    <w:rsid w:val="005A0260"/>
    <w:rsid w:val="005A76C6"/>
    <w:rsid w:val="005B39D2"/>
    <w:rsid w:val="005C5ACB"/>
    <w:rsid w:val="005D304D"/>
    <w:rsid w:val="005D646F"/>
    <w:rsid w:val="005E1D23"/>
    <w:rsid w:val="005E335F"/>
    <w:rsid w:val="005E431A"/>
    <w:rsid w:val="005E6AD3"/>
    <w:rsid w:val="005F72AA"/>
    <w:rsid w:val="005F7C9A"/>
    <w:rsid w:val="0060263E"/>
    <w:rsid w:val="00603B72"/>
    <w:rsid w:val="0060508D"/>
    <w:rsid w:val="00605D56"/>
    <w:rsid w:val="00606462"/>
    <w:rsid w:val="0061214E"/>
    <w:rsid w:val="00612499"/>
    <w:rsid w:val="0062004E"/>
    <w:rsid w:val="00622CC0"/>
    <w:rsid w:val="00627212"/>
    <w:rsid w:val="0062786E"/>
    <w:rsid w:val="006307D3"/>
    <w:rsid w:val="00633B4A"/>
    <w:rsid w:val="00633D6C"/>
    <w:rsid w:val="00633E54"/>
    <w:rsid w:val="0063478D"/>
    <w:rsid w:val="00635BA4"/>
    <w:rsid w:val="006375E1"/>
    <w:rsid w:val="00640287"/>
    <w:rsid w:val="006423AB"/>
    <w:rsid w:val="0064343D"/>
    <w:rsid w:val="00644605"/>
    <w:rsid w:val="0064524F"/>
    <w:rsid w:val="00650773"/>
    <w:rsid w:val="00651CB7"/>
    <w:rsid w:val="00652516"/>
    <w:rsid w:val="00661FE0"/>
    <w:rsid w:val="006673D6"/>
    <w:rsid w:val="0067666C"/>
    <w:rsid w:val="00680074"/>
    <w:rsid w:val="006824C6"/>
    <w:rsid w:val="006850EE"/>
    <w:rsid w:val="006976C3"/>
    <w:rsid w:val="006A1AFA"/>
    <w:rsid w:val="006B0087"/>
    <w:rsid w:val="006B21A4"/>
    <w:rsid w:val="006B260C"/>
    <w:rsid w:val="006B27A8"/>
    <w:rsid w:val="006B31D6"/>
    <w:rsid w:val="006B357F"/>
    <w:rsid w:val="006C2CEB"/>
    <w:rsid w:val="006C2EA2"/>
    <w:rsid w:val="006C2FC6"/>
    <w:rsid w:val="006D0422"/>
    <w:rsid w:val="006D290B"/>
    <w:rsid w:val="006D2C4E"/>
    <w:rsid w:val="006E3ACE"/>
    <w:rsid w:val="006E55CA"/>
    <w:rsid w:val="006E751D"/>
    <w:rsid w:val="007003D6"/>
    <w:rsid w:val="007021F1"/>
    <w:rsid w:val="00705810"/>
    <w:rsid w:val="007077AF"/>
    <w:rsid w:val="0071178D"/>
    <w:rsid w:val="007161E0"/>
    <w:rsid w:val="00716980"/>
    <w:rsid w:val="007264E8"/>
    <w:rsid w:val="007313D9"/>
    <w:rsid w:val="00733C40"/>
    <w:rsid w:val="0074776F"/>
    <w:rsid w:val="00752103"/>
    <w:rsid w:val="0075292C"/>
    <w:rsid w:val="00753F02"/>
    <w:rsid w:val="007553EB"/>
    <w:rsid w:val="00762902"/>
    <w:rsid w:val="0076759D"/>
    <w:rsid w:val="007700E6"/>
    <w:rsid w:val="00770CA0"/>
    <w:rsid w:val="00780019"/>
    <w:rsid w:val="00780C9C"/>
    <w:rsid w:val="00786A70"/>
    <w:rsid w:val="00787681"/>
    <w:rsid w:val="007935CF"/>
    <w:rsid w:val="007A67BB"/>
    <w:rsid w:val="007B1021"/>
    <w:rsid w:val="007B17EC"/>
    <w:rsid w:val="007B4188"/>
    <w:rsid w:val="007B722D"/>
    <w:rsid w:val="007C3F4D"/>
    <w:rsid w:val="007C7B91"/>
    <w:rsid w:val="007D009B"/>
    <w:rsid w:val="007D130F"/>
    <w:rsid w:val="007D7ECE"/>
    <w:rsid w:val="007F4385"/>
    <w:rsid w:val="007F611F"/>
    <w:rsid w:val="007F7417"/>
    <w:rsid w:val="00804E5A"/>
    <w:rsid w:val="00805D58"/>
    <w:rsid w:val="0081453F"/>
    <w:rsid w:val="00817694"/>
    <w:rsid w:val="00822F58"/>
    <w:rsid w:val="00823D94"/>
    <w:rsid w:val="008274B8"/>
    <w:rsid w:val="00830BED"/>
    <w:rsid w:val="0083799C"/>
    <w:rsid w:val="00842066"/>
    <w:rsid w:val="00843873"/>
    <w:rsid w:val="00847ED4"/>
    <w:rsid w:val="00852253"/>
    <w:rsid w:val="008538A7"/>
    <w:rsid w:val="00855554"/>
    <w:rsid w:val="0085660D"/>
    <w:rsid w:val="00871227"/>
    <w:rsid w:val="00872F4A"/>
    <w:rsid w:val="008868E9"/>
    <w:rsid w:val="00887F43"/>
    <w:rsid w:val="008912D4"/>
    <w:rsid w:val="0089147C"/>
    <w:rsid w:val="00891B9A"/>
    <w:rsid w:val="008A2F2D"/>
    <w:rsid w:val="008A3C5C"/>
    <w:rsid w:val="008A5FD2"/>
    <w:rsid w:val="008B114D"/>
    <w:rsid w:val="008B2160"/>
    <w:rsid w:val="008B3EE0"/>
    <w:rsid w:val="008B5135"/>
    <w:rsid w:val="008B71E6"/>
    <w:rsid w:val="008C2076"/>
    <w:rsid w:val="008C6794"/>
    <w:rsid w:val="008D3856"/>
    <w:rsid w:val="008D3BC8"/>
    <w:rsid w:val="008D42B5"/>
    <w:rsid w:val="008D67A7"/>
    <w:rsid w:val="008E2F0C"/>
    <w:rsid w:val="008F3E7F"/>
    <w:rsid w:val="008F4F5D"/>
    <w:rsid w:val="008F611A"/>
    <w:rsid w:val="00903E25"/>
    <w:rsid w:val="0090576E"/>
    <w:rsid w:val="0090601C"/>
    <w:rsid w:val="009220C7"/>
    <w:rsid w:val="009248E8"/>
    <w:rsid w:val="00925B9E"/>
    <w:rsid w:val="00926D35"/>
    <w:rsid w:val="0093696D"/>
    <w:rsid w:val="00937516"/>
    <w:rsid w:val="009402FF"/>
    <w:rsid w:val="00940361"/>
    <w:rsid w:val="00946E07"/>
    <w:rsid w:val="00953BA0"/>
    <w:rsid w:val="00961863"/>
    <w:rsid w:val="00966766"/>
    <w:rsid w:val="009778C3"/>
    <w:rsid w:val="009808D5"/>
    <w:rsid w:val="00981A66"/>
    <w:rsid w:val="009908B3"/>
    <w:rsid w:val="0099106E"/>
    <w:rsid w:val="009A0E95"/>
    <w:rsid w:val="009A5B82"/>
    <w:rsid w:val="009B4082"/>
    <w:rsid w:val="009B6055"/>
    <w:rsid w:val="009C47AC"/>
    <w:rsid w:val="009C70ED"/>
    <w:rsid w:val="009D0CFC"/>
    <w:rsid w:val="009D15FE"/>
    <w:rsid w:val="009D2DC4"/>
    <w:rsid w:val="009D52A0"/>
    <w:rsid w:val="009D6AE0"/>
    <w:rsid w:val="009D7330"/>
    <w:rsid w:val="009E2BFA"/>
    <w:rsid w:val="009E416A"/>
    <w:rsid w:val="009E5069"/>
    <w:rsid w:val="009F123D"/>
    <w:rsid w:val="009F3850"/>
    <w:rsid w:val="009F4121"/>
    <w:rsid w:val="009F4DB9"/>
    <w:rsid w:val="00A03301"/>
    <w:rsid w:val="00A079C3"/>
    <w:rsid w:val="00A10D5D"/>
    <w:rsid w:val="00A11A0A"/>
    <w:rsid w:val="00A14233"/>
    <w:rsid w:val="00A239F3"/>
    <w:rsid w:val="00A30CCF"/>
    <w:rsid w:val="00A51FA9"/>
    <w:rsid w:val="00A52087"/>
    <w:rsid w:val="00A52442"/>
    <w:rsid w:val="00A60202"/>
    <w:rsid w:val="00A62A2C"/>
    <w:rsid w:val="00A65568"/>
    <w:rsid w:val="00A668B4"/>
    <w:rsid w:val="00A67855"/>
    <w:rsid w:val="00A7233D"/>
    <w:rsid w:val="00A723DE"/>
    <w:rsid w:val="00A73DFF"/>
    <w:rsid w:val="00A75FCD"/>
    <w:rsid w:val="00A779B1"/>
    <w:rsid w:val="00A77FAA"/>
    <w:rsid w:val="00A80509"/>
    <w:rsid w:val="00A82A6B"/>
    <w:rsid w:val="00A84E10"/>
    <w:rsid w:val="00A85F11"/>
    <w:rsid w:val="00A86EC1"/>
    <w:rsid w:val="00A90DDF"/>
    <w:rsid w:val="00A90FFF"/>
    <w:rsid w:val="00A913CD"/>
    <w:rsid w:val="00A93DC5"/>
    <w:rsid w:val="00A9513D"/>
    <w:rsid w:val="00AA310B"/>
    <w:rsid w:val="00AA3EC2"/>
    <w:rsid w:val="00AB0499"/>
    <w:rsid w:val="00AB28FB"/>
    <w:rsid w:val="00AB4B80"/>
    <w:rsid w:val="00AC3527"/>
    <w:rsid w:val="00AD25E6"/>
    <w:rsid w:val="00AD7C8B"/>
    <w:rsid w:val="00AE44E3"/>
    <w:rsid w:val="00AE5D04"/>
    <w:rsid w:val="00AF0153"/>
    <w:rsid w:val="00AF07FC"/>
    <w:rsid w:val="00AF335A"/>
    <w:rsid w:val="00AF3665"/>
    <w:rsid w:val="00AF4E10"/>
    <w:rsid w:val="00AF6ADE"/>
    <w:rsid w:val="00B00E26"/>
    <w:rsid w:val="00B013D5"/>
    <w:rsid w:val="00B02BA6"/>
    <w:rsid w:val="00B10710"/>
    <w:rsid w:val="00B11DFA"/>
    <w:rsid w:val="00B1319C"/>
    <w:rsid w:val="00B214BE"/>
    <w:rsid w:val="00B216EA"/>
    <w:rsid w:val="00B2305F"/>
    <w:rsid w:val="00B267E9"/>
    <w:rsid w:val="00B32B66"/>
    <w:rsid w:val="00B53974"/>
    <w:rsid w:val="00B5559D"/>
    <w:rsid w:val="00B65FF8"/>
    <w:rsid w:val="00B72E59"/>
    <w:rsid w:val="00B742E7"/>
    <w:rsid w:val="00B7581E"/>
    <w:rsid w:val="00B76A15"/>
    <w:rsid w:val="00B7703A"/>
    <w:rsid w:val="00B819EE"/>
    <w:rsid w:val="00B84133"/>
    <w:rsid w:val="00B84B46"/>
    <w:rsid w:val="00B92144"/>
    <w:rsid w:val="00B926FB"/>
    <w:rsid w:val="00BA41C4"/>
    <w:rsid w:val="00BA4E3B"/>
    <w:rsid w:val="00BA6FCB"/>
    <w:rsid w:val="00BB423B"/>
    <w:rsid w:val="00BB5217"/>
    <w:rsid w:val="00BB6F28"/>
    <w:rsid w:val="00BC1D81"/>
    <w:rsid w:val="00BC2A98"/>
    <w:rsid w:val="00BD1A69"/>
    <w:rsid w:val="00BD4148"/>
    <w:rsid w:val="00BE0423"/>
    <w:rsid w:val="00BE04A4"/>
    <w:rsid w:val="00BE1A62"/>
    <w:rsid w:val="00BE22BE"/>
    <w:rsid w:val="00BE5430"/>
    <w:rsid w:val="00BE779A"/>
    <w:rsid w:val="00BF1218"/>
    <w:rsid w:val="00C0143D"/>
    <w:rsid w:val="00C01A67"/>
    <w:rsid w:val="00C01DA9"/>
    <w:rsid w:val="00C118DB"/>
    <w:rsid w:val="00C120DE"/>
    <w:rsid w:val="00C12894"/>
    <w:rsid w:val="00C13900"/>
    <w:rsid w:val="00C172A0"/>
    <w:rsid w:val="00C2083F"/>
    <w:rsid w:val="00C24553"/>
    <w:rsid w:val="00C26F62"/>
    <w:rsid w:val="00C35863"/>
    <w:rsid w:val="00C37F24"/>
    <w:rsid w:val="00C41783"/>
    <w:rsid w:val="00C43F31"/>
    <w:rsid w:val="00C45C64"/>
    <w:rsid w:val="00C46974"/>
    <w:rsid w:val="00C47AB4"/>
    <w:rsid w:val="00C5488B"/>
    <w:rsid w:val="00C54931"/>
    <w:rsid w:val="00C673C4"/>
    <w:rsid w:val="00C768CF"/>
    <w:rsid w:val="00C77A7F"/>
    <w:rsid w:val="00C82993"/>
    <w:rsid w:val="00C85925"/>
    <w:rsid w:val="00C86686"/>
    <w:rsid w:val="00C93B52"/>
    <w:rsid w:val="00C95087"/>
    <w:rsid w:val="00CA27EF"/>
    <w:rsid w:val="00CA48A3"/>
    <w:rsid w:val="00CA62CB"/>
    <w:rsid w:val="00CA6FEE"/>
    <w:rsid w:val="00CB1C83"/>
    <w:rsid w:val="00CB208D"/>
    <w:rsid w:val="00CB2708"/>
    <w:rsid w:val="00CB29A4"/>
    <w:rsid w:val="00CB41CD"/>
    <w:rsid w:val="00CB7FE6"/>
    <w:rsid w:val="00CC55EA"/>
    <w:rsid w:val="00CC73A3"/>
    <w:rsid w:val="00CD148C"/>
    <w:rsid w:val="00CD1D25"/>
    <w:rsid w:val="00CD1DF9"/>
    <w:rsid w:val="00CD2F31"/>
    <w:rsid w:val="00CD486C"/>
    <w:rsid w:val="00CD4EB5"/>
    <w:rsid w:val="00CD5C85"/>
    <w:rsid w:val="00CE314B"/>
    <w:rsid w:val="00CE4B0E"/>
    <w:rsid w:val="00CE5B46"/>
    <w:rsid w:val="00CE5F6F"/>
    <w:rsid w:val="00CE6BF7"/>
    <w:rsid w:val="00CE6C14"/>
    <w:rsid w:val="00CF487F"/>
    <w:rsid w:val="00CF6FB0"/>
    <w:rsid w:val="00D01E7C"/>
    <w:rsid w:val="00D0732F"/>
    <w:rsid w:val="00D11B4B"/>
    <w:rsid w:val="00D13268"/>
    <w:rsid w:val="00D13AB9"/>
    <w:rsid w:val="00D24DEC"/>
    <w:rsid w:val="00D2673B"/>
    <w:rsid w:val="00D31D28"/>
    <w:rsid w:val="00D429EF"/>
    <w:rsid w:val="00D45DE3"/>
    <w:rsid w:val="00D52F7B"/>
    <w:rsid w:val="00D6415F"/>
    <w:rsid w:val="00D65DA0"/>
    <w:rsid w:val="00D704A6"/>
    <w:rsid w:val="00D74B4E"/>
    <w:rsid w:val="00D823C4"/>
    <w:rsid w:val="00D83848"/>
    <w:rsid w:val="00D85558"/>
    <w:rsid w:val="00D95A9F"/>
    <w:rsid w:val="00DA0883"/>
    <w:rsid w:val="00DA333F"/>
    <w:rsid w:val="00DB0123"/>
    <w:rsid w:val="00DB032A"/>
    <w:rsid w:val="00DB19C9"/>
    <w:rsid w:val="00DB52D9"/>
    <w:rsid w:val="00DB674D"/>
    <w:rsid w:val="00DC0C88"/>
    <w:rsid w:val="00DC278B"/>
    <w:rsid w:val="00DC2DD6"/>
    <w:rsid w:val="00DC79EA"/>
    <w:rsid w:val="00DD5316"/>
    <w:rsid w:val="00DD570C"/>
    <w:rsid w:val="00DF0639"/>
    <w:rsid w:val="00DF4D5B"/>
    <w:rsid w:val="00E0011B"/>
    <w:rsid w:val="00E00ED4"/>
    <w:rsid w:val="00E05148"/>
    <w:rsid w:val="00E10E5A"/>
    <w:rsid w:val="00E11404"/>
    <w:rsid w:val="00E14B1C"/>
    <w:rsid w:val="00E231D1"/>
    <w:rsid w:val="00E23FF5"/>
    <w:rsid w:val="00E24A75"/>
    <w:rsid w:val="00E2649C"/>
    <w:rsid w:val="00E268C0"/>
    <w:rsid w:val="00E26AB0"/>
    <w:rsid w:val="00E3047D"/>
    <w:rsid w:val="00E345B3"/>
    <w:rsid w:val="00E346F7"/>
    <w:rsid w:val="00E34F2F"/>
    <w:rsid w:val="00E36C87"/>
    <w:rsid w:val="00E40D99"/>
    <w:rsid w:val="00E415C4"/>
    <w:rsid w:val="00E41AC4"/>
    <w:rsid w:val="00E45358"/>
    <w:rsid w:val="00E53F18"/>
    <w:rsid w:val="00E54A00"/>
    <w:rsid w:val="00E54F8A"/>
    <w:rsid w:val="00E62253"/>
    <w:rsid w:val="00E63108"/>
    <w:rsid w:val="00E639A3"/>
    <w:rsid w:val="00E718CD"/>
    <w:rsid w:val="00E722E2"/>
    <w:rsid w:val="00E73325"/>
    <w:rsid w:val="00E74C23"/>
    <w:rsid w:val="00E81417"/>
    <w:rsid w:val="00E81668"/>
    <w:rsid w:val="00E81FCD"/>
    <w:rsid w:val="00E83F75"/>
    <w:rsid w:val="00E84588"/>
    <w:rsid w:val="00E85752"/>
    <w:rsid w:val="00E95694"/>
    <w:rsid w:val="00EB1681"/>
    <w:rsid w:val="00EC05D0"/>
    <w:rsid w:val="00EC469F"/>
    <w:rsid w:val="00EC4B89"/>
    <w:rsid w:val="00EC76A2"/>
    <w:rsid w:val="00EE39B9"/>
    <w:rsid w:val="00EE7A08"/>
    <w:rsid w:val="00EF298A"/>
    <w:rsid w:val="00EF4356"/>
    <w:rsid w:val="00F042F6"/>
    <w:rsid w:val="00F16921"/>
    <w:rsid w:val="00F177D2"/>
    <w:rsid w:val="00F20074"/>
    <w:rsid w:val="00F2165D"/>
    <w:rsid w:val="00F23F0B"/>
    <w:rsid w:val="00F27730"/>
    <w:rsid w:val="00F27AE8"/>
    <w:rsid w:val="00F314D0"/>
    <w:rsid w:val="00F34E9B"/>
    <w:rsid w:val="00F4239E"/>
    <w:rsid w:val="00F46841"/>
    <w:rsid w:val="00F46AFD"/>
    <w:rsid w:val="00F46F1D"/>
    <w:rsid w:val="00F50ABC"/>
    <w:rsid w:val="00F50E66"/>
    <w:rsid w:val="00F517E7"/>
    <w:rsid w:val="00F57A09"/>
    <w:rsid w:val="00F6359D"/>
    <w:rsid w:val="00F66015"/>
    <w:rsid w:val="00F7049E"/>
    <w:rsid w:val="00F74446"/>
    <w:rsid w:val="00F8435D"/>
    <w:rsid w:val="00F84F52"/>
    <w:rsid w:val="00F87BD6"/>
    <w:rsid w:val="00F920A2"/>
    <w:rsid w:val="00F93209"/>
    <w:rsid w:val="00FA2354"/>
    <w:rsid w:val="00FA2B75"/>
    <w:rsid w:val="00FA5AB1"/>
    <w:rsid w:val="00FA7038"/>
    <w:rsid w:val="00FB1D54"/>
    <w:rsid w:val="00FB205C"/>
    <w:rsid w:val="00FB3D2B"/>
    <w:rsid w:val="00FB41BF"/>
    <w:rsid w:val="00FB72B7"/>
    <w:rsid w:val="00FC0464"/>
    <w:rsid w:val="00FC17C7"/>
    <w:rsid w:val="00FC7C9D"/>
    <w:rsid w:val="00FD0C82"/>
    <w:rsid w:val="00FE0662"/>
    <w:rsid w:val="00FE155D"/>
    <w:rsid w:val="00FE422C"/>
    <w:rsid w:val="00FE5C76"/>
    <w:rsid w:val="00FE6052"/>
    <w:rsid w:val="00FF1EA2"/>
    <w:rsid w:val="00FF52F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B0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B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6E6D"/>
    <w:rPr>
      <w:rFonts w:ascii="Arial" w:hAnsi="Arial"/>
      <w:sz w:val="18"/>
      <w:szCs w:val="18"/>
    </w:rPr>
  </w:style>
  <w:style w:type="paragraph" w:styleId="a5">
    <w:name w:val="footer"/>
    <w:basedOn w:val="a"/>
    <w:rsid w:val="004A1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A17D6"/>
  </w:style>
  <w:style w:type="paragraph" w:styleId="a7">
    <w:name w:val="header"/>
    <w:basedOn w:val="a"/>
    <w:rsid w:val="005A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A52087"/>
    <w:pPr>
      <w:jc w:val="both"/>
    </w:pPr>
    <w:rPr>
      <w:rFonts w:ascii="標楷體" w:eastAsia="標楷體" w:hAnsi="標楷體"/>
      <w:szCs w:val="32"/>
    </w:rPr>
  </w:style>
  <w:style w:type="character" w:styleId="a8">
    <w:name w:val="Hyperlink"/>
    <w:rsid w:val="003E6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31D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2055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BB6D-AEA5-4723-B69F-6870BFCD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2768</Words>
  <Characters>464</Characters>
  <Application>Microsoft Office Word</Application>
  <DocSecurity>0</DocSecurity>
  <Lines>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2025-08-25T07:30:00Z</dcterms:created>
  <dcterms:modified xsi:type="dcterms:W3CDTF">2025-09-01T06:53:00Z</dcterms:modified>
</cp:coreProperties>
</file>