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716"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9415E6" w14:paraId="027EEEAF"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2BEAB8" w14:textId="77777777" w:rsidR="009415E6" w:rsidRDefault="009415E6" w:rsidP="009415E6">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4D88BFC" w14:textId="41575D60" w:rsidR="009415E6" w:rsidRDefault="009415E6" w:rsidP="009415E6">
            <w:pPr>
              <w:spacing w:line="0" w:lineRule="atLeast"/>
              <w:jc w:val="center"/>
              <w:rPr>
                <w:rFonts w:eastAsia="標楷體"/>
              </w:rPr>
            </w:pPr>
            <w:r>
              <w:rPr>
                <w:rFonts w:eastAsia="標楷體" w:hint="eastAsia"/>
              </w:rPr>
              <w:t>1</w:t>
            </w:r>
            <w:r>
              <w:rPr>
                <w:rFonts w:eastAsia="標楷體"/>
              </w:rPr>
              <w:t>1</w:t>
            </w:r>
            <w:r>
              <w:rPr>
                <w:rFonts w:eastAsia="標楷體" w:hint="eastAsia"/>
              </w:rPr>
              <w:t>4</w:t>
            </w:r>
            <w:r>
              <w:rPr>
                <w:rFonts w:eastAsia="標楷體" w:hint="eastAsia"/>
              </w:rPr>
              <w:t>學年度第</w:t>
            </w:r>
            <w:r>
              <w:rPr>
                <w:rFonts w:eastAsia="標楷體" w:hint="eastAsia"/>
              </w:rPr>
              <w:t>1</w:t>
            </w:r>
            <w:r>
              <w:rPr>
                <w:rFonts w:eastAsia="標楷體" w:hint="eastAsia"/>
              </w:rPr>
              <w:t>學期</w:t>
            </w:r>
          </w:p>
        </w:tc>
      </w:tr>
      <w:tr w:rsidR="009415E6" w14:paraId="5E981CD9" w14:textId="77777777" w:rsidTr="00197D7B">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5A976286" w14:textId="77777777" w:rsidR="009415E6" w:rsidRDefault="009415E6" w:rsidP="009415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7CAB9C4C" w14:textId="4FA5F873" w:rsidR="009415E6" w:rsidRDefault="009415E6" w:rsidP="009415E6">
            <w:pPr>
              <w:spacing w:line="0" w:lineRule="atLeast"/>
              <w:jc w:val="center"/>
              <w:rPr>
                <w:rFonts w:eastAsia="標楷體"/>
              </w:rPr>
            </w:pPr>
            <w:r>
              <w:rPr>
                <w:rFonts w:eastAsia="標楷體" w:hint="eastAsia"/>
              </w:rPr>
              <w:t>大學國文：動漫倫理學</w:t>
            </w:r>
          </w:p>
        </w:tc>
      </w:tr>
      <w:tr w:rsidR="009415E6" w14:paraId="7014F7D5" w14:textId="77777777" w:rsidTr="00197D7B">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C9799CF" w14:textId="77777777" w:rsidR="009415E6" w:rsidRDefault="009415E6" w:rsidP="009415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2EF46009" w14:textId="2D39460B" w:rsidR="009415E6" w:rsidRDefault="009415E6" w:rsidP="009415E6">
            <w:pPr>
              <w:spacing w:line="0" w:lineRule="atLeast"/>
              <w:jc w:val="center"/>
              <w:rPr>
                <w:rFonts w:eastAsia="標楷體"/>
              </w:rPr>
            </w:pPr>
            <w:r>
              <w:rPr>
                <w:rFonts w:eastAsia="標楷體" w:hint="eastAsia"/>
              </w:rPr>
              <w:t>Chinese</w:t>
            </w:r>
            <w:r>
              <w:rPr>
                <w:rFonts w:eastAsia="標楷體" w:hint="eastAsia"/>
              </w:rPr>
              <w:t>：</w:t>
            </w:r>
            <w:r>
              <w:rPr>
                <w:rFonts w:eastAsia="標楷體"/>
              </w:rPr>
              <w:t>The Ethics of</w:t>
            </w:r>
            <w:r>
              <w:t xml:space="preserve"> </w:t>
            </w:r>
            <w:r w:rsidRPr="00363084">
              <w:rPr>
                <w:rFonts w:eastAsia="標楷體"/>
              </w:rPr>
              <w:t>anime</w:t>
            </w:r>
          </w:p>
        </w:tc>
      </w:tr>
      <w:tr w:rsidR="00103B9F" w14:paraId="37671E47"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7499E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6741A9CE"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5D1C3128"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1D96A5E6" w14:textId="77777777" w:rsidR="00103B9F" w:rsidRDefault="00103B9F" w:rsidP="007F22D6">
            <w:pPr>
              <w:spacing w:line="0" w:lineRule="atLeast"/>
              <w:jc w:val="center"/>
              <w:rPr>
                <w:rFonts w:eastAsia="標楷體"/>
              </w:rPr>
            </w:pPr>
            <w:r>
              <w:rPr>
                <w:rFonts w:eastAsia="標楷體" w:hint="eastAsia"/>
              </w:rPr>
              <w:t>2</w:t>
            </w:r>
          </w:p>
        </w:tc>
      </w:tr>
      <w:tr w:rsidR="00FE0BCC" w14:paraId="2656DDA9"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016CB4"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3B3DFDF"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14CE9D72" w14:textId="77777777" w:rsidTr="002E043C">
              <w:tc>
                <w:tcPr>
                  <w:tcW w:w="2843" w:type="dxa"/>
                </w:tcPr>
                <w:p w14:paraId="56A06DD7" w14:textId="1AF3DC4A" w:rsidR="001C01EC" w:rsidRDefault="009415E6" w:rsidP="007F22D6">
                  <w:pPr>
                    <w:spacing w:line="0" w:lineRule="atLeast"/>
                    <w:jc w:val="both"/>
                    <w:rPr>
                      <w:rFonts w:eastAsia="標楷體"/>
                      <w:u w:val="single"/>
                    </w:rPr>
                  </w:pPr>
                  <w:r>
                    <w:rPr>
                      <w:rFonts w:ascii="標楷體" w:eastAsia="標楷體" w:hAnsi="標楷體" w:hint="eastAsia"/>
                    </w:rPr>
                    <w:t>ˇ</w:t>
                  </w:r>
                  <w:r w:rsidR="001C01EC">
                    <w:rPr>
                      <w:rFonts w:ascii="標楷體" w:eastAsia="標楷體" w:hAnsi="標楷體" w:hint="eastAsia"/>
                    </w:rPr>
                    <w:t>課堂講授</w:t>
                  </w:r>
                </w:p>
              </w:tc>
              <w:tc>
                <w:tcPr>
                  <w:tcW w:w="2844" w:type="dxa"/>
                </w:tcPr>
                <w:p w14:paraId="63A2A672"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71D85F58" w14:textId="50EF60FB" w:rsidR="001C01EC" w:rsidRDefault="009415E6" w:rsidP="007F22D6">
                  <w:pPr>
                    <w:spacing w:line="0" w:lineRule="atLeast"/>
                    <w:jc w:val="both"/>
                    <w:rPr>
                      <w:rFonts w:eastAsia="標楷體"/>
                      <w:u w:val="single"/>
                    </w:rPr>
                  </w:pPr>
                  <w:r>
                    <w:rPr>
                      <w:rFonts w:ascii="標楷體" w:eastAsia="標楷體" w:hAnsi="標楷體" w:hint="eastAsia"/>
                    </w:rPr>
                    <w:t>ˇ</w:t>
                  </w:r>
                  <w:r w:rsidR="001C01EC">
                    <w:rPr>
                      <w:rFonts w:ascii="標楷體" w:eastAsia="標楷體" w:hAnsi="標楷體" w:hint="eastAsia"/>
                    </w:rPr>
                    <w:t>分組討論</w:t>
                  </w:r>
                </w:p>
              </w:tc>
            </w:tr>
            <w:tr w:rsidR="001C01EC" w14:paraId="63C3A0D0" w14:textId="77777777" w:rsidTr="002E043C">
              <w:tc>
                <w:tcPr>
                  <w:tcW w:w="2843" w:type="dxa"/>
                </w:tcPr>
                <w:p w14:paraId="557AD63C"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6479A1FF"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2948AA8D" w14:textId="77777777" w:rsidR="001C01EC" w:rsidRDefault="001C01EC" w:rsidP="007F22D6">
                  <w:pPr>
                    <w:spacing w:line="0" w:lineRule="atLeast"/>
                    <w:jc w:val="both"/>
                    <w:rPr>
                      <w:rFonts w:eastAsia="標楷體"/>
                      <w:u w:val="single"/>
                    </w:rPr>
                  </w:pPr>
                </w:p>
              </w:tc>
            </w:tr>
          </w:tbl>
          <w:p w14:paraId="62FD313D" w14:textId="77777777" w:rsidR="007A3F83" w:rsidRDefault="007A3F83" w:rsidP="007F22D6">
            <w:pPr>
              <w:spacing w:line="0" w:lineRule="atLeast"/>
              <w:jc w:val="both"/>
              <w:rPr>
                <w:rFonts w:eastAsia="標楷體"/>
                <w:u w:val="single"/>
              </w:rPr>
            </w:pPr>
          </w:p>
        </w:tc>
      </w:tr>
      <w:tr w:rsidR="00FE0BCC" w14:paraId="6AB1353D"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D825078"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066F75C3" w14:textId="77777777" w:rsidR="009415E6" w:rsidRPr="009415E6" w:rsidRDefault="009415E6" w:rsidP="009415E6">
            <w:pPr>
              <w:spacing w:line="0" w:lineRule="atLeast"/>
              <w:rPr>
                <w:rFonts w:eastAsia="標楷體" w:hint="eastAsia"/>
              </w:rPr>
            </w:pPr>
            <w:r w:rsidRPr="009415E6">
              <w:rPr>
                <w:rFonts w:eastAsia="標楷體" w:hint="eastAsia"/>
              </w:rPr>
              <w:t>課程共同目標與範圍</w:t>
            </w:r>
            <w:r w:rsidRPr="009415E6">
              <w:rPr>
                <w:rFonts w:eastAsia="標楷體" w:hint="eastAsia"/>
              </w:rPr>
              <w:t>:</w:t>
            </w:r>
          </w:p>
          <w:p w14:paraId="7D05746E" w14:textId="77777777" w:rsidR="009415E6" w:rsidRPr="009415E6" w:rsidRDefault="009415E6" w:rsidP="009415E6">
            <w:pPr>
              <w:spacing w:line="0" w:lineRule="atLeast"/>
              <w:rPr>
                <w:rFonts w:eastAsia="標楷體" w:hint="eastAsia"/>
              </w:rPr>
            </w:pPr>
            <w:r w:rsidRPr="009415E6">
              <w:rPr>
                <w:rFonts w:eastAsia="標楷體" w:hint="eastAsia"/>
              </w:rPr>
              <w:t xml:space="preserve">    </w:t>
            </w:r>
            <w:r w:rsidRPr="009415E6">
              <w:rPr>
                <w:rFonts w:eastAsia="標楷體" w:hint="eastAsia"/>
              </w:rPr>
              <w:t>閱讀，是知識的積累；寫作，是表達的呈現。中正大學通識國文課程以經典文學作品為主，開設一系列知識性深度與通識性廣度兼具的語文課程。本系列課程將以「文學鑑賞」、「應用中文寫作」、「文藝創作」、「思想與文化」、「文藝評論與學術論文」等五大主題為主，規劃並開設傳統文學賞析、哲思邏輯辯證、新世代文創應用等多元內涵之特色語文課程。讓學生修習大學國文課程之後，能夠深化人文涵養，並可創發新世代語文產業與未來發展。</w:t>
            </w:r>
          </w:p>
          <w:p w14:paraId="5550A1D0" w14:textId="77777777" w:rsidR="009415E6" w:rsidRPr="009415E6" w:rsidRDefault="009415E6" w:rsidP="009415E6">
            <w:pPr>
              <w:spacing w:line="0" w:lineRule="atLeast"/>
              <w:rPr>
                <w:rFonts w:eastAsia="標楷體"/>
              </w:rPr>
            </w:pPr>
          </w:p>
          <w:p w14:paraId="115C7A2A" w14:textId="77777777" w:rsidR="009415E6" w:rsidRPr="009415E6" w:rsidRDefault="009415E6" w:rsidP="009415E6">
            <w:pPr>
              <w:spacing w:line="0" w:lineRule="atLeast"/>
              <w:rPr>
                <w:rFonts w:eastAsia="標楷體" w:hint="eastAsia"/>
              </w:rPr>
            </w:pPr>
            <w:r w:rsidRPr="009415E6">
              <w:rPr>
                <w:rFonts w:eastAsia="標楷體" w:hint="eastAsia"/>
              </w:rPr>
              <w:t>課程單課目標與範圍</w:t>
            </w:r>
            <w:r w:rsidRPr="009415E6">
              <w:rPr>
                <w:rFonts w:eastAsia="標楷體" w:hint="eastAsia"/>
              </w:rPr>
              <w:t>:</w:t>
            </w:r>
          </w:p>
          <w:p w14:paraId="23C74951" w14:textId="77777777" w:rsidR="009415E6" w:rsidRPr="009415E6" w:rsidRDefault="009415E6" w:rsidP="009415E6">
            <w:pPr>
              <w:spacing w:line="0" w:lineRule="atLeast"/>
              <w:rPr>
                <w:rFonts w:eastAsia="標楷體" w:hint="eastAsia"/>
              </w:rPr>
            </w:pPr>
            <w:r w:rsidRPr="009415E6">
              <w:rPr>
                <w:rFonts w:eastAsia="標楷體" w:hint="eastAsia"/>
              </w:rPr>
              <w:t xml:space="preserve">    </w:t>
            </w:r>
            <w:r w:rsidRPr="009415E6">
              <w:rPr>
                <w:rFonts w:eastAsia="標楷體" w:hint="eastAsia"/>
              </w:rPr>
              <w:t>倫理學（</w:t>
            </w:r>
            <w:r w:rsidRPr="009415E6">
              <w:rPr>
                <w:rFonts w:eastAsia="標楷體" w:hint="eastAsia"/>
              </w:rPr>
              <w:t>Ethics</w:t>
            </w:r>
            <w:r w:rsidRPr="009415E6">
              <w:rPr>
                <w:rFonts w:eastAsia="標楷體" w:hint="eastAsia"/>
              </w:rPr>
              <w:t>、</w:t>
            </w:r>
            <w:r w:rsidRPr="009415E6">
              <w:rPr>
                <w:rFonts w:eastAsia="標楷體" w:hint="eastAsia"/>
              </w:rPr>
              <w:t xml:space="preserve"> Moral Philosophy</w:t>
            </w:r>
            <w:r w:rsidRPr="009415E6">
              <w:rPr>
                <w:rFonts w:eastAsia="標楷體" w:hint="eastAsia"/>
              </w:rPr>
              <w:t>）也稱為道德哲學，旨在定義諸如：善與惡、對與錯、美德與惡習、正義與犯罪等概念來解決道德問題，也是個人在群體社會中生活所必須遵守的各種道德準則。而在動漫</w:t>
            </w:r>
            <w:r w:rsidRPr="009415E6">
              <w:rPr>
                <w:rFonts w:eastAsia="標楷體" w:hint="eastAsia"/>
              </w:rPr>
              <w:t>(anime)</w:t>
            </w:r>
            <w:r w:rsidRPr="009415E6">
              <w:rPr>
                <w:rFonts w:eastAsia="標楷體" w:hint="eastAsia"/>
              </w:rPr>
              <w:t>產業蓬勃發展的日本，也有不少具有文化關懷的優秀編劇與漫畫家，刻意在精彩、熱血的故事中融入對某些特定倫理議題的嚴肅反思，從而引發了廣大討論熱潮，也大幅提升了動漫對青少年所產生的正面影響。</w:t>
            </w:r>
          </w:p>
          <w:p w14:paraId="2F547AC6" w14:textId="77777777" w:rsidR="009415E6" w:rsidRPr="009415E6" w:rsidRDefault="009415E6" w:rsidP="009415E6">
            <w:pPr>
              <w:spacing w:line="0" w:lineRule="atLeast"/>
              <w:rPr>
                <w:rFonts w:eastAsia="標楷體" w:hint="eastAsia"/>
              </w:rPr>
            </w:pPr>
            <w:r w:rsidRPr="009415E6">
              <w:rPr>
                <w:rFonts w:eastAsia="標楷體" w:hint="eastAsia"/>
              </w:rPr>
              <w:t xml:space="preserve">    </w:t>
            </w:r>
            <w:r w:rsidRPr="009415E6">
              <w:rPr>
                <w:rFonts w:eastAsia="標楷體" w:hint="eastAsia"/>
              </w:rPr>
              <w:t>由於目前日本動漫已然是全世界青少年的共同語言，其中又不乏各種傳遞正能量的王道作品，因此本課程選擇了數部當代日本較熱門的動漫作品，如《進擊的巨人》、《死亡筆記本》、《鬼滅之刃》等，從中抽繹出諸如正義、善惡、親情等不同面向的倫理議題來進行主題介紹與課堂討論，希望可以達到以下教學目標：</w:t>
            </w:r>
          </w:p>
          <w:p w14:paraId="56F6C94E" w14:textId="77777777" w:rsidR="009415E6" w:rsidRPr="009415E6" w:rsidRDefault="009415E6" w:rsidP="009415E6">
            <w:pPr>
              <w:spacing w:line="0" w:lineRule="atLeast"/>
              <w:rPr>
                <w:rFonts w:eastAsia="標楷體" w:hint="eastAsia"/>
              </w:rPr>
            </w:pPr>
            <w:r w:rsidRPr="009415E6">
              <w:rPr>
                <w:rFonts w:eastAsia="標楷體" w:hint="eastAsia"/>
              </w:rPr>
              <w:t>1.</w:t>
            </w:r>
            <w:r w:rsidRPr="009415E6">
              <w:rPr>
                <w:rFonts w:eastAsia="標楷體" w:hint="eastAsia"/>
              </w:rPr>
              <w:tab/>
            </w:r>
            <w:r w:rsidRPr="009415E6">
              <w:rPr>
                <w:rFonts w:eastAsia="標楷體" w:hint="eastAsia"/>
              </w:rPr>
              <w:t>了解日本暢銷動漫作品背後的文化意涵；</w:t>
            </w:r>
          </w:p>
          <w:p w14:paraId="5495AB32" w14:textId="77777777" w:rsidR="009415E6" w:rsidRPr="009415E6" w:rsidRDefault="009415E6" w:rsidP="009415E6">
            <w:pPr>
              <w:spacing w:line="0" w:lineRule="atLeast"/>
              <w:rPr>
                <w:rFonts w:eastAsia="標楷體" w:hint="eastAsia"/>
              </w:rPr>
            </w:pPr>
            <w:r w:rsidRPr="009415E6">
              <w:rPr>
                <w:rFonts w:eastAsia="標楷體" w:hint="eastAsia"/>
              </w:rPr>
              <w:t>2.</w:t>
            </w:r>
            <w:r w:rsidRPr="009415E6">
              <w:rPr>
                <w:rFonts w:eastAsia="標楷體" w:hint="eastAsia"/>
              </w:rPr>
              <w:tab/>
            </w:r>
            <w:r w:rsidRPr="009415E6">
              <w:rPr>
                <w:rFonts w:eastAsia="標楷體" w:hint="eastAsia"/>
              </w:rPr>
              <w:t>建立深度閱讀理解能力；</w:t>
            </w:r>
          </w:p>
          <w:p w14:paraId="0CD592A8" w14:textId="77777777" w:rsidR="009415E6" w:rsidRPr="009415E6" w:rsidRDefault="009415E6" w:rsidP="009415E6">
            <w:pPr>
              <w:spacing w:line="0" w:lineRule="atLeast"/>
              <w:rPr>
                <w:rFonts w:eastAsia="標楷體" w:hint="eastAsia"/>
              </w:rPr>
            </w:pPr>
            <w:r w:rsidRPr="009415E6">
              <w:rPr>
                <w:rFonts w:eastAsia="標楷體" w:hint="eastAsia"/>
              </w:rPr>
              <w:t>3.</w:t>
            </w:r>
            <w:r w:rsidRPr="009415E6">
              <w:rPr>
                <w:rFonts w:eastAsia="標楷體" w:hint="eastAsia"/>
              </w:rPr>
              <w:tab/>
            </w:r>
            <w:r w:rsidRPr="009415E6">
              <w:rPr>
                <w:rFonts w:eastAsia="標楷體" w:hint="eastAsia"/>
              </w:rPr>
              <w:t>培養分析與思辯能力；</w:t>
            </w:r>
          </w:p>
          <w:p w14:paraId="7867E350" w14:textId="77777777" w:rsidR="009415E6" w:rsidRPr="009415E6" w:rsidRDefault="009415E6" w:rsidP="009415E6">
            <w:pPr>
              <w:spacing w:line="0" w:lineRule="atLeast"/>
              <w:rPr>
                <w:rFonts w:eastAsia="標楷體" w:hint="eastAsia"/>
              </w:rPr>
            </w:pPr>
            <w:r w:rsidRPr="009415E6">
              <w:rPr>
                <w:rFonts w:eastAsia="標楷體" w:hint="eastAsia"/>
              </w:rPr>
              <w:t>4.</w:t>
            </w:r>
            <w:r w:rsidRPr="009415E6">
              <w:rPr>
                <w:rFonts w:eastAsia="標楷體" w:hint="eastAsia"/>
              </w:rPr>
              <w:tab/>
            </w:r>
            <w:r w:rsidRPr="009415E6">
              <w:rPr>
                <w:rFonts w:eastAsia="標楷體" w:hint="eastAsia"/>
              </w:rPr>
              <w:t>訓練結構性的寫作能力；</w:t>
            </w:r>
          </w:p>
          <w:p w14:paraId="44885B50" w14:textId="77777777" w:rsidR="009415E6" w:rsidRPr="009415E6" w:rsidRDefault="009415E6" w:rsidP="009415E6">
            <w:pPr>
              <w:spacing w:line="0" w:lineRule="atLeast"/>
              <w:rPr>
                <w:rFonts w:eastAsia="標楷體" w:hint="eastAsia"/>
              </w:rPr>
            </w:pPr>
            <w:r w:rsidRPr="009415E6">
              <w:rPr>
                <w:rFonts w:eastAsia="標楷體" w:hint="eastAsia"/>
              </w:rPr>
              <w:t>5.</w:t>
            </w:r>
            <w:r w:rsidRPr="009415E6">
              <w:rPr>
                <w:rFonts w:eastAsia="標楷體" w:hint="eastAsia"/>
              </w:rPr>
              <w:tab/>
            </w:r>
            <w:r w:rsidRPr="009415E6">
              <w:rPr>
                <w:rFonts w:eastAsia="標楷體" w:hint="eastAsia"/>
              </w:rPr>
              <w:t>主動關注生活中的各項倫理議題。並能提出自己的見解與行動方針。</w:t>
            </w:r>
          </w:p>
          <w:p w14:paraId="3E23F197" w14:textId="77777777" w:rsidR="009415E6" w:rsidRPr="009415E6" w:rsidRDefault="009415E6" w:rsidP="009415E6">
            <w:pPr>
              <w:spacing w:line="0" w:lineRule="atLeast"/>
              <w:rPr>
                <w:rFonts w:eastAsia="標楷體"/>
              </w:rPr>
            </w:pPr>
          </w:p>
          <w:p w14:paraId="3B55EEA6" w14:textId="03F80C6B" w:rsidR="0096377B" w:rsidRDefault="009415E6" w:rsidP="009415E6">
            <w:pPr>
              <w:spacing w:line="0" w:lineRule="atLeast"/>
              <w:rPr>
                <w:rFonts w:eastAsia="標楷體"/>
              </w:rPr>
            </w:pPr>
            <w:r w:rsidRPr="009415E6">
              <w:rPr>
                <w:rFonts w:eastAsia="標楷體" w:hint="eastAsia"/>
              </w:rPr>
              <w:t>*</w:t>
            </w:r>
            <w:r w:rsidRPr="009415E6">
              <w:rPr>
                <w:rFonts w:eastAsia="標楷體" w:hint="eastAsia"/>
              </w:rPr>
              <w:t>本課程的教學與小組報告均是以日本動漫作品為對象，考量到有些學生可能對倫理學議題有興趣，但對動漫不太熟悉，因此除了上課的文本，老師也會提供一份建議閱聽的動漫作品清單，讓學生作為小組報告的選材依據。而為了深化學生對文本的理解，本課程亦適度搭配學習單的寫作與考試，希望學生透過「閱聽</w:t>
            </w:r>
            <w:r w:rsidRPr="009415E6">
              <w:rPr>
                <w:rFonts w:eastAsia="標楷體" w:hint="eastAsia"/>
              </w:rPr>
              <w:t>-</w:t>
            </w:r>
            <w:r w:rsidRPr="009415E6">
              <w:rPr>
                <w:rFonts w:eastAsia="標楷體" w:hint="eastAsia"/>
              </w:rPr>
              <w:t>討論</w:t>
            </w:r>
            <w:r w:rsidRPr="009415E6">
              <w:rPr>
                <w:rFonts w:eastAsia="標楷體" w:hint="eastAsia"/>
              </w:rPr>
              <w:t>-</w:t>
            </w:r>
            <w:r w:rsidRPr="009415E6">
              <w:rPr>
                <w:rFonts w:eastAsia="標楷體" w:hint="eastAsia"/>
              </w:rPr>
              <w:t>寫作」的系統性學習，能全方面提升語文能力，並將此能力運用到實際生活上。</w:t>
            </w:r>
          </w:p>
        </w:tc>
      </w:tr>
      <w:tr w:rsidR="009415E6" w14:paraId="594AB41B" w14:textId="77777777" w:rsidTr="009544C5">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544452" w14:textId="77777777" w:rsidR="009415E6" w:rsidRDefault="009415E6" w:rsidP="009415E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ACDCB7D" w14:textId="77777777" w:rsidR="009415E6" w:rsidRDefault="009415E6" w:rsidP="009415E6">
            <w:pPr>
              <w:spacing w:line="0" w:lineRule="atLeast"/>
              <w:jc w:val="center"/>
              <w:rPr>
                <w:rFonts w:eastAsia="標楷體"/>
              </w:rPr>
            </w:pPr>
            <w:r>
              <w:rPr>
                <w:rFonts w:eastAsia="標楷體" w:hint="eastAsia"/>
              </w:rPr>
              <w:t>(</w:t>
            </w:r>
            <w:r>
              <w:rPr>
                <w:rFonts w:eastAsia="標楷體" w:hint="eastAsia"/>
              </w:rPr>
              <w:t>週次表及每週課程詳細內容說明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402C9722" w14:textId="77777777" w:rsidR="009415E6" w:rsidRDefault="009415E6" w:rsidP="009415E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9415E6" w14:paraId="6D1C03F5" w14:textId="77777777" w:rsidTr="006404C6">
              <w:trPr>
                <w:jc w:val="center"/>
              </w:trPr>
              <w:tc>
                <w:tcPr>
                  <w:tcW w:w="712" w:type="dxa"/>
                </w:tcPr>
                <w:p w14:paraId="09AEB837" w14:textId="77777777" w:rsidR="009415E6" w:rsidRDefault="009415E6" w:rsidP="009415E6">
                  <w:pPr>
                    <w:spacing w:line="0" w:lineRule="atLeast"/>
                    <w:rPr>
                      <w:rFonts w:eastAsia="標楷體"/>
                    </w:rPr>
                  </w:pPr>
                  <w:r>
                    <w:rPr>
                      <w:rFonts w:eastAsia="標楷體"/>
                    </w:rPr>
                    <w:t>週次</w:t>
                  </w:r>
                </w:p>
              </w:tc>
              <w:tc>
                <w:tcPr>
                  <w:tcW w:w="5393" w:type="dxa"/>
                </w:tcPr>
                <w:p w14:paraId="0EDDC6B0" w14:textId="77777777" w:rsidR="009415E6" w:rsidRDefault="009415E6" w:rsidP="009415E6">
                  <w:pPr>
                    <w:spacing w:line="0" w:lineRule="atLeast"/>
                    <w:jc w:val="center"/>
                    <w:rPr>
                      <w:rFonts w:eastAsia="標楷體"/>
                    </w:rPr>
                  </w:pPr>
                  <w:r>
                    <w:rPr>
                      <w:rFonts w:eastAsia="標楷體"/>
                    </w:rPr>
                    <w:t>主題</w:t>
                  </w:r>
                </w:p>
              </w:tc>
            </w:tr>
            <w:tr w:rsidR="009415E6" w14:paraId="6B54B990" w14:textId="77777777" w:rsidTr="006404C6">
              <w:trPr>
                <w:jc w:val="center"/>
              </w:trPr>
              <w:tc>
                <w:tcPr>
                  <w:tcW w:w="712" w:type="dxa"/>
                </w:tcPr>
                <w:p w14:paraId="66D0CCC8" w14:textId="77777777" w:rsidR="009415E6" w:rsidRDefault="009415E6" w:rsidP="009415E6">
                  <w:pPr>
                    <w:spacing w:line="0" w:lineRule="atLeast"/>
                    <w:jc w:val="center"/>
                    <w:rPr>
                      <w:rFonts w:eastAsia="標楷體"/>
                    </w:rPr>
                  </w:pPr>
                  <w:r>
                    <w:rPr>
                      <w:rFonts w:eastAsia="標楷體" w:hint="eastAsia"/>
                    </w:rPr>
                    <w:t>1</w:t>
                  </w:r>
                </w:p>
              </w:tc>
              <w:tc>
                <w:tcPr>
                  <w:tcW w:w="5393" w:type="dxa"/>
                </w:tcPr>
                <w:p w14:paraId="734CFB61" w14:textId="77777777" w:rsidR="009415E6" w:rsidRDefault="009415E6" w:rsidP="009415E6">
                  <w:pPr>
                    <w:spacing w:line="0" w:lineRule="atLeast"/>
                    <w:rPr>
                      <w:rFonts w:eastAsia="標楷體"/>
                    </w:rPr>
                  </w:pPr>
                  <w:r>
                    <w:rPr>
                      <w:rFonts w:eastAsia="標楷體" w:hint="eastAsia"/>
                    </w:rPr>
                    <w:t>課程導言</w:t>
                  </w:r>
                </w:p>
              </w:tc>
            </w:tr>
            <w:tr w:rsidR="009415E6" w14:paraId="7E18847F" w14:textId="77777777" w:rsidTr="006404C6">
              <w:trPr>
                <w:jc w:val="center"/>
              </w:trPr>
              <w:tc>
                <w:tcPr>
                  <w:tcW w:w="712" w:type="dxa"/>
                </w:tcPr>
                <w:p w14:paraId="2C5FB6EF" w14:textId="77777777" w:rsidR="009415E6" w:rsidRDefault="009415E6" w:rsidP="009415E6">
                  <w:pPr>
                    <w:spacing w:line="0" w:lineRule="atLeast"/>
                    <w:jc w:val="center"/>
                    <w:rPr>
                      <w:rFonts w:eastAsia="標楷體"/>
                    </w:rPr>
                  </w:pPr>
                  <w:r>
                    <w:rPr>
                      <w:rFonts w:eastAsia="標楷體" w:hint="eastAsia"/>
                    </w:rPr>
                    <w:t>2</w:t>
                  </w:r>
                </w:p>
              </w:tc>
              <w:tc>
                <w:tcPr>
                  <w:tcW w:w="5393" w:type="dxa"/>
                </w:tcPr>
                <w:p w14:paraId="6EF9BEC5" w14:textId="77777777" w:rsidR="009415E6" w:rsidRPr="000C6CA2" w:rsidRDefault="009415E6" w:rsidP="009415E6">
                  <w:pPr>
                    <w:spacing w:line="0" w:lineRule="atLeast"/>
                    <w:rPr>
                      <w:rFonts w:ascii="標楷體" w:eastAsia="標楷體" w:hAnsi="標楷體"/>
                    </w:rPr>
                  </w:pPr>
                  <w:r>
                    <w:rPr>
                      <w:rFonts w:ascii="標楷體" w:eastAsia="標楷體" w:hAnsi="標楷體" w:hint="eastAsia"/>
                    </w:rPr>
                    <w:t>《多羅羅</w:t>
                  </w:r>
                  <w:r w:rsidRPr="000C6CA2">
                    <w:rPr>
                      <w:rFonts w:ascii="標楷體" w:eastAsia="標楷體" w:hAnsi="標楷體" w:hint="eastAsia"/>
                    </w:rPr>
                    <w:t>》</w:t>
                  </w:r>
                  <w:r>
                    <w:rPr>
                      <w:rFonts w:ascii="標楷體" w:eastAsia="標楷體" w:hAnsi="標楷體" w:hint="eastAsia"/>
                    </w:rPr>
                    <w:t>的電車難題</w:t>
                  </w:r>
                </w:p>
              </w:tc>
            </w:tr>
            <w:tr w:rsidR="009415E6" w14:paraId="05DE2E6F" w14:textId="77777777" w:rsidTr="006404C6">
              <w:trPr>
                <w:jc w:val="center"/>
              </w:trPr>
              <w:tc>
                <w:tcPr>
                  <w:tcW w:w="712" w:type="dxa"/>
                </w:tcPr>
                <w:p w14:paraId="0DA002F0" w14:textId="77777777" w:rsidR="009415E6" w:rsidRDefault="009415E6" w:rsidP="009415E6">
                  <w:pPr>
                    <w:spacing w:line="0" w:lineRule="atLeast"/>
                    <w:jc w:val="center"/>
                    <w:rPr>
                      <w:rFonts w:eastAsia="標楷體"/>
                    </w:rPr>
                  </w:pPr>
                  <w:r>
                    <w:rPr>
                      <w:rFonts w:eastAsia="標楷體" w:hint="eastAsia"/>
                    </w:rPr>
                    <w:t>3</w:t>
                  </w:r>
                </w:p>
              </w:tc>
              <w:tc>
                <w:tcPr>
                  <w:tcW w:w="5393" w:type="dxa"/>
                </w:tcPr>
                <w:p w14:paraId="4E9D5BF9" w14:textId="77777777" w:rsidR="009415E6" w:rsidRDefault="009415E6" w:rsidP="009415E6">
                  <w:pPr>
                    <w:spacing w:line="0" w:lineRule="atLeast"/>
                    <w:rPr>
                      <w:rFonts w:eastAsia="標楷體"/>
                    </w:rPr>
                  </w:pPr>
                  <w:r>
                    <w:rPr>
                      <w:rFonts w:ascii="標楷體" w:eastAsia="標楷體" w:hAnsi="標楷體" w:hint="eastAsia"/>
                    </w:rPr>
                    <w:t>《死亡筆記本</w:t>
                  </w:r>
                  <w:r w:rsidRPr="000C6CA2">
                    <w:rPr>
                      <w:rFonts w:ascii="標楷體" w:eastAsia="標楷體" w:hAnsi="標楷體" w:hint="eastAsia"/>
                    </w:rPr>
                    <w:t>》</w:t>
                  </w:r>
                  <w:r>
                    <w:rPr>
                      <w:rFonts w:ascii="標楷體" w:eastAsia="標楷體" w:hAnsi="標楷體" w:hint="eastAsia"/>
                    </w:rPr>
                    <w:t>的正義觀</w:t>
                  </w:r>
                </w:p>
              </w:tc>
            </w:tr>
            <w:tr w:rsidR="009415E6" w14:paraId="7BB24CAE" w14:textId="77777777" w:rsidTr="006404C6">
              <w:trPr>
                <w:jc w:val="center"/>
              </w:trPr>
              <w:tc>
                <w:tcPr>
                  <w:tcW w:w="712" w:type="dxa"/>
                </w:tcPr>
                <w:p w14:paraId="37A81D09" w14:textId="77777777" w:rsidR="009415E6" w:rsidRDefault="009415E6" w:rsidP="009415E6">
                  <w:pPr>
                    <w:spacing w:line="0" w:lineRule="atLeast"/>
                    <w:jc w:val="center"/>
                    <w:rPr>
                      <w:rFonts w:eastAsia="標楷體"/>
                    </w:rPr>
                  </w:pPr>
                  <w:r>
                    <w:rPr>
                      <w:rFonts w:eastAsia="標楷體" w:hint="eastAsia"/>
                    </w:rPr>
                    <w:t>4</w:t>
                  </w:r>
                </w:p>
              </w:tc>
              <w:tc>
                <w:tcPr>
                  <w:tcW w:w="5393" w:type="dxa"/>
                </w:tcPr>
                <w:p w14:paraId="476EAB66" w14:textId="77777777" w:rsidR="009415E6" w:rsidRDefault="009415E6" w:rsidP="009415E6">
                  <w:pPr>
                    <w:spacing w:line="0" w:lineRule="atLeast"/>
                    <w:rPr>
                      <w:rFonts w:eastAsia="標楷體"/>
                    </w:rPr>
                  </w:pPr>
                  <w:r w:rsidRPr="00CB0646">
                    <w:rPr>
                      <w:rFonts w:eastAsia="標楷體" w:hint="eastAsia"/>
                    </w:rPr>
                    <w:t>《怪物》的善惡觀</w:t>
                  </w:r>
                </w:p>
              </w:tc>
            </w:tr>
            <w:tr w:rsidR="009415E6" w14:paraId="6AD54A03" w14:textId="77777777" w:rsidTr="006404C6">
              <w:trPr>
                <w:jc w:val="center"/>
              </w:trPr>
              <w:tc>
                <w:tcPr>
                  <w:tcW w:w="712" w:type="dxa"/>
                </w:tcPr>
                <w:p w14:paraId="0234AD3F" w14:textId="77777777" w:rsidR="009415E6" w:rsidRDefault="009415E6" w:rsidP="009415E6">
                  <w:pPr>
                    <w:spacing w:line="0" w:lineRule="atLeast"/>
                    <w:jc w:val="center"/>
                    <w:rPr>
                      <w:rFonts w:eastAsia="標楷體"/>
                    </w:rPr>
                  </w:pPr>
                  <w:r>
                    <w:rPr>
                      <w:rFonts w:eastAsia="標楷體" w:hint="eastAsia"/>
                    </w:rPr>
                    <w:t>5</w:t>
                  </w:r>
                </w:p>
              </w:tc>
              <w:tc>
                <w:tcPr>
                  <w:tcW w:w="5393" w:type="dxa"/>
                </w:tcPr>
                <w:p w14:paraId="39E6EB15" w14:textId="77777777" w:rsidR="009415E6" w:rsidRDefault="009415E6" w:rsidP="009415E6">
                  <w:pPr>
                    <w:spacing w:line="0" w:lineRule="atLeast"/>
                    <w:rPr>
                      <w:rFonts w:eastAsia="標楷體"/>
                    </w:rPr>
                  </w:pPr>
                  <w:r>
                    <w:rPr>
                      <w:rFonts w:ascii="標楷體" w:eastAsia="標楷體" w:hAnsi="標楷體" w:hint="eastAsia"/>
                    </w:rPr>
                    <w:t>《進擊的巨人</w:t>
                  </w:r>
                  <w:r w:rsidRPr="000C6CA2">
                    <w:rPr>
                      <w:rFonts w:ascii="標楷體" w:eastAsia="標楷體" w:hAnsi="標楷體" w:hint="eastAsia"/>
                    </w:rPr>
                    <w:t>》</w:t>
                  </w:r>
                  <w:r>
                    <w:rPr>
                      <w:rFonts w:ascii="標楷體" w:eastAsia="標楷體" w:hAnsi="標楷體" w:hint="eastAsia"/>
                    </w:rPr>
                    <w:t>與種族主義</w:t>
                  </w:r>
                </w:p>
              </w:tc>
            </w:tr>
            <w:tr w:rsidR="009415E6" w14:paraId="551D4905" w14:textId="77777777" w:rsidTr="006404C6">
              <w:trPr>
                <w:jc w:val="center"/>
              </w:trPr>
              <w:tc>
                <w:tcPr>
                  <w:tcW w:w="712" w:type="dxa"/>
                </w:tcPr>
                <w:p w14:paraId="13854D94" w14:textId="77777777" w:rsidR="009415E6" w:rsidRDefault="009415E6" w:rsidP="009415E6">
                  <w:pPr>
                    <w:spacing w:line="0" w:lineRule="atLeast"/>
                    <w:jc w:val="center"/>
                    <w:rPr>
                      <w:rFonts w:eastAsia="標楷體"/>
                    </w:rPr>
                  </w:pPr>
                  <w:r>
                    <w:rPr>
                      <w:rFonts w:eastAsia="標楷體" w:hint="eastAsia"/>
                    </w:rPr>
                    <w:t>6</w:t>
                  </w:r>
                </w:p>
              </w:tc>
              <w:tc>
                <w:tcPr>
                  <w:tcW w:w="5393" w:type="dxa"/>
                </w:tcPr>
                <w:p w14:paraId="7BFDDD3C" w14:textId="77777777" w:rsidR="009415E6" w:rsidRDefault="009415E6" w:rsidP="009415E6">
                  <w:pPr>
                    <w:spacing w:line="0" w:lineRule="atLeast"/>
                    <w:rPr>
                      <w:rFonts w:eastAsia="標楷體"/>
                    </w:rPr>
                  </w:pPr>
                  <w:r>
                    <w:rPr>
                      <w:rFonts w:ascii="標楷體" w:eastAsia="標楷體" w:hAnsi="標楷體" w:hint="eastAsia"/>
                    </w:rPr>
                    <w:t>《</w:t>
                  </w:r>
                  <w:r w:rsidRPr="00280C04">
                    <w:rPr>
                      <w:rFonts w:ascii="標楷體" w:eastAsia="標楷體" w:hAnsi="標楷體" w:hint="eastAsia"/>
                    </w:rPr>
                    <w:t>東京喰種</w:t>
                  </w:r>
                  <w:r w:rsidRPr="000C6CA2">
                    <w:rPr>
                      <w:rFonts w:ascii="標楷體" w:eastAsia="標楷體" w:hAnsi="標楷體" w:hint="eastAsia"/>
                    </w:rPr>
                    <w:t>》</w:t>
                  </w:r>
                  <w:r>
                    <w:rPr>
                      <w:rFonts w:ascii="標楷體" w:eastAsia="標楷體" w:hAnsi="標楷體" w:hint="eastAsia"/>
                    </w:rPr>
                    <w:t>的人類中心主義</w:t>
                  </w:r>
                </w:p>
              </w:tc>
            </w:tr>
            <w:tr w:rsidR="009415E6" w14:paraId="19D0E7DC" w14:textId="77777777" w:rsidTr="006404C6">
              <w:trPr>
                <w:jc w:val="center"/>
              </w:trPr>
              <w:tc>
                <w:tcPr>
                  <w:tcW w:w="712" w:type="dxa"/>
                </w:tcPr>
                <w:p w14:paraId="5F873954" w14:textId="77777777" w:rsidR="009415E6" w:rsidRDefault="009415E6" w:rsidP="009415E6">
                  <w:pPr>
                    <w:spacing w:line="0" w:lineRule="atLeast"/>
                    <w:jc w:val="center"/>
                    <w:rPr>
                      <w:rFonts w:eastAsia="標楷體"/>
                    </w:rPr>
                  </w:pPr>
                  <w:r>
                    <w:rPr>
                      <w:rFonts w:eastAsia="標楷體" w:hint="eastAsia"/>
                    </w:rPr>
                    <w:t>7</w:t>
                  </w:r>
                </w:p>
              </w:tc>
              <w:tc>
                <w:tcPr>
                  <w:tcW w:w="5393" w:type="dxa"/>
                </w:tcPr>
                <w:p w14:paraId="61AF36A9" w14:textId="77777777" w:rsidR="009415E6" w:rsidRDefault="009415E6" w:rsidP="009415E6">
                  <w:pPr>
                    <w:spacing w:line="0" w:lineRule="atLeast"/>
                    <w:rPr>
                      <w:rFonts w:eastAsia="標楷體"/>
                    </w:rPr>
                  </w:pPr>
                  <w:r w:rsidRPr="007727B0">
                    <w:rPr>
                      <w:rFonts w:eastAsia="標楷體" w:hint="eastAsia"/>
                    </w:rPr>
                    <w:t>《鬼滅之刃》的家庭倫理</w:t>
                  </w:r>
                </w:p>
              </w:tc>
            </w:tr>
            <w:tr w:rsidR="009415E6" w14:paraId="345BC14E" w14:textId="77777777" w:rsidTr="006404C6">
              <w:trPr>
                <w:jc w:val="center"/>
              </w:trPr>
              <w:tc>
                <w:tcPr>
                  <w:tcW w:w="712" w:type="dxa"/>
                </w:tcPr>
                <w:p w14:paraId="7E5B9D10" w14:textId="77777777" w:rsidR="009415E6" w:rsidRDefault="009415E6" w:rsidP="009415E6">
                  <w:pPr>
                    <w:spacing w:line="0" w:lineRule="atLeast"/>
                    <w:jc w:val="center"/>
                    <w:rPr>
                      <w:rFonts w:eastAsia="標楷體"/>
                    </w:rPr>
                  </w:pPr>
                  <w:r>
                    <w:rPr>
                      <w:rFonts w:eastAsia="標楷體" w:hint="eastAsia"/>
                    </w:rPr>
                    <w:t>8</w:t>
                  </w:r>
                </w:p>
              </w:tc>
              <w:tc>
                <w:tcPr>
                  <w:tcW w:w="5393" w:type="dxa"/>
                </w:tcPr>
                <w:p w14:paraId="1BA56D38" w14:textId="77777777" w:rsidR="009415E6" w:rsidRDefault="009415E6" w:rsidP="009415E6">
                  <w:pPr>
                    <w:spacing w:line="0" w:lineRule="atLeast"/>
                    <w:rPr>
                      <w:rFonts w:eastAsia="標楷體"/>
                    </w:rPr>
                  </w:pPr>
                  <w:r w:rsidRPr="007727B0">
                    <w:rPr>
                      <w:rFonts w:eastAsia="標楷體" w:hint="eastAsia"/>
                    </w:rPr>
                    <w:t>《</w:t>
                  </w:r>
                  <w:r>
                    <w:rPr>
                      <w:rFonts w:eastAsia="標楷體" w:hint="eastAsia"/>
                    </w:rPr>
                    <w:t>愛在雨過天晴時</w:t>
                  </w:r>
                  <w:r w:rsidRPr="007727B0">
                    <w:rPr>
                      <w:rFonts w:eastAsia="標楷體" w:hint="eastAsia"/>
                    </w:rPr>
                    <w:t>》的</w:t>
                  </w:r>
                  <w:r>
                    <w:rPr>
                      <w:rFonts w:eastAsia="標楷體" w:hint="eastAsia"/>
                    </w:rPr>
                    <w:t>純愛宣言</w:t>
                  </w:r>
                </w:p>
              </w:tc>
            </w:tr>
            <w:tr w:rsidR="009415E6" w14:paraId="68C6AC4F" w14:textId="77777777" w:rsidTr="006404C6">
              <w:trPr>
                <w:jc w:val="center"/>
              </w:trPr>
              <w:tc>
                <w:tcPr>
                  <w:tcW w:w="712" w:type="dxa"/>
                </w:tcPr>
                <w:p w14:paraId="3F139D82" w14:textId="77777777" w:rsidR="009415E6" w:rsidRDefault="009415E6" w:rsidP="009415E6">
                  <w:pPr>
                    <w:spacing w:line="0" w:lineRule="atLeast"/>
                    <w:jc w:val="center"/>
                    <w:rPr>
                      <w:rFonts w:eastAsia="標楷體"/>
                    </w:rPr>
                  </w:pPr>
                  <w:r>
                    <w:rPr>
                      <w:rFonts w:eastAsia="標楷體" w:hint="eastAsia"/>
                    </w:rPr>
                    <w:t>9</w:t>
                  </w:r>
                </w:p>
              </w:tc>
              <w:tc>
                <w:tcPr>
                  <w:tcW w:w="5393" w:type="dxa"/>
                </w:tcPr>
                <w:p w14:paraId="6E8E6BB3" w14:textId="77777777" w:rsidR="009415E6" w:rsidRDefault="009415E6" w:rsidP="009415E6">
                  <w:pPr>
                    <w:spacing w:line="0" w:lineRule="atLeast"/>
                    <w:rPr>
                      <w:rFonts w:eastAsia="標楷體"/>
                    </w:rPr>
                  </w:pPr>
                  <w:r>
                    <w:rPr>
                      <w:rFonts w:eastAsia="標楷體" w:hint="eastAsia"/>
                    </w:rPr>
                    <w:t>期中考</w:t>
                  </w:r>
                </w:p>
              </w:tc>
            </w:tr>
            <w:tr w:rsidR="009415E6" w14:paraId="43610EBC" w14:textId="77777777" w:rsidTr="006404C6">
              <w:trPr>
                <w:jc w:val="center"/>
              </w:trPr>
              <w:tc>
                <w:tcPr>
                  <w:tcW w:w="712" w:type="dxa"/>
                </w:tcPr>
                <w:p w14:paraId="28CD3D53" w14:textId="77777777" w:rsidR="009415E6" w:rsidRDefault="009415E6" w:rsidP="009415E6">
                  <w:pPr>
                    <w:spacing w:line="0" w:lineRule="atLeast"/>
                    <w:jc w:val="center"/>
                    <w:rPr>
                      <w:rFonts w:eastAsia="標楷體"/>
                    </w:rPr>
                  </w:pPr>
                  <w:r>
                    <w:rPr>
                      <w:rFonts w:eastAsia="標楷體" w:hint="eastAsia"/>
                    </w:rPr>
                    <w:t>10</w:t>
                  </w:r>
                </w:p>
              </w:tc>
              <w:tc>
                <w:tcPr>
                  <w:tcW w:w="5393" w:type="dxa"/>
                </w:tcPr>
                <w:p w14:paraId="64B65ED5" w14:textId="77777777" w:rsidR="009415E6" w:rsidRDefault="009415E6" w:rsidP="009415E6">
                  <w:pPr>
                    <w:spacing w:line="0" w:lineRule="atLeast"/>
                    <w:rPr>
                      <w:rFonts w:eastAsia="標楷體"/>
                    </w:rPr>
                  </w:pPr>
                  <w:r>
                    <w:rPr>
                      <w:rFonts w:ascii="標楷體" w:eastAsia="標楷體" w:hAnsi="標楷體" w:hint="eastAsia"/>
                    </w:rPr>
                    <w:t>《浪人劍客</w:t>
                  </w:r>
                  <w:r w:rsidRPr="000C6CA2">
                    <w:rPr>
                      <w:rFonts w:ascii="標楷體" w:eastAsia="標楷體" w:hAnsi="標楷體" w:hint="eastAsia"/>
                    </w:rPr>
                    <w:t>》</w:t>
                  </w:r>
                  <w:r>
                    <w:rPr>
                      <w:rFonts w:ascii="標楷體" w:eastAsia="標楷體" w:hAnsi="標楷體" w:hint="eastAsia"/>
                    </w:rPr>
                    <w:t>的自我追尋之旅</w:t>
                  </w:r>
                </w:p>
              </w:tc>
            </w:tr>
            <w:tr w:rsidR="009415E6" w14:paraId="794A13E0" w14:textId="77777777" w:rsidTr="006404C6">
              <w:trPr>
                <w:jc w:val="center"/>
              </w:trPr>
              <w:tc>
                <w:tcPr>
                  <w:tcW w:w="712" w:type="dxa"/>
                </w:tcPr>
                <w:p w14:paraId="7D7F17B6" w14:textId="77777777" w:rsidR="009415E6" w:rsidRDefault="009415E6" w:rsidP="009415E6">
                  <w:pPr>
                    <w:spacing w:line="0" w:lineRule="atLeast"/>
                    <w:jc w:val="center"/>
                    <w:rPr>
                      <w:rFonts w:eastAsia="標楷體"/>
                    </w:rPr>
                  </w:pPr>
                  <w:r>
                    <w:rPr>
                      <w:rFonts w:eastAsia="標楷體" w:hint="eastAsia"/>
                    </w:rPr>
                    <w:t>11</w:t>
                  </w:r>
                </w:p>
              </w:tc>
              <w:tc>
                <w:tcPr>
                  <w:tcW w:w="5393" w:type="dxa"/>
                </w:tcPr>
                <w:p w14:paraId="0FBDA405" w14:textId="77777777" w:rsidR="009415E6" w:rsidRDefault="009415E6" w:rsidP="009415E6">
                  <w:pPr>
                    <w:spacing w:line="0" w:lineRule="atLeast"/>
                    <w:rPr>
                      <w:rFonts w:eastAsia="標楷體"/>
                    </w:rPr>
                  </w:pPr>
                  <w:r w:rsidRPr="00E36B4A">
                    <w:rPr>
                      <w:rFonts w:ascii="標楷體" w:eastAsia="標楷體" w:hAnsi="標楷體" w:hint="eastAsia"/>
                    </w:rPr>
                    <w:t>《不道德的秘密》與存在主義</w:t>
                  </w:r>
                </w:p>
              </w:tc>
            </w:tr>
            <w:tr w:rsidR="009415E6" w14:paraId="3B3D59DF" w14:textId="77777777" w:rsidTr="006404C6">
              <w:trPr>
                <w:jc w:val="center"/>
              </w:trPr>
              <w:tc>
                <w:tcPr>
                  <w:tcW w:w="712" w:type="dxa"/>
                </w:tcPr>
                <w:p w14:paraId="29E98431" w14:textId="77777777" w:rsidR="009415E6" w:rsidRDefault="009415E6" w:rsidP="009415E6">
                  <w:pPr>
                    <w:spacing w:line="0" w:lineRule="atLeast"/>
                    <w:jc w:val="center"/>
                    <w:rPr>
                      <w:rFonts w:eastAsia="標楷體"/>
                    </w:rPr>
                  </w:pPr>
                  <w:r>
                    <w:rPr>
                      <w:rFonts w:eastAsia="標楷體" w:hint="eastAsia"/>
                    </w:rPr>
                    <w:t>12</w:t>
                  </w:r>
                </w:p>
              </w:tc>
              <w:tc>
                <w:tcPr>
                  <w:tcW w:w="5393" w:type="dxa"/>
                </w:tcPr>
                <w:p w14:paraId="7E81238A" w14:textId="77777777" w:rsidR="009415E6" w:rsidRDefault="009415E6" w:rsidP="009415E6">
                  <w:pPr>
                    <w:spacing w:line="0" w:lineRule="atLeast"/>
                    <w:rPr>
                      <w:rFonts w:eastAsia="標楷體"/>
                    </w:rPr>
                  </w:pPr>
                  <w:r>
                    <w:rPr>
                      <w:rFonts w:eastAsia="標楷體" w:hint="eastAsia"/>
                    </w:rPr>
                    <w:t>小組報告</w:t>
                  </w:r>
                  <w:r>
                    <w:rPr>
                      <w:rFonts w:eastAsia="標楷體" w:hint="eastAsia"/>
                    </w:rPr>
                    <w:t>(</w:t>
                  </w:r>
                  <w:r>
                    <w:rPr>
                      <w:rFonts w:eastAsia="標楷體" w:hint="eastAsia"/>
                    </w:rPr>
                    <w:t>一</w:t>
                  </w:r>
                  <w:r>
                    <w:rPr>
                      <w:rFonts w:eastAsia="標楷體" w:hint="eastAsia"/>
                    </w:rPr>
                    <w:t>) (</w:t>
                  </w:r>
                  <w:r>
                    <w:rPr>
                      <w:rFonts w:eastAsia="標楷體" w:hint="eastAsia"/>
                    </w:rPr>
                    <w:t>二</w:t>
                  </w:r>
                  <w:r>
                    <w:rPr>
                      <w:rFonts w:eastAsia="標楷體" w:hint="eastAsia"/>
                    </w:rPr>
                    <w:t>)</w:t>
                  </w:r>
                </w:p>
              </w:tc>
            </w:tr>
            <w:tr w:rsidR="009415E6" w14:paraId="675E4B09" w14:textId="77777777" w:rsidTr="006404C6">
              <w:trPr>
                <w:jc w:val="center"/>
              </w:trPr>
              <w:tc>
                <w:tcPr>
                  <w:tcW w:w="712" w:type="dxa"/>
                </w:tcPr>
                <w:p w14:paraId="3BAD99DA" w14:textId="77777777" w:rsidR="009415E6" w:rsidRDefault="009415E6" w:rsidP="009415E6">
                  <w:pPr>
                    <w:spacing w:line="0" w:lineRule="atLeast"/>
                    <w:jc w:val="center"/>
                    <w:rPr>
                      <w:rFonts w:eastAsia="標楷體"/>
                    </w:rPr>
                  </w:pPr>
                  <w:r>
                    <w:rPr>
                      <w:rFonts w:eastAsia="標楷體" w:hint="eastAsia"/>
                    </w:rPr>
                    <w:t>13</w:t>
                  </w:r>
                </w:p>
              </w:tc>
              <w:tc>
                <w:tcPr>
                  <w:tcW w:w="5393" w:type="dxa"/>
                </w:tcPr>
                <w:p w14:paraId="0DF411DF" w14:textId="77777777" w:rsidR="009415E6" w:rsidRDefault="009415E6" w:rsidP="009415E6">
                  <w:pPr>
                    <w:spacing w:line="0" w:lineRule="atLeast"/>
                    <w:rPr>
                      <w:rFonts w:eastAsia="標楷體"/>
                    </w:rPr>
                  </w:pPr>
                  <w:r>
                    <w:rPr>
                      <w:rFonts w:ascii="標楷體" w:eastAsia="標楷體" w:hAnsi="標楷體" w:hint="eastAsia"/>
                    </w:rPr>
                    <w:t>《死亡預告</w:t>
                  </w:r>
                  <w:r w:rsidRPr="000C6CA2">
                    <w:rPr>
                      <w:rFonts w:ascii="標楷體" w:eastAsia="標楷體" w:hAnsi="標楷體" w:hint="eastAsia"/>
                    </w:rPr>
                    <w:t>》</w:t>
                  </w:r>
                  <w:r>
                    <w:rPr>
                      <w:rFonts w:ascii="標楷體" w:eastAsia="標楷體" w:hAnsi="標楷體" w:hint="eastAsia"/>
                    </w:rPr>
                    <w:t>的生命倫理</w:t>
                  </w:r>
                </w:p>
              </w:tc>
            </w:tr>
            <w:tr w:rsidR="009415E6" w14:paraId="063B7BD4" w14:textId="77777777" w:rsidTr="006404C6">
              <w:trPr>
                <w:jc w:val="center"/>
              </w:trPr>
              <w:tc>
                <w:tcPr>
                  <w:tcW w:w="712" w:type="dxa"/>
                </w:tcPr>
                <w:p w14:paraId="27718CDC" w14:textId="77777777" w:rsidR="009415E6" w:rsidRDefault="009415E6" w:rsidP="009415E6">
                  <w:pPr>
                    <w:spacing w:line="0" w:lineRule="atLeast"/>
                    <w:jc w:val="center"/>
                    <w:rPr>
                      <w:rFonts w:eastAsia="標楷體"/>
                    </w:rPr>
                  </w:pPr>
                  <w:r>
                    <w:rPr>
                      <w:rFonts w:eastAsia="標楷體" w:hint="eastAsia"/>
                    </w:rPr>
                    <w:t>14</w:t>
                  </w:r>
                </w:p>
              </w:tc>
              <w:tc>
                <w:tcPr>
                  <w:tcW w:w="5393" w:type="dxa"/>
                </w:tcPr>
                <w:p w14:paraId="4A359FAD" w14:textId="77777777" w:rsidR="009415E6" w:rsidRDefault="009415E6" w:rsidP="009415E6">
                  <w:pPr>
                    <w:spacing w:line="0" w:lineRule="atLeast"/>
                    <w:rPr>
                      <w:rFonts w:eastAsia="標楷體"/>
                    </w:rPr>
                  </w:pPr>
                  <w:r>
                    <w:rPr>
                      <w:rFonts w:eastAsia="標楷體" w:hint="eastAsia"/>
                    </w:rPr>
                    <w:t>小組報告</w:t>
                  </w:r>
                  <w:r>
                    <w:rPr>
                      <w:rFonts w:eastAsia="標楷體" w:hint="eastAsia"/>
                    </w:rPr>
                    <w:t>(</w:t>
                  </w:r>
                  <w:r>
                    <w:rPr>
                      <w:rFonts w:eastAsia="標楷體" w:hint="eastAsia"/>
                    </w:rPr>
                    <w:t>三</w:t>
                  </w:r>
                  <w:r>
                    <w:rPr>
                      <w:rFonts w:eastAsia="標楷體" w:hint="eastAsia"/>
                    </w:rPr>
                    <w:t>) (</w:t>
                  </w:r>
                  <w:r>
                    <w:rPr>
                      <w:rFonts w:eastAsia="標楷體" w:hint="eastAsia"/>
                    </w:rPr>
                    <w:t>四</w:t>
                  </w:r>
                  <w:r>
                    <w:rPr>
                      <w:rFonts w:eastAsia="標楷體" w:hint="eastAsia"/>
                    </w:rPr>
                    <w:t>)</w:t>
                  </w:r>
                </w:p>
              </w:tc>
            </w:tr>
            <w:tr w:rsidR="009415E6" w14:paraId="52D27686" w14:textId="77777777" w:rsidTr="006404C6">
              <w:trPr>
                <w:jc w:val="center"/>
              </w:trPr>
              <w:tc>
                <w:tcPr>
                  <w:tcW w:w="712" w:type="dxa"/>
                </w:tcPr>
                <w:p w14:paraId="330A2E89" w14:textId="77777777" w:rsidR="009415E6" w:rsidRDefault="009415E6" w:rsidP="009415E6">
                  <w:pPr>
                    <w:spacing w:line="0" w:lineRule="atLeast"/>
                    <w:jc w:val="center"/>
                    <w:rPr>
                      <w:rFonts w:eastAsia="標楷體"/>
                    </w:rPr>
                  </w:pPr>
                  <w:r>
                    <w:rPr>
                      <w:rFonts w:eastAsia="標楷體" w:hint="eastAsia"/>
                    </w:rPr>
                    <w:t>15</w:t>
                  </w:r>
                </w:p>
              </w:tc>
              <w:tc>
                <w:tcPr>
                  <w:tcW w:w="5393" w:type="dxa"/>
                </w:tcPr>
                <w:p w14:paraId="28A8124A" w14:textId="77777777" w:rsidR="009415E6" w:rsidRDefault="009415E6" w:rsidP="009415E6">
                  <w:pPr>
                    <w:spacing w:line="0" w:lineRule="atLeast"/>
                    <w:rPr>
                      <w:rFonts w:eastAsia="標楷體"/>
                    </w:rPr>
                  </w:pPr>
                  <w:r w:rsidRPr="0078631B">
                    <w:rPr>
                      <w:rFonts w:ascii="標楷體" w:eastAsia="標楷體" w:hAnsi="標楷體" w:hint="eastAsia"/>
                    </w:rPr>
                    <w:t>《</w:t>
                  </w:r>
                  <w:r w:rsidRPr="000D5E0B">
                    <w:rPr>
                      <w:rFonts w:ascii="標楷體" w:eastAsia="標楷體" w:hAnsi="標楷體" w:hint="eastAsia"/>
                    </w:rPr>
                    <w:t>手塚治虫傑作選「</w:t>
                  </w:r>
                  <w:r>
                    <w:rPr>
                      <w:rFonts w:ascii="標楷體" w:eastAsia="標楷體" w:hAnsi="標楷體" w:hint="eastAsia"/>
                    </w:rPr>
                    <w:t>拯救瀕死的地球</w:t>
                  </w:r>
                  <w:r w:rsidRPr="000D5E0B">
                    <w:rPr>
                      <w:rFonts w:ascii="標楷體" w:eastAsia="標楷體" w:hAnsi="標楷體" w:hint="eastAsia"/>
                    </w:rPr>
                    <w:t>篇」</w:t>
                  </w:r>
                  <w:r w:rsidRPr="0078631B">
                    <w:rPr>
                      <w:rFonts w:ascii="標楷體" w:eastAsia="標楷體" w:hAnsi="標楷體" w:hint="eastAsia"/>
                    </w:rPr>
                    <w:t>》</w:t>
                  </w:r>
                  <w:r>
                    <w:rPr>
                      <w:rFonts w:ascii="標楷體" w:eastAsia="標楷體" w:hAnsi="標楷體" w:hint="eastAsia"/>
                    </w:rPr>
                    <w:t>與環保議題</w:t>
                  </w:r>
                </w:p>
              </w:tc>
            </w:tr>
            <w:tr w:rsidR="009415E6" w14:paraId="7DF39DEE" w14:textId="77777777" w:rsidTr="006404C6">
              <w:trPr>
                <w:jc w:val="center"/>
              </w:trPr>
              <w:tc>
                <w:tcPr>
                  <w:tcW w:w="712" w:type="dxa"/>
                </w:tcPr>
                <w:p w14:paraId="6F19E41E" w14:textId="77777777" w:rsidR="009415E6" w:rsidRDefault="009415E6" w:rsidP="009415E6">
                  <w:pPr>
                    <w:spacing w:line="0" w:lineRule="atLeast"/>
                    <w:jc w:val="center"/>
                    <w:rPr>
                      <w:rFonts w:eastAsia="標楷體"/>
                    </w:rPr>
                  </w:pPr>
                  <w:r>
                    <w:rPr>
                      <w:rFonts w:eastAsia="標楷體" w:hint="eastAsia"/>
                    </w:rPr>
                    <w:t>16</w:t>
                  </w:r>
                </w:p>
              </w:tc>
              <w:tc>
                <w:tcPr>
                  <w:tcW w:w="5393" w:type="dxa"/>
                </w:tcPr>
                <w:p w14:paraId="4F515340" w14:textId="77777777" w:rsidR="009415E6" w:rsidRDefault="009415E6" w:rsidP="009415E6">
                  <w:pPr>
                    <w:spacing w:line="0" w:lineRule="atLeast"/>
                    <w:rPr>
                      <w:rFonts w:eastAsia="標楷體"/>
                    </w:rPr>
                  </w:pPr>
                  <w:r>
                    <w:rPr>
                      <w:rFonts w:eastAsia="標楷體" w:hint="eastAsia"/>
                    </w:rPr>
                    <w:t>小組報告</w:t>
                  </w:r>
                  <w:r>
                    <w:rPr>
                      <w:rFonts w:eastAsia="標楷體" w:hint="eastAsia"/>
                    </w:rPr>
                    <w:t>(</w:t>
                  </w:r>
                  <w:r>
                    <w:rPr>
                      <w:rFonts w:eastAsia="標楷體" w:hint="eastAsia"/>
                    </w:rPr>
                    <w:t>五</w:t>
                  </w:r>
                  <w:r>
                    <w:rPr>
                      <w:rFonts w:eastAsia="標楷體" w:hint="eastAsia"/>
                    </w:rPr>
                    <w:t>) (</w:t>
                  </w:r>
                  <w:r>
                    <w:rPr>
                      <w:rFonts w:eastAsia="標楷體" w:hint="eastAsia"/>
                    </w:rPr>
                    <w:t>六</w:t>
                  </w:r>
                  <w:r>
                    <w:rPr>
                      <w:rFonts w:eastAsia="標楷體" w:hint="eastAsia"/>
                    </w:rPr>
                    <w:t>)</w:t>
                  </w:r>
                </w:p>
              </w:tc>
            </w:tr>
            <w:tr w:rsidR="009415E6" w14:paraId="0AF69BDE" w14:textId="77777777" w:rsidTr="006404C6">
              <w:trPr>
                <w:jc w:val="center"/>
              </w:trPr>
              <w:tc>
                <w:tcPr>
                  <w:tcW w:w="712" w:type="dxa"/>
                </w:tcPr>
                <w:p w14:paraId="05FEB1F2" w14:textId="77777777" w:rsidR="009415E6" w:rsidRDefault="009415E6" w:rsidP="009415E6">
                  <w:pPr>
                    <w:spacing w:line="0" w:lineRule="atLeast"/>
                    <w:jc w:val="center"/>
                    <w:rPr>
                      <w:rFonts w:eastAsia="標楷體"/>
                    </w:rPr>
                  </w:pPr>
                  <w:r>
                    <w:rPr>
                      <w:rFonts w:eastAsia="標楷體" w:hint="eastAsia"/>
                    </w:rPr>
                    <w:t>17</w:t>
                  </w:r>
                </w:p>
              </w:tc>
              <w:tc>
                <w:tcPr>
                  <w:tcW w:w="5393" w:type="dxa"/>
                </w:tcPr>
                <w:p w14:paraId="16FD3568" w14:textId="77777777" w:rsidR="009415E6" w:rsidRDefault="009415E6" w:rsidP="009415E6">
                  <w:pPr>
                    <w:spacing w:line="0" w:lineRule="atLeast"/>
                    <w:rPr>
                      <w:rFonts w:eastAsia="標楷體"/>
                    </w:rPr>
                  </w:pPr>
                  <w:r>
                    <w:rPr>
                      <w:rFonts w:eastAsia="標楷體" w:hint="eastAsia"/>
                    </w:rPr>
                    <w:t>綜合討論</w:t>
                  </w:r>
                </w:p>
              </w:tc>
            </w:tr>
            <w:tr w:rsidR="009415E6" w14:paraId="3C751E8A" w14:textId="77777777" w:rsidTr="006404C6">
              <w:trPr>
                <w:jc w:val="center"/>
              </w:trPr>
              <w:tc>
                <w:tcPr>
                  <w:tcW w:w="712" w:type="dxa"/>
                </w:tcPr>
                <w:p w14:paraId="31C65942" w14:textId="77777777" w:rsidR="009415E6" w:rsidRDefault="009415E6" w:rsidP="009415E6">
                  <w:pPr>
                    <w:spacing w:line="0" w:lineRule="atLeast"/>
                    <w:jc w:val="center"/>
                    <w:rPr>
                      <w:rFonts w:eastAsia="標楷體"/>
                    </w:rPr>
                  </w:pPr>
                  <w:r>
                    <w:rPr>
                      <w:rFonts w:eastAsia="標楷體" w:hint="eastAsia"/>
                    </w:rPr>
                    <w:t>18</w:t>
                  </w:r>
                </w:p>
              </w:tc>
              <w:tc>
                <w:tcPr>
                  <w:tcW w:w="5393" w:type="dxa"/>
                </w:tcPr>
                <w:p w14:paraId="215B0901" w14:textId="77777777" w:rsidR="009415E6" w:rsidRPr="000C6CA2" w:rsidRDefault="009415E6" w:rsidP="009415E6">
                  <w:pPr>
                    <w:spacing w:line="0" w:lineRule="atLeast"/>
                    <w:rPr>
                      <w:rFonts w:ascii="標楷體" w:eastAsia="標楷體" w:hAnsi="標楷體"/>
                    </w:rPr>
                  </w:pPr>
                  <w:r>
                    <w:rPr>
                      <w:rFonts w:ascii="標楷體" w:eastAsia="標楷體" w:hAnsi="標楷體" w:hint="eastAsia"/>
                    </w:rPr>
                    <w:t>期末考</w:t>
                  </w:r>
                </w:p>
              </w:tc>
            </w:tr>
          </w:tbl>
          <w:p w14:paraId="7421704B" w14:textId="77777777" w:rsidR="009415E6" w:rsidRDefault="009415E6" w:rsidP="009415E6">
            <w:pPr>
              <w:spacing w:line="0" w:lineRule="atLeast"/>
              <w:rPr>
                <w:rFonts w:eastAsia="標楷體"/>
              </w:rPr>
            </w:pPr>
          </w:p>
          <w:p w14:paraId="41DDD71F" w14:textId="77777777" w:rsidR="009415E6" w:rsidRDefault="009415E6" w:rsidP="009415E6">
            <w:pPr>
              <w:spacing w:line="0" w:lineRule="atLeast"/>
              <w:rPr>
                <w:rFonts w:eastAsia="標楷體"/>
              </w:rPr>
            </w:pPr>
            <w:r>
              <w:rPr>
                <w:rFonts w:eastAsia="標楷體" w:hint="eastAsia"/>
              </w:rPr>
              <w:t>每週課程進度說明：</w:t>
            </w:r>
          </w:p>
          <w:p w14:paraId="76928D0F" w14:textId="77777777" w:rsidR="009415E6" w:rsidRDefault="009415E6" w:rsidP="009415E6">
            <w:pPr>
              <w:spacing w:line="0" w:lineRule="atLeast"/>
              <w:rPr>
                <w:rFonts w:eastAsia="標楷體" w:hAnsi="標楷體"/>
                <w:b/>
              </w:rPr>
            </w:pPr>
            <w:r>
              <w:rPr>
                <w:rFonts w:ascii="標楷體" w:eastAsia="標楷體" w:hAnsi="標楷體" w:hint="eastAsia"/>
                <w:b/>
              </w:rPr>
              <w:t>■第1週：「</w:t>
            </w:r>
            <w:r>
              <w:rPr>
                <w:rFonts w:eastAsia="標楷體" w:hAnsi="標楷體" w:hint="eastAsia"/>
                <w:b/>
              </w:rPr>
              <w:t>課程導言</w:t>
            </w:r>
            <w:r>
              <w:rPr>
                <w:rFonts w:ascii="標楷體" w:eastAsia="標楷體" w:hAnsi="標楷體" w:hint="eastAsia"/>
                <w:b/>
              </w:rPr>
              <w:t>」</w:t>
            </w:r>
          </w:p>
          <w:p w14:paraId="6F3A7F9E" w14:textId="77777777" w:rsidR="009415E6" w:rsidRPr="00133829" w:rsidRDefault="009415E6" w:rsidP="009415E6">
            <w:pPr>
              <w:pStyle w:val="ab"/>
              <w:numPr>
                <w:ilvl w:val="0"/>
                <w:numId w:val="1"/>
              </w:numPr>
              <w:ind w:leftChars="0"/>
              <w:rPr>
                <w:rFonts w:eastAsia="標楷體" w:hAnsi="標楷體"/>
              </w:rPr>
            </w:pPr>
            <w:r w:rsidRPr="00133829">
              <w:rPr>
                <w:rFonts w:eastAsia="標楷體" w:hAnsi="標楷體" w:hint="eastAsia"/>
              </w:rPr>
              <w:t>課程內容：第一週上課主要說明教學理念、課程目標、課程進度、評分標準與授課方式。</w:t>
            </w:r>
          </w:p>
          <w:p w14:paraId="323EC450" w14:textId="77777777" w:rsidR="009415E6" w:rsidRPr="00133829" w:rsidRDefault="009415E6" w:rsidP="009415E6">
            <w:pPr>
              <w:numPr>
                <w:ilvl w:val="0"/>
                <w:numId w:val="1"/>
              </w:numPr>
              <w:rPr>
                <w:rFonts w:eastAsia="標楷體" w:hAnsi="標楷體"/>
              </w:rPr>
            </w:pPr>
            <w:r w:rsidRPr="00133829">
              <w:rPr>
                <w:rFonts w:eastAsia="標楷體" w:hAnsi="標楷體" w:hint="eastAsia"/>
              </w:rPr>
              <w:t>教學</w:t>
            </w:r>
            <w:r>
              <w:rPr>
                <w:rFonts w:eastAsia="標楷體" w:hAnsi="標楷體" w:hint="eastAsia"/>
              </w:rPr>
              <w:t>方法：教師講授</w:t>
            </w:r>
            <w:r w:rsidRPr="00AC28C2">
              <w:rPr>
                <w:rFonts w:eastAsia="標楷體" w:hAnsi="標楷體" w:hint="eastAsia"/>
              </w:rPr>
              <w:t>、學生提問、師生共同討論</w:t>
            </w:r>
            <w:r w:rsidRPr="00133829">
              <w:rPr>
                <w:rFonts w:eastAsia="標楷體" w:hAnsi="標楷體" w:hint="eastAsia"/>
              </w:rPr>
              <w:t>。</w:t>
            </w:r>
          </w:p>
          <w:p w14:paraId="2CFE0AE7" w14:textId="77777777" w:rsidR="009415E6" w:rsidRPr="00133829" w:rsidRDefault="009415E6" w:rsidP="009415E6">
            <w:pPr>
              <w:spacing w:line="0" w:lineRule="atLeast"/>
              <w:rPr>
                <w:rFonts w:eastAsia="標楷體"/>
              </w:rPr>
            </w:pPr>
          </w:p>
          <w:p w14:paraId="28F51197" w14:textId="77777777" w:rsidR="009415E6" w:rsidRDefault="009415E6" w:rsidP="009415E6">
            <w:pPr>
              <w:spacing w:line="0" w:lineRule="atLeast"/>
              <w:rPr>
                <w:rFonts w:eastAsia="標楷體" w:hAnsi="標楷體"/>
                <w:b/>
              </w:rPr>
            </w:pPr>
            <w:r>
              <w:rPr>
                <w:rFonts w:ascii="標楷體" w:eastAsia="標楷體" w:hAnsi="標楷體" w:hint="eastAsia"/>
                <w:b/>
              </w:rPr>
              <w:t>■第2週：</w:t>
            </w:r>
            <w:r w:rsidRPr="00916887">
              <w:rPr>
                <w:rFonts w:ascii="標楷體" w:eastAsia="標楷體" w:hAnsi="標楷體" w:hint="eastAsia"/>
                <w:b/>
              </w:rPr>
              <w:t>「</w:t>
            </w:r>
            <w:r w:rsidRPr="007727B0">
              <w:rPr>
                <w:rFonts w:ascii="標楷體" w:eastAsia="標楷體" w:hAnsi="標楷體" w:hint="eastAsia"/>
                <w:b/>
              </w:rPr>
              <w:t>《多羅羅》的電車難題</w:t>
            </w:r>
            <w:r w:rsidRPr="00916887">
              <w:rPr>
                <w:rFonts w:ascii="標楷體" w:eastAsia="標楷體" w:hAnsi="標楷體" w:hint="eastAsia"/>
                <w:b/>
              </w:rPr>
              <w:t>」</w:t>
            </w:r>
          </w:p>
          <w:p w14:paraId="5CB0A73E" w14:textId="77777777" w:rsidR="009415E6" w:rsidRPr="00133829" w:rsidRDefault="009415E6" w:rsidP="009415E6">
            <w:pPr>
              <w:numPr>
                <w:ilvl w:val="0"/>
                <w:numId w:val="15"/>
              </w:numPr>
              <w:rPr>
                <w:rFonts w:eastAsia="標楷體" w:hAnsi="標楷體"/>
              </w:rPr>
            </w:pPr>
            <w:r>
              <w:rPr>
                <w:rFonts w:eastAsia="標楷體" w:hAnsi="標楷體" w:hint="eastAsia"/>
              </w:rPr>
              <w:t>課程內容：日本漫畫之神手塚治虫的作品《多羅羅</w:t>
            </w:r>
            <w:r w:rsidRPr="00133829">
              <w:rPr>
                <w:rFonts w:eastAsia="標楷體" w:hAnsi="標楷體" w:hint="eastAsia"/>
              </w:rPr>
              <w:t>》</w:t>
            </w:r>
            <w:r>
              <w:rPr>
                <w:rFonts w:eastAsia="標楷體" w:hAnsi="標楷體" w:hint="eastAsia"/>
              </w:rPr>
              <w:t>，內容講述一個甫出生便被</w:t>
            </w:r>
            <w:r>
              <w:rPr>
                <w:rFonts w:eastAsia="標楷體" w:hAnsi="標楷體" w:hint="eastAsia"/>
              </w:rPr>
              <w:t>48</w:t>
            </w:r>
            <w:r>
              <w:rPr>
                <w:rFonts w:eastAsia="標楷體" w:hAnsi="標楷體" w:hint="eastAsia"/>
              </w:rPr>
              <w:t>個魔神取走全身器官的領主之子百鬼丸，在被收養、長大之後四處斬殺魔神以奪回器官的故事</w:t>
            </w:r>
            <w:r w:rsidRPr="00133829">
              <w:rPr>
                <w:rFonts w:eastAsia="標楷體" w:hAnsi="標楷體" w:hint="eastAsia"/>
              </w:rPr>
              <w:t>。</w:t>
            </w:r>
            <w:r>
              <w:rPr>
                <w:rFonts w:eastAsia="標楷體" w:hAnsi="標楷體" w:hint="eastAsia"/>
              </w:rPr>
              <w:t>由於故事背景是日本亂世，戰爭頻仍、民不聊生，人們在生存與良知之間，面臨了各種兩難的道德抉擇。</w:t>
            </w:r>
          </w:p>
          <w:p w14:paraId="000CEA1E" w14:textId="77777777" w:rsidR="009415E6" w:rsidRDefault="009415E6" w:rsidP="009415E6">
            <w:pPr>
              <w:numPr>
                <w:ilvl w:val="0"/>
                <w:numId w:val="15"/>
              </w:numPr>
              <w:rPr>
                <w:rFonts w:eastAsia="標楷體" w:hAnsi="標楷體"/>
              </w:rPr>
            </w:pPr>
            <w:r w:rsidRPr="00133829">
              <w:rPr>
                <w:rFonts w:eastAsia="標楷體" w:hAnsi="標楷體" w:hint="eastAsia"/>
              </w:rPr>
              <w:t>教學方法：教師講授</w:t>
            </w:r>
            <w:r w:rsidRPr="00AC28C2">
              <w:rPr>
                <w:rFonts w:eastAsia="標楷體" w:hAnsi="標楷體" w:hint="eastAsia"/>
              </w:rPr>
              <w:t>、學生提問、師生共同討論</w:t>
            </w:r>
            <w:r w:rsidRPr="00133829">
              <w:rPr>
                <w:rFonts w:eastAsia="標楷體" w:hAnsi="標楷體" w:hint="eastAsia"/>
              </w:rPr>
              <w:t>。</w:t>
            </w:r>
          </w:p>
          <w:p w14:paraId="0A7E264B" w14:textId="77777777" w:rsidR="009415E6" w:rsidRDefault="009415E6" w:rsidP="009415E6">
            <w:pPr>
              <w:numPr>
                <w:ilvl w:val="0"/>
                <w:numId w:val="15"/>
              </w:numPr>
              <w:rPr>
                <w:rFonts w:eastAsia="標楷體" w:hAnsi="標楷體"/>
              </w:rPr>
            </w:pPr>
            <w:r w:rsidRPr="00606BD1">
              <w:rPr>
                <w:rFonts w:eastAsia="標楷體" w:hAnsi="標楷體" w:hint="eastAsia"/>
              </w:rPr>
              <w:t>延伸閱讀：《正義：一場思辨之旅》</w:t>
            </w:r>
            <w:r>
              <w:rPr>
                <w:rFonts w:eastAsia="標楷體" w:hAnsi="標楷體" w:hint="eastAsia"/>
              </w:rPr>
              <w:t>第二章關於功利主義的討論。</w:t>
            </w:r>
          </w:p>
          <w:p w14:paraId="248FB0DD" w14:textId="77777777" w:rsidR="009415E6" w:rsidRPr="00B15CBB" w:rsidRDefault="009415E6" w:rsidP="009415E6">
            <w:pPr>
              <w:rPr>
                <w:rFonts w:eastAsia="標楷體" w:hAnsi="標楷體"/>
              </w:rPr>
            </w:pPr>
          </w:p>
          <w:p w14:paraId="3780D676" w14:textId="77777777" w:rsidR="009415E6" w:rsidRDefault="009415E6" w:rsidP="009415E6">
            <w:pPr>
              <w:spacing w:line="0" w:lineRule="atLeast"/>
              <w:rPr>
                <w:rFonts w:eastAsia="標楷體" w:hAnsi="標楷體"/>
                <w:b/>
              </w:rPr>
            </w:pPr>
            <w:r>
              <w:rPr>
                <w:rFonts w:ascii="標楷體" w:eastAsia="標楷體" w:hAnsi="標楷體" w:hint="eastAsia"/>
                <w:b/>
              </w:rPr>
              <w:t>■第3週：</w:t>
            </w:r>
            <w:r w:rsidRPr="00916887">
              <w:rPr>
                <w:rFonts w:ascii="標楷體" w:eastAsia="標楷體" w:hAnsi="標楷體" w:hint="eastAsia"/>
                <w:b/>
              </w:rPr>
              <w:t>「</w:t>
            </w:r>
            <w:r w:rsidRPr="007727B0">
              <w:rPr>
                <w:rFonts w:ascii="標楷體" w:eastAsia="標楷體" w:hAnsi="標楷體" w:hint="eastAsia"/>
                <w:b/>
              </w:rPr>
              <w:t>《死亡筆記本》的正義觀</w:t>
            </w:r>
            <w:r w:rsidRPr="00916887">
              <w:rPr>
                <w:rFonts w:ascii="標楷體" w:eastAsia="標楷體" w:hAnsi="標楷體" w:hint="eastAsia"/>
                <w:b/>
              </w:rPr>
              <w:t>」</w:t>
            </w:r>
          </w:p>
          <w:p w14:paraId="64B03BC4" w14:textId="77777777" w:rsidR="009415E6" w:rsidRDefault="009415E6" w:rsidP="009415E6">
            <w:pPr>
              <w:numPr>
                <w:ilvl w:val="0"/>
                <w:numId w:val="2"/>
              </w:numPr>
              <w:rPr>
                <w:rFonts w:eastAsia="標楷體"/>
              </w:rPr>
            </w:pPr>
            <w:r>
              <w:rPr>
                <w:rFonts w:eastAsia="標楷體" w:hAnsi="標楷體" w:hint="eastAsia"/>
              </w:rPr>
              <w:t>課程內容：《死亡筆記本</w:t>
            </w:r>
            <w:r w:rsidRPr="00191529">
              <w:rPr>
                <w:rFonts w:eastAsia="標楷體" w:hAnsi="標楷體" w:hint="eastAsia"/>
              </w:rPr>
              <w:t>》</w:t>
            </w:r>
            <w:r>
              <w:rPr>
                <w:rFonts w:eastAsia="標楷體" w:hAnsi="標楷體" w:hint="eastAsia"/>
              </w:rPr>
              <w:t>的男主角全日本學業成績最優秀的高中生夜神月，無意間撿到一本死神遺落人間的筆記本，自此只要知道每個人的姓名與長相，便可以決定所有人的生死；但是否人們犯下重罪就該死</w:t>
            </w:r>
            <w:r>
              <w:rPr>
                <w:rFonts w:eastAsia="標楷體" w:hAnsi="標楷體" w:hint="eastAsia"/>
              </w:rPr>
              <w:t>?</w:t>
            </w:r>
            <w:r>
              <w:rPr>
                <w:rFonts w:eastAsia="標楷體" w:hAnsi="標楷體" w:hint="eastAsia"/>
              </w:rPr>
              <w:t>是否把罪犯都處死，社會就和平</w:t>
            </w:r>
            <w:r>
              <w:rPr>
                <w:rFonts w:eastAsia="標楷體" w:hAnsi="標楷體" w:hint="eastAsia"/>
              </w:rPr>
              <w:t>?</w:t>
            </w:r>
            <w:r>
              <w:rPr>
                <w:rFonts w:eastAsia="標楷體" w:hAnsi="標楷體" w:hint="eastAsia"/>
              </w:rPr>
              <w:t>夜神月的正義感值得讀者進一步深思。</w:t>
            </w:r>
          </w:p>
          <w:p w14:paraId="57F1B24E" w14:textId="77777777" w:rsidR="009415E6" w:rsidRPr="00606BD1" w:rsidRDefault="009415E6" w:rsidP="009415E6">
            <w:pPr>
              <w:numPr>
                <w:ilvl w:val="0"/>
                <w:numId w:val="2"/>
              </w:numPr>
              <w:rPr>
                <w:rFonts w:eastAsia="標楷體"/>
              </w:rPr>
            </w:pPr>
            <w:r>
              <w:rPr>
                <w:rFonts w:eastAsia="標楷體" w:hAnsi="標楷體" w:hint="eastAsia"/>
              </w:rPr>
              <w:t>教學方法：教師講授</w:t>
            </w:r>
            <w:r w:rsidRPr="00AC28C2">
              <w:rPr>
                <w:rFonts w:eastAsia="標楷體" w:hAnsi="標楷體" w:hint="eastAsia"/>
              </w:rPr>
              <w:t>、學生提問、師生共同討論</w:t>
            </w:r>
            <w:r>
              <w:rPr>
                <w:rFonts w:eastAsia="標楷體" w:hAnsi="標楷體" w:hint="eastAsia"/>
              </w:rPr>
              <w:t>。</w:t>
            </w:r>
          </w:p>
          <w:p w14:paraId="6E524DF3" w14:textId="77777777" w:rsidR="009415E6" w:rsidRDefault="009415E6" w:rsidP="009415E6">
            <w:pPr>
              <w:numPr>
                <w:ilvl w:val="0"/>
                <w:numId w:val="2"/>
              </w:numPr>
              <w:rPr>
                <w:rFonts w:eastAsia="標楷體"/>
              </w:rPr>
            </w:pPr>
            <w:r w:rsidRPr="00606BD1">
              <w:rPr>
                <w:rFonts w:eastAsia="標楷體" w:hint="eastAsia"/>
              </w:rPr>
              <w:t>延伸閱讀：《</w:t>
            </w:r>
            <w:r>
              <w:rPr>
                <w:rFonts w:eastAsia="標楷體" w:hint="eastAsia"/>
              </w:rPr>
              <w:t>海賊王的哲學課》第三</w:t>
            </w:r>
            <w:r w:rsidRPr="00606BD1">
              <w:rPr>
                <w:rFonts w:eastAsia="標楷體" w:hint="eastAsia"/>
              </w:rPr>
              <w:t>章關於</w:t>
            </w:r>
            <w:r>
              <w:rPr>
                <w:rFonts w:eastAsia="標楷體" w:hint="eastAsia"/>
              </w:rPr>
              <w:t>正義</w:t>
            </w:r>
            <w:r w:rsidRPr="00606BD1">
              <w:rPr>
                <w:rFonts w:eastAsia="標楷體" w:hint="eastAsia"/>
              </w:rPr>
              <w:t>的討論</w:t>
            </w:r>
            <w:r>
              <w:rPr>
                <w:rFonts w:eastAsia="標楷體" w:hint="eastAsia"/>
              </w:rPr>
              <w:t>。</w:t>
            </w:r>
          </w:p>
          <w:p w14:paraId="66854788" w14:textId="77777777" w:rsidR="009415E6" w:rsidRDefault="009415E6" w:rsidP="009415E6">
            <w:pPr>
              <w:spacing w:line="0" w:lineRule="atLeast"/>
              <w:rPr>
                <w:rFonts w:eastAsia="標楷體"/>
              </w:rPr>
            </w:pPr>
          </w:p>
          <w:p w14:paraId="221607BF" w14:textId="77777777" w:rsidR="009415E6" w:rsidRDefault="009415E6" w:rsidP="009415E6">
            <w:pPr>
              <w:spacing w:line="0" w:lineRule="atLeast"/>
              <w:rPr>
                <w:rFonts w:eastAsia="標楷體" w:hAnsi="標楷體"/>
                <w:b/>
              </w:rPr>
            </w:pPr>
            <w:r>
              <w:rPr>
                <w:rFonts w:ascii="標楷體" w:eastAsia="標楷體" w:hAnsi="標楷體" w:hint="eastAsia"/>
                <w:b/>
              </w:rPr>
              <w:t>■第4週：「</w:t>
            </w:r>
            <w:r w:rsidRPr="006F2DAE">
              <w:rPr>
                <w:rFonts w:eastAsia="標楷體" w:hAnsi="標楷體" w:hint="eastAsia"/>
                <w:b/>
              </w:rPr>
              <w:t>《怪物</w:t>
            </w:r>
            <w:r w:rsidRPr="003F6DF7">
              <w:rPr>
                <w:rFonts w:eastAsia="標楷體" w:hint="eastAsia"/>
              </w:rPr>
              <w:t>MONSTER</w:t>
            </w:r>
            <w:r w:rsidRPr="006F2DAE">
              <w:rPr>
                <w:rFonts w:eastAsia="標楷體" w:hAnsi="標楷體" w:hint="eastAsia"/>
                <w:b/>
              </w:rPr>
              <w:t>》的善惡觀</w:t>
            </w:r>
            <w:r>
              <w:rPr>
                <w:rFonts w:ascii="標楷體" w:eastAsia="標楷體" w:hAnsi="標楷體" w:hint="eastAsia"/>
                <w:b/>
              </w:rPr>
              <w:t>」</w:t>
            </w:r>
          </w:p>
          <w:p w14:paraId="4233EDF9" w14:textId="77777777" w:rsidR="009415E6" w:rsidRPr="006F2DAE" w:rsidRDefault="009415E6" w:rsidP="009415E6">
            <w:pPr>
              <w:numPr>
                <w:ilvl w:val="0"/>
                <w:numId w:val="3"/>
              </w:numPr>
              <w:rPr>
                <w:rFonts w:eastAsia="標楷體"/>
              </w:rPr>
            </w:pPr>
            <w:r>
              <w:rPr>
                <w:rFonts w:eastAsia="標楷體" w:hint="eastAsia"/>
              </w:rPr>
              <w:t>浦澤直樹的</w:t>
            </w:r>
            <w:r w:rsidRPr="003F6DF7">
              <w:rPr>
                <w:rFonts w:eastAsia="標楷體" w:hint="eastAsia"/>
              </w:rPr>
              <w:t>《怪物》（</w:t>
            </w:r>
            <w:r w:rsidRPr="003F6DF7">
              <w:rPr>
                <w:rFonts w:eastAsia="標楷體" w:hint="eastAsia"/>
              </w:rPr>
              <w:t>MONSTER</w:t>
            </w:r>
            <w:r w:rsidRPr="003F6DF7">
              <w:rPr>
                <w:rFonts w:eastAsia="標楷體" w:hint="eastAsia"/>
              </w:rPr>
              <w:t>）</w:t>
            </w:r>
            <w:r>
              <w:rPr>
                <w:rFonts w:eastAsia="標楷體" w:hint="eastAsia"/>
              </w:rPr>
              <w:t>，內容主要在講述</w:t>
            </w:r>
            <w:r w:rsidRPr="003F6DF7">
              <w:rPr>
                <w:rFonts w:eastAsia="標楷體" w:hint="eastAsia"/>
              </w:rPr>
              <w:t>日籍天才腦外科醫生天馬賢三</w:t>
            </w:r>
            <w:r>
              <w:rPr>
                <w:rFonts w:eastAsia="標楷體" w:hint="eastAsia"/>
              </w:rPr>
              <w:t>，某次用精湛的手術救活了</w:t>
            </w:r>
            <w:r w:rsidRPr="003F6DF7">
              <w:rPr>
                <w:rFonts w:eastAsia="標楷體" w:hint="eastAsia"/>
              </w:rPr>
              <w:t>頭部因槍擊而重傷的</w:t>
            </w:r>
            <w:r w:rsidRPr="003F6DF7">
              <w:rPr>
                <w:rFonts w:eastAsia="標楷體" w:hint="eastAsia"/>
              </w:rPr>
              <w:t>12</w:t>
            </w:r>
            <w:r>
              <w:rPr>
                <w:rFonts w:eastAsia="標楷體" w:hint="eastAsia"/>
              </w:rPr>
              <w:t>歲少年約翰，多年之後卻發現約翰是個泯滅人性的殺人魔；天馬醫生在自責之餘，遂決定親自追殺約翰，而在這個過程中，天馬醫生也開始重新思考人命的價值與善惡的本質。</w:t>
            </w:r>
          </w:p>
          <w:p w14:paraId="5D3D3D27" w14:textId="77777777" w:rsidR="009415E6" w:rsidRPr="00606BD1" w:rsidRDefault="009415E6" w:rsidP="009415E6">
            <w:pPr>
              <w:numPr>
                <w:ilvl w:val="0"/>
                <w:numId w:val="3"/>
              </w:numPr>
              <w:rPr>
                <w:rFonts w:eastAsia="標楷體"/>
              </w:rPr>
            </w:pPr>
            <w:r>
              <w:rPr>
                <w:rFonts w:eastAsia="標楷體" w:hAnsi="標楷體" w:hint="eastAsia"/>
              </w:rPr>
              <w:t>教學方法：教師講授</w:t>
            </w:r>
            <w:r w:rsidRPr="00AC28C2">
              <w:rPr>
                <w:rFonts w:eastAsia="標楷體" w:hAnsi="標楷體" w:hint="eastAsia"/>
              </w:rPr>
              <w:t>、學生提問、師生共同討論</w:t>
            </w:r>
            <w:r>
              <w:rPr>
                <w:rFonts w:eastAsia="標楷體" w:hAnsi="標楷體" w:hint="eastAsia"/>
              </w:rPr>
              <w:t>。</w:t>
            </w:r>
          </w:p>
          <w:p w14:paraId="115FD6E4" w14:textId="77777777" w:rsidR="009415E6" w:rsidRPr="00606BD1" w:rsidRDefault="009415E6" w:rsidP="009415E6">
            <w:pPr>
              <w:pStyle w:val="ab"/>
              <w:numPr>
                <w:ilvl w:val="0"/>
                <w:numId w:val="3"/>
              </w:numPr>
              <w:ind w:leftChars="0"/>
              <w:rPr>
                <w:rFonts w:eastAsia="標楷體"/>
              </w:rPr>
            </w:pPr>
            <w:r w:rsidRPr="00606BD1">
              <w:rPr>
                <w:rFonts w:eastAsia="標楷體" w:hint="eastAsia"/>
              </w:rPr>
              <w:t>延伸閱讀：</w:t>
            </w:r>
            <w:r w:rsidRPr="00E10052">
              <w:rPr>
                <w:rFonts w:eastAsia="標楷體" w:hint="eastAsia"/>
              </w:rPr>
              <w:t>《中國人性論史：先秦篇》</w:t>
            </w:r>
            <w:r>
              <w:rPr>
                <w:rFonts w:eastAsia="標楷體" w:hint="eastAsia"/>
              </w:rPr>
              <w:t>第六</w:t>
            </w:r>
            <w:r w:rsidRPr="00606BD1">
              <w:rPr>
                <w:rFonts w:eastAsia="標楷體" w:hint="eastAsia"/>
              </w:rPr>
              <w:t>章關於</w:t>
            </w:r>
            <w:r>
              <w:rPr>
                <w:rFonts w:eastAsia="標楷體" w:hint="eastAsia"/>
              </w:rPr>
              <w:t>孟子性善觀</w:t>
            </w:r>
            <w:r w:rsidRPr="00606BD1">
              <w:rPr>
                <w:rFonts w:eastAsia="標楷體" w:hint="eastAsia"/>
              </w:rPr>
              <w:t>的討論</w:t>
            </w:r>
            <w:r>
              <w:rPr>
                <w:rFonts w:eastAsia="標楷體" w:hint="eastAsia"/>
              </w:rPr>
              <w:t>、</w:t>
            </w:r>
            <w:r w:rsidRPr="001C30B0">
              <w:rPr>
                <w:rFonts w:eastAsia="標楷體" w:hint="eastAsia"/>
              </w:rPr>
              <w:t>《</w:t>
            </w:r>
            <w:r>
              <w:rPr>
                <w:rFonts w:eastAsia="標楷體" w:hint="eastAsia"/>
              </w:rPr>
              <w:t>什麼是惡</w:t>
            </w:r>
            <w:r>
              <w:rPr>
                <w:rFonts w:eastAsia="標楷體" w:hint="eastAsia"/>
              </w:rPr>
              <w:t>?</w:t>
            </w:r>
            <w:r w:rsidRPr="001C30B0">
              <w:rPr>
                <w:rFonts w:eastAsia="標楷體" w:hint="eastAsia"/>
              </w:rPr>
              <w:t>》</w:t>
            </w:r>
            <w:r>
              <w:rPr>
                <w:rFonts w:eastAsia="標楷體" w:hint="eastAsia"/>
              </w:rPr>
              <w:t>第一章關於惡的討論</w:t>
            </w:r>
            <w:r w:rsidRPr="00606BD1">
              <w:rPr>
                <w:rFonts w:eastAsia="標楷體" w:hint="eastAsia"/>
              </w:rPr>
              <w:t>。</w:t>
            </w:r>
          </w:p>
          <w:p w14:paraId="24C39483" w14:textId="77777777" w:rsidR="009415E6" w:rsidRDefault="009415E6" w:rsidP="009415E6">
            <w:pPr>
              <w:spacing w:line="0" w:lineRule="atLeast"/>
              <w:rPr>
                <w:rFonts w:eastAsia="標楷體"/>
              </w:rPr>
            </w:pPr>
          </w:p>
          <w:p w14:paraId="7E253B74" w14:textId="77777777" w:rsidR="009415E6" w:rsidRDefault="009415E6" w:rsidP="009415E6">
            <w:pPr>
              <w:spacing w:line="0" w:lineRule="atLeast"/>
              <w:rPr>
                <w:rFonts w:eastAsia="標楷體" w:hAnsi="標楷體"/>
                <w:b/>
              </w:rPr>
            </w:pPr>
            <w:r>
              <w:rPr>
                <w:rFonts w:ascii="標楷體" w:eastAsia="標楷體" w:hAnsi="標楷體" w:hint="eastAsia"/>
                <w:b/>
              </w:rPr>
              <w:t>■第5週：「</w:t>
            </w:r>
            <w:r w:rsidRPr="006F2DAE">
              <w:rPr>
                <w:rFonts w:ascii="標楷體" w:eastAsia="標楷體" w:hAnsi="標楷體" w:hint="eastAsia"/>
                <w:b/>
              </w:rPr>
              <w:t>《進擊的巨人》與種族主義</w:t>
            </w:r>
            <w:r>
              <w:rPr>
                <w:rFonts w:ascii="標楷體" w:eastAsia="標楷體" w:hAnsi="標楷體" w:hint="eastAsia"/>
                <w:b/>
              </w:rPr>
              <w:t>」</w:t>
            </w:r>
          </w:p>
          <w:p w14:paraId="7566D77C" w14:textId="77777777" w:rsidR="009415E6" w:rsidRPr="006158B0" w:rsidRDefault="009415E6" w:rsidP="009415E6">
            <w:pPr>
              <w:pStyle w:val="ab"/>
              <w:numPr>
                <w:ilvl w:val="0"/>
                <w:numId w:val="4"/>
              </w:numPr>
              <w:ind w:leftChars="0"/>
              <w:rPr>
                <w:rFonts w:eastAsia="標楷體"/>
              </w:rPr>
            </w:pPr>
            <w:r w:rsidRPr="006F2DAE">
              <w:rPr>
                <w:rFonts w:eastAsia="標楷體" w:hint="eastAsia"/>
              </w:rPr>
              <w:t>課程內容：諫山創的首部連載漫畫《進擊的巨人》，靠著懸疑的劇情與熱血精神，自推出以來一直是讀者心中的神作，尤其當後半部諸多謎團逐漸揭曉之後，令人震驚的真相，也帶出更多值得探討的問題。而其中最鮮明的主題便是被妖魔化與歧視的巨人後代如</w:t>
            </w:r>
            <w:r>
              <w:rPr>
                <w:rFonts w:eastAsia="標楷體" w:hint="eastAsia"/>
              </w:rPr>
              <w:t>何面對並決定自己的未來，這個問題的答案在漫畫連載結束之後，仍然是眾多</w:t>
            </w:r>
            <w:r w:rsidRPr="006F2DAE">
              <w:rPr>
                <w:rFonts w:eastAsia="標楷體" w:hint="eastAsia"/>
              </w:rPr>
              <w:t>讀者持續討論的議題。</w:t>
            </w:r>
          </w:p>
          <w:p w14:paraId="0565A41D" w14:textId="77777777" w:rsidR="009415E6" w:rsidRPr="00DA2D84" w:rsidRDefault="009415E6" w:rsidP="009415E6">
            <w:pPr>
              <w:numPr>
                <w:ilvl w:val="0"/>
                <w:numId w:val="4"/>
              </w:numPr>
              <w:rPr>
                <w:rFonts w:eastAsia="標楷體"/>
              </w:rPr>
            </w:pPr>
            <w:r>
              <w:rPr>
                <w:rFonts w:eastAsia="標楷體" w:hAnsi="標楷體" w:hint="eastAsia"/>
              </w:rPr>
              <w:t>教學方法：教師講授</w:t>
            </w:r>
            <w:r w:rsidRPr="00AC28C2">
              <w:rPr>
                <w:rFonts w:eastAsia="標楷體" w:hAnsi="標楷體" w:hint="eastAsia"/>
              </w:rPr>
              <w:t>、學生提問、師生共同討論</w:t>
            </w:r>
            <w:r>
              <w:rPr>
                <w:rFonts w:eastAsia="標楷體" w:hAnsi="標楷體" w:hint="eastAsia"/>
              </w:rPr>
              <w:t>。</w:t>
            </w:r>
          </w:p>
          <w:p w14:paraId="2755ADF3" w14:textId="77777777" w:rsidR="009415E6" w:rsidRPr="00DA2D84" w:rsidRDefault="009415E6" w:rsidP="009415E6">
            <w:pPr>
              <w:pStyle w:val="ab"/>
              <w:numPr>
                <w:ilvl w:val="0"/>
                <w:numId w:val="4"/>
              </w:numPr>
              <w:ind w:leftChars="0"/>
              <w:rPr>
                <w:rFonts w:eastAsia="標楷體"/>
              </w:rPr>
            </w:pPr>
            <w:r>
              <w:rPr>
                <w:rFonts w:eastAsia="標楷體" w:hint="eastAsia"/>
              </w:rPr>
              <w:t>延伸閱讀：《海賊王的哲學課》第五</w:t>
            </w:r>
            <w:r w:rsidRPr="00DA2D84">
              <w:rPr>
                <w:rFonts w:eastAsia="標楷體" w:hint="eastAsia"/>
              </w:rPr>
              <w:t>章</w:t>
            </w:r>
            <w:r>
              <w:rPr>
                <w:rFonts w:eastAsia="標楷體" w:hint="eastAsia"/>
              </w:rPr>
              <w:t>第四節</w:t>
            </w:r>
            <w:r w:rsidRPr="00DA2D84">
              <w:rPr>
                <w:rFonts w:eastAsia="標楷體" w:hint="eastAsia"/>
              </w:rPr>
              <w:t>「</w:t>
            </w:r>
            <w:r>
              <w:rPr>
                <w:rFonts w:eastAsia="標楷體" w:hint="eastAsia"/>
              </w:rPr>
              <w:t>艾斯與存在主義</w:t>
            </w:r>
            <w:r w:rsidRPr="00DA2D84">
              <w:rPr>
                <w:rFonts w:eastAsia="標楷體" w:hint="eastAsia"/>
              </w:rPr>
              <w:t>」。</w:t>
            </w:r>
          </w:p>
          <w:p w14:paraId="1CFF0CB6" w14:textId="77777777" w:rsidR="009415E6" w:rsidRDefault="009415E6" w:rsidP="009415E6">
            <w:pPr>
              <w:spacing w:line="0" w:lineRule="atLeast"/>
              <w:rPr>
                <w:rFonts w:eastAsia="標楷體"/>
              </w:rPr>
            </w:pPr>
          </w:p>
          <w:p w14:paraId="7F9755E4" w14:textId="77777777" w:rsidR="009415E6" w:rsidRDefault="009415E6" w:rsidP="009415E6">
            <w:pPr>
              <w:spacing w:line="0" w:lineRule="atLeast"/>
              <w:rPr>
                <w:rFonts w:eastAsia="標楷體" w:hAnsi="標楷體"/>
                <w:b/>
              </w:rPr>
            </w:pPr>
            <w:r>
              <w:rPr>
                <w:rFonts w:ascii="標楷體" w:eastAsia="標楷體" w:hAnsi="標楷體" w:hint="eastAsia"/>
                <w:b/>
              </w:rPr>
              <w:t>■第6週：「</w:t>
            </w:r>
            <w:r w:rsidRPr="00916887">
              <w:rPr>
                <w:rFonts w:eastAsia="標楷體" w:hAnsi="標楷體" w:hint="eastAsia"/>
                <w:b/>
              </w:rPr>
              <w:t>《東京喰種》的人類中心主義</w:t>
            </w:r>
            <w:r>
              <w:rPr>
                <w:rFonts w:ascii="標楷體" w:eastAsia="標楷體" w:hAnsi="標楷體" w:hint="eastAsia"/>
                <w:b/>
              </w:rPr>
              <w:t>」</w:t>
            </w:r>
          </w:p>
          <w:p w14:paraId="6BC6F95F" w14:textId="77777777" w:rsidR="009415E6" w:rsidRPr="006F2DAE" w:rsidRDefault="009415E6" w:rsidP="009415E6">
            <w:pPr>
              <w:pStyle w:val="ab"/>
              <w:numPr>
                <w:ilvl w:val="0"/>
                <w:numId w:val="5"/>
              </w:numPr>
              <w:ind w:leftChars="0"/>
              <w:rPr>
                <w:rFonts w:eastAsia="標楷體" w:hAnsi="標楷體"/>
              </w:rPr>
            </w:pPr>
            <w:r w:rsidRPr="006F2DAE">
              <w:rPr>
                <w:rFonts w:eastAsia="標楷體" w:hAnsi="標楷體" w:hint="eastAsia"/>
              </w:rPr>
              <w:t>課程內容：「《東京喰種》的故事設定是在人類世界中還存在著另一種以人類為食的生物</w:t>
            </w:r>
            <w:r w:rsidRPr="006F2DAE">
              <w:rPr>
                <w:rFonts w:eastAsia="標楷體" w:hAnsi="標楷體"/>
              </w:rPr>
              <w:t>--</w:t>
            </w:r>
            <w:r w:rsidRPr="006F2DAE">
              <w:rPr>
                <w:rFonts w:eastAsia="標楷體" w:hAnsi="標楷體" w:hint="eastAsia"/>
              </w:rPr>
              <w:t>喰種</w:t>
            </w:r>
            <w:r w:rsidRPr="006F2DAE">
              <w:rPr>
                <w:rFonts w:eastAsia="標楷體" w:hAnsi="標楷體"/>
              </w:rPr>
              <w:t>(</w:t>
            </w:r>
            <w:r w:rsidRPr="006F2DAE">
              <w:rPr>
                <w:rFonts w:eastAsia="標楷體" w:hAnsi="標楷體" w:hint="eastAsia"/>
              </w:rPr>
              <w:t>或譯為食屍鬼</w:t>
            </w:r>
            <w:r w:rsidRPr="006F2DAE">
              <w:rPr>
                <w:rFonts w:eastAsia="標楷體" w:hAnsi="標楷體"/>
              </w:rPr>
              <w:t>)</w:t>
            </w:r>
            <w:r w:rsidRPr="006F2DAE">
              <w:rPr>
                <w:rFonts w:eastAsia="標楷體" w:hAnsi="標楷體" w:hint="eastAsia"/>
              </w:rPr>
              <w:t>，所以人類變成立了專門機構</w:t>
            </w:r>
            <w:r w:rsidRPr="006F2DAE">
              <w:rPr>
                <w:rFonts w:eastAsia="標楷體" w:hAnsi="標楷體"/>
              </w:rPr>
              <w:t>CCG</w:t>
            </w:r>
            <w:r w:rsidRPr="006F2DAE">
              <w:rPr>
                <w:rFonts w:eastAsia="標楷體" w:hAnsi="標楷體" w:hint="eastAsia"/>
              </w:rPr>
              <w:t>來獵殺喰種。故事中的主角金木研因為移植了喰種器官而成為半人半喰種的特殊人類，由於體質的改變而被迫與較無威脅性的喰種一起生活；而也因為此種雙重身份，讓金木看到了不同物種在生存競爭上的衝突與矛盾，並重新思考人類中心主義的合理性。</w:t>
            </w:r>
          </w:p>
          <w:p w14:paraId="4B59A0EE" w14:textId="77777777" w:rsidR="009415E6" w:rsidRDefault="009415E6" w:rsidP="009415E6">
            <w:pPr>
              <w:numPr>
                <w:ilvl w:val="0"/>
                <w:numId w:val="5"/>
              </w:numPr>
              <w:rPr>
                <w:rFonts w:eastAsia="標楷體"/>
              </w:rPr>
            </w:pPr>
            <w:r>
              <w:rPr>
                <w:rFonts w:eastAsia="標楷體" w:hAnsi="標楷體" w:hint="eastAsia"/>
              </w:rPr>
              <w:t>教學方法：教師講授</w:t>
            </w:r>
            <w:r w:rsidRPr="00AC28C2">
              <w:rPr>
                <w:rFonts w:eastAsia="標楷體" w:hAnsi="標楷體" w:hint="eastAsia"/>
              </w:rPr>
              <w:t>、學生提問、師生共同討論</w:t>
            </w:r>
            <w:r>
              <w:rPr>
                <w:rFonts w:eastAsia="標楷體" w:hAnsi="標楷體" w:hint="eastAsia"/>
              </w:rPr>
              <w:t>。</w:t>
            </w:r>
          </w:p>
          <w:p w14:paraId="487FA832" w14:textId="77777777" w:rsidR="009415E6" w:rsidRDefault="009415E6" w:rsidP="009415E6">
            <w:pPr>
              <w:spacing w:line="0" w:lineRule="atLeast"/>
              <w:rPr>
                <w:rFonts w:eastAsia="標楷體"/>
              </w:rPr>
            </w:pPr>
          </w:p>
          <w:p w14:paraId="646468EB" w14:textId="77777777" w:rsidR="009415E6" w:rsidRDefault="009415E6" w:rsidP="009415E6">
            <w:pPr>
              <w:spacing w:line="0" w:lineRule="atLeast"/>
              <w:rPr>
                <w:rFonts w:eastAsia="標楷體" w:hAnsi="標楷體"/>
                <w:b/>
              </w:rPr>
            </w:pPr>
            <w:r>
              <w:rPr>
                <w:rFonts w:ascii="標楷體" w:eastAsia="標楷體" w:hAnsi="標楷體" w:hint="eastAsia"/>
                <w:b/>
              </w:rPr>
              <w:t>■第7週：「</w:t>
            </w:r>
            <w:r w:rsidRPr="007727B0">
              <w:rPr>
                <w:rFonts w:eastAsia="標楷體" w:hAnsi="標楷體" w:hint="eastAsia"/>
                <w:b/>
              </w:rPr>
              <w:t>《鬼滅之刃》的家庭倫理</w:t>
            </w:r>
            <w:r>
              <w:rPr>
                <w:rFonts w:ascii="標楷體" w:eastAsia="標楷體" w:hAnsi="標楷體" w:hint="eastAsia"/>
                <w:b/>
              </w:rPr>
              <w:t>」</w:t>
            </w:r>
          </w:p>
          <w:p w14:paraId="7B19E8A4" w14:textId="77777777" w:rsidR="009415E6" w:rsidRDefault="009415E6" w:rsidP="009415E6">
            <w:pPr>
              <w:numPr>
                <w:ilvl w:val="0"/>
                <w:numId w:val="6"/>
              </w:numPr>
              <w:rPr>
                <w:rFonts w:eastAsia="標楷體"/>
              </w:rPr>
            </w:pPr>
            <w:r>
              <w:rPr>
                <w:rFonts w:eastAsia="標楷體" w:hAnsi="標楷體" w:hint="eastAsia"/>
              </w:rPr>
              <w:t>課程內容：</w:t>
            </w:r>
            <w:r w:rsidRPr="00BD5B0F">
              <w:rPr>
                <w:rFonts w:eastAsia="標楷體" w:hAnsi="標楷體" w:hint="eastAsia"/>
              </w:rPr>
              <w:t>吾峠呼世晴</w:t>
            </w:r>
            <w:r>
              <w:rPr>
                <w:rFonts w:eastAsia="標楷體" w:hAnsi="標楷體" w:hint="eastAsia"/>
              </w:rPr>
              <w:t>的</w:t>
            </w:r>
            <w:r w:rsidRPr="00547AA6">
              <w:rPr>
                <w:rFonts w:eastAsia="標楷體" w:hAnsi="標楷體" w:hint="eastAsia"/>
              </w:rPr>
              <w:t>《鬼滅之刃》</w:t>
            </w:r>
            <w:r>
              <w:rPr>
                <w:rFonts w:eastAsia="標楷體" w:hAnsi="標楷體" w:hint="eastAsia"/>
              </w:rPr>
              <w:t>可說是當前全球最火熱的日本動漫，雖然內容牽涉到殺鬼情節而難免有血腥、暴力的成分，但卻還是被定位為適合全家觀賞的作品，其主要原因就是作者在殘酷的故事裡展現出對親情與家庭倫理的濃厚關懷，不管是主角</w:t>
            </w:r>
            <w:r w:rsidRPr="00547AA6">
              <w:rPr>
                <w:rFonts w:eastAsia="標楷體" w:hAnsi="標楷體" w:hint="eastAsia"/>
              </w:rPr>
              <w:t>竈門炭治郎</w:t>
            </w:r>
            <w:r>
              <w:rPr>
                <w:rFonts w:eastAsia="標楷體" w:hAnsi="標楷體" w:hint="eastAsia"/>
              </w:rPr>
              <w:t>與變成鬼的妹妹</w:t>
            </w:r>
            <w:r w:rsidRPr="00547AA6">
              <w:rPr>
                <w:rFonts w:eastAsia="標楷體" w:hAnsi="標楷體" w:hint="eastAsia"/>
              </w:rPr>
              <w:t>禰</w:t>
            </w:r>
            <w:r>
              <w:rPr>
                <w:rFonts w:eastAsia="標楷體" w:hAnsi="標楷體" w:hint="eastAsia"/>
              </w:rPr>
              <w:t>豆子之間真摯的情誼，或者是那些產生變異卻仍渴望家庭溫暖的鬼，都讓觀眾在冰冷無情的殺戮世界中，感受到些許的人性光輝，也讓我們得以重新思考家庭與親情的本質意義。</w:t>
            </w:r>
          </w:p>
          <w:p w14:paraId="2BFEE3A6" w14:textId="77777777" w:rsidR="009415E6" w:rsidRPr="00E863D6" w:rsidRDefault="009415E6" w:rsidP="009415E6">
            <w:pPr>
              <w:pStyle w:val="ab"/>
              <w:numPr>
                <w:ilvl w:val="0"/>
                <w:numId w:val="6"/>
              </w:numPr>
              <w:ind w:leftChars="0"/>
              <w:rPr>
                <w:rFonts w:eastAsia="標楷體" w:hAnsi="標楷體"/>
              </w:rPr>
            </w:pPr>
            <w:r w:rsidRPr="00E863D6">
              <w:rPr>
                <w:rFonts w:eastAsia="標楷體" w:hAnsi="標楷體" w:hint="eastAsia"/>
              </w:rPr>
              <w:t>教學方法：教師講授</w:t>
            </w:r>
            <w:r w:rsidRPr="00AC28C2">
              <w:rPr>
                <w:rFonts w:eastAsia="標楷體" w:hAnsi="標楷體" w:hint="eastAsia"/>
              </w:rPr>
              <w:t>、學生提問、師生共同討論</w:t>
            </w:r>
            <w:r w:rsidRPr="00E863D6">
              <w:rPr>
                <w:rFonts w:eastAsia="標楷體" w:hAnsi="標楷體" w:hint="eastAsia"/>
              </w:rPr>
              <w:t>。</w:t>
            </w:r>
          </w:p>
          <w:p w14:paraId="6C702BBF" w14:textId="77777777" w:rsidR="009415E6" w:rsidRPr="00E863D6" w:rsidRDefault="009415E6" w:rsidP="009415E6">
            <w:pPr>
              <w:spacing w:line="0" w:lineRule="atLeast"/>
              <w:rPr>
                <w:rFonts w:eastAsia="標楷體"/>
              </w:rPr>
            </w:pPr>
          </w:p>
          <w:p w14:paraId="264B336D" w14:textId="77777777" w:rsidR="009415E6" w:rsidRDefault="009415E6" w:rsidP="009415E6">
            <w:pPr>
              <w:spacing w:line="0" w:lineRule="atLeast"/>
              <w:rPr>
                <w:rFonts w:eastAsia="標楷體" w:hAnsi="標楷體"/>
                <w:b/>
              </w:rPr>
            </w:pPr>
            <w:r>
              <w:rPr>
                <w:rFonts w:ascii="標楷體" w:eastAsia="標楷體" w:hAnsi="標楷體" w:hint="eastAsia"/>
                <w:b/>
              </w:rPr>
              <w:t>■第8週：「</w:t>
            </w:r>
            <w:r>
              <w:rPr>
                <w:rFonts w:eastAsia="標楷體" w:hAnsi="標楷體" w:hint="eastAsia"/>
                <w:b/>
              </w:rPr>
              <w:t>《愛在雨過天晴時》的純愛宣言</w:t>
            </w:r>
            <w:r>
              <w:rPr>
                <w:rFonts w:ascii="標楷體" w:eastAsia="標楷體" w:hAnsi="標楷體" w:hint="eastAsia"/>
                <w:b/>
              </w:rPr>
              <w:t>」</w:t>
            </w:r>
          </w:p>
          <w:p w14:paraId="2E00ABF3" w14:textId="77777777" w:rsidR="009415E6" w:rsidRDefault="009415E6" w:rsidP="009415E6">
            <w:pPr>
              <w:numPr>
                <w:ilvl w:val="0"/>
                <w:numId w:val="7"/>
              </w:numPr>
              <w:rPr>
                <w:rFonts w:eastAsia="標楷體"/>
              </w:rPr>
            </w:pPr>
            <w:r>
              <w:rPr>
                <w:rFonts w:eastAsia="標楷體" w:hAnsi="標楷體" w:hint="eastAsia"/>
              </w:rPr>
              <w:t>課程內容：</w:t>
            </w:r>
            <w:r w:rsidRPr="00C70735">
              <w:rPr>
                <w:rFonts w:eastAsia="標楷體" w:hAnsi="標楷體" w:hint="eastAsia"/>
              </w:rPr>
              <w:t>眉月啍</w:t>
            </w:r>
            <w:r>
              <w:rPr>
                <w:rFonts w:eastAsia="標楷體" w:hAnsi="標楷體" w:hint="eastAsia"/>
              </w:rPr>
              <w:t>的</w:t>
            </w:r>
            <w:r w:rsidRPr="00BD5B0F">
              <w:rPr>
                <w:rFonts w:eastAsia="標楷體" w:hAnsi="標楷體" w:hint="eastAsia"/>
              </w:rPr>
              <w:t>《愛在雨過天晴時》</w:t>
            </w:r>
            <w:r>
              <w:rPr>
                <w:rFonts w:eastAsia="標楷體" w:hAnsi="標楷體" w:hint="eastAsia"/>
              </w:rPr>
              <w:t>是部暖心的戀愛小品，雖然表</w:t>
            </w:r>
            <w:r>
              <w:rPr>
                <w:rFonts w:eastAsia="標楷體" w:hAnsi="標楷體" w:hint="eastAsia"/>
              </w:rPr>
              <w:lastRenderedPageBreak/>
              <w:t>面上講的是</w:t>
            </w:r>
            <w:r w:rsidRPr="00BD5B0F">
              <w:rPr>
                <w:rFonts w:eastAsia="標楷體" w:hAnsi="標楷體" w:hint="eastAsia"/>
              </w:rPr>
              <w:t>高中</w:t>
            </w:r>
            <w:r w:rsidRPr="00BD5B0F">
              <w:rPr>
                <w:rFonts w:eastAsia="標楷體" w:hAnsi="標楷體" w:hint="eastAsia"/>
              </w:rPr>
              <w:t>2</w:t>
            </w:r>
            <w:r w:rsidRPr="00BD5B0F">
              <w:rPr>
                <w:rFonts w:eastAsia="標楷體" w:hAnsi="標楷體" w:hint="eastAsia"/>
              </w:rPr>
              <w:t>年級女生橘晶（</w:t>
            </w:r>
            <w:r w:rsidRPr="00BD5B0F">
              <w:rPr>
                <w:rFonts w:eastAsia="標楷體" w:hAnsi="標楷體" w:hint="eastAsia"/>
              </w:rPr>
              <w:t>17</w:t>
            </w:r>
            <w:r w:rsidRPr="00BD5B0F">
              <w:rPr>
                <w:rFonts w:eastAsia="標楷體" w:hAnsi="標楷體" w:hint="eastAsia"/>
              </w:rPr>
              <w:t>歲）</w:t>
            </w:r>
            <w:r>
              <w:rPr>
                <w:rFonts w:eastAsia="標楷體" w:hAnsi="標楷體" w:hint="eastAsia"/>
              </w:rPr>
              <w:t>與打工</w:t>
            </w:r>
            <w:r w:rsidRPr="00BD5B0F">
              <w:rPr>
                <w:rFonts w:eastAsia="標楷體" w:hAnsi="標楷體" w:hint="eastAsia"/>
              </w:rPr>
              <w:t>的家庭餐廳</w:t>
            </w:r>
            <w:r>
              <w:rPr>
                <w:rFonts w:eastAsia="標楷體" w:hAnsi="標楷體" w:hint="eastAsia"/>
              </w:rPr>
              <w:t>已婚</w:t>
            </w:r>
            <w:r w:rsidRPr="00BD5B0F">
              <w:rPr>
                <w:rFonts w:eastAsia="標楷體" w:hAnsi="標楷體" w:hint="eastAsia"/>
              </w:rPr>
              <w:t>店長近藤正己（</w:t>
            </w:r>
            <w:r w:rsidRPr="00BD5B0F">
              <w:rPr>
                <w:rFonts w:eastAsia="標楷體" w:hAnsi="標楷體" w:hint="eastAsia"/>
              </w:rPr>
              <w:t>45</w:t>
            </w:r>
            <w:r w:rsidRPr="00BD5B0F">
              <w:rPr>
                <w:rFonts w:eastAsia="標楷體" w:hAnsi="標楷體" w:hint="eastAsia"/>
              </w:rPr>
              <w:t>歲）</w:t>
            </w:r>
            <w:r>
              <w:rPr>
                <w:rFonts w:eastAsia="標楷體" w:hAnsi="標楷體" w:hint="eastAsia"/>
              </w:rPr>
              <w:t>之間的不倫戀，但這部漫畫與眾不同的地方就在於作者並未俗套地安排各種灑狗血情節與帶有毀滅性的結局，而是讓這段短暫的戀情成為照亮男女雙方生命的陽光，讓愛情成為一種救贖，也讓讀者對於愛情有了另一種想像的空間。</w:t>
            </w:r>
          </w:p>
          <w:p w14:paraId="6AD14A76" w14:textId="77777777" w:rsidR="009415E6" w:rsidRPr="00E863D6" w:rsidRDefault="009415E6" w:rsidP="009415E6">
            <w:pPr>
              <w:pStyle w:val="ab"/>
              <w:numPr>
                <w:ilvl w:val="0"/>
                <w:numId w:val="7"/>
              </w:numPr>
              <w:ind w:leftChars="0"/>
              <w:rPr>
                <w:rFonts w:eastAsia="標楷體" w:hAnsi="標楷體"/>
              </w:rPr>
            </w:pPr>
            <w:r w:rsidRPr="00E863D6">
              <w:rPr>
                <w:rFonts w:eastAsia="標楷體" w:hAnsi="標楷體" w:hint="eastAsia"/>
              </w:rPr>
              <w:t>教學方法：教師講授</w:t>
            </w:r>
            <w:r w:rsidRPr="00AC28C2">
              <w:rPr>
                <w:rFonts w:eastAsia="標楷體" w:hAnsi="標楷體" w:hint="eastAsia"/>
              </w:rPr>
              <w:t>、學生提問、師生共同討論</w:t>
            </w:r>
            <w:r w:rsidRPr="00E863D6">
              <w:rPr>
                <w:rFonts w:eastAsia="標楷體" w:hAnsi="標楷體" w:hint="eastAsia"/>
              </w:rPr>
              <w:t>。</w:t>
            </w:r>
          </w:p>
          <w:p w14:paraId="7A22921E" w14:textId="77777777" w:rsidR="009415E6" w:rsidRPr="00E863D6" w:rsidRDefault="009415E6" w:rsidP="009415E6">
            <w:pPr>
              <w:spacing w:line="0" w:lineRule="atLeast"/>
              <w:rPr>
                <w:rFonts w:eastAsia="標楷體"/>
              </w:rPr>
            </w:pPr>
          </w:p>
          <w:p w14:paraId="1B4C6F7A" w14:textId="77777777" w:rsidR="009415E6" w:rsidRPr="00803A94" w:rsidRDefault="009415E6" w:rsidP="009415E6">
            <w:pPr>
              <w:spacing w:line="0" w:lineRule="atLeast"/>
              <w:rPr>
                <w:rFonts w:eastAsia="標楷體" w:hAnsi="標楷體"/>
                <w:b/>
              </w:rPr>
            </w:pPr>
            <w:r>
              <w:rPr>
                <w:rFonts w:ascii="標楷體" w:eastAsia="標楷體" w:hAnsi="標楷體" w:hint="eastAsia"/>
                <w:b/>
              </w:rPr>
              <w:t>■第9週：期中考</w:t>
            </w:r>
          </w:p>
          <w:p w14:paraId="5E5D686C" w14:textId="77777777" w:rsidR="009415E6" w:rsidRDefault="009415E6" w:rsidP="009415E6">
            <w:pPr>
              <w:spacing w:line="0" w:lineRule="atLeast"/>
              <w:rPr>
                <w:rFonts w:eastAsia="標楷體"/>
              </w:rPr>
            </w:pPr>
          </w:p>
          <w:p w14:paraId="407BCD8D" w14:textId="77777777" w:rsidR="009415E6" w:rsidRDefault="009415E6" w:rsidP="009415E6">
            <w:pPr>
              <w:spacing w:line="0" w:lineRule="atLeast"/>
              <w:rPr>
                <w:rFonts w:eastAsia="標楷體" w:hAnsi="標楷體"/>
                <w:b/>
              </w:rPr>
            </w:pPr>
            <w:r>
              <w:rPr>
                <w:rFonts w:ascii="標楷體" w:eastAsia="標楷體" w:hAnsi="標楷體" w:hint="eastAsia"/>
                <w:b/>
              </w:rPr>
              <w:t>■第10週：「</w:t>
            </w:r>
            <w:r w:rsidRPr="007727B0">
              <w:rPr>
                <w:rFonts w:eastAsia="標楷體" w:hAnsi="標楷體" w:hint="eastAsia"/>
                <w:b/>
              </w:rPr>
              <w:t>《浪人劍客》的自我追尋之旅</w:t>
            </w:r>
            <w:r>
              <w:rPr>
                <w:rFonts w:ascii="標楷體" w:eastAsia="標楷體" w:hAnsi="標楷體" w:hint="eastAsia"/>
                <w:b/>
              </w:rPr>
              <w:t>」</w:t>
            </w:r>
          </w:p>
          <w:p w14:paraId="68897DA6" w14:textId="77777777" w:rsidR="009415E6" w:rsidRDefault="009415E6" w:rsidP="009415E6">
            <w:pPr>
              <w:numPr>
                <w:ilvl w:val="0"/>
                <w:numId w:val="8"/>
              </w:numPr>
              <w:rPr>
                <w:rFonts w:eastAsia="標楷體"/>
              </w:rPr>
            </w:pPr>
            <w:r>
              <w:rPr>
                <w:rFonts w:eastAsia="標楷體" w:hAnsi="標楷體" w:hint="eastAsia"/>
              </w:rPr>
              <w:t>課程內容：</w:t>
            </w:r>
            <w:r w:rsidRPr="00874AE6">
              <w:rPr>
                <w:rFonts w:eastAsia="標楷體" w:hAnsi="標楷體" w:hint="eastAsia"/>
              </w:rPr>
              <w:t>井上雄彥</w:t>
            </w:r>
            <w:r>
              <w:rPr>
                <w:rFonts w:eastAsia="標楷體" w:hAnsi="標楷體" w:hint="eastAsia"/>
              </w:rPr>
              <w:t>的</w:t>
            </w:r>
            <w:r w:rsidRPr="00874AE6">
              <w:rPr>
                <w:rFonts w:eastAsia="標楷體" w:hAnsi="標楷體" w:hint="eastAsia"/>
              </w:rPr>
              <w:t>《浪人劍客》</w:t>
            </w:r>
            <w:r>
              <w:rPr>
                <w:rFonts w:eastAsia="標楷體" w:hAnsi="標楷體" w:hint="eastAsia"/>
              </w:rPr>
              <w:t>改編自吉川英治的小說</w:t>
            </w:r>
            <w:r w:rsidRPr="00874AE6">
              <w:rPr>
                <w:rFonts w:eastAsia="標楷體" w:hAnsi="標楷體" w:hint="eastAsia"/>
              </w:rPr>
              <w:t>《宮本武藏》，</w:t>
            </w:r>
            <w:r>
              <w:rPr>
                <w:rFonts w:eastAsia="標楷體" w:hAnsi="標楷體" w:hint="eastAsia"/>
              </w:rPr>
              <w:t>講述</w:t>
            </w:r>
            <w:r w:rsidRPr="00874AE6">
              <w:rPr>
                <w:rFonts w:eastAsia="標楷體" w:hAnsi="標楷體" w:hint="eastAsia"/>
              </w:rPr>
              <w:t>江戶時代初期</w:t>
            </w:r>
            <w:r>
              <w:rPr>
                <w:rFonts w:eastAsia="標楷體" w:hAnsi="標楷體" w:hint="eastAsia"/>
              </w:rPr>
              <w:t>劍豪宮本武藏透過習劍、比劍，不斷挑戰更強對手以成為天下無雙的過程。井上雄彥這部作品主要在闡發莊子</w:t>
            </w:r>
            <w:r w:rsidRPr="00A1491E">
              <w:rPr>
                <w:rFonts w:eastAsia="標楷體" w:hAnsi="標楷體" w:hint="eastAsia"/>
              </w:rPr>
              <w:t>「</w:t>
            </w:r>
            <w:r>
              <w:rPr>
                <w:rFonts w:eastAsia="標楷體" w:hAnsi="標楷體" w:hint="eastAsia"/>
              </w:rPr>
              <w:t>技進於道</w:t>
            </w:r>
            <w:r w:rsidRPr="00A1491E">
              <w:rPr>
                <w:rFonts w:eastAsia="標楷體" w:hAnsi="標楷體" w:hint="eastAsia"/>
              </w:rPr>
              <w:t>」</w:t>
            </w:r>
            <w:r>
              <w:rPr>
                <w:rFonts w:eastAsia="標楷體" w:hAnsi="標楷體" w:hint="eastAsia"/>
              </w:rPr>
              <w:t>的人生哲理，也就是當宮本武藏不斷擊敗比自己聲望更高的劍士，逐漸往天下無雙的劍術最高殿堂邁進時，也不斷在反省自己的存在意義，最後也終於體悟了無劍勝有劍的極致境界。</w:t>
            </w:r>
          </w:p>
          <w:p w14:paraId="7DA64AED" w14:textId="77777777" w:rsidR="009415E6" w:rsidRPr="00E863D6" w:rsidRDefault="009415E6" w:rsidP="009415E6">
            <w:pPr>
              <w:pStyle w:val="ab"/>
              <w:numPr>
                <w:ilvl w:val="0"/>
                <w:numId w:val="8"/>
              </w:numPr>
              <w:ind w:leftChars="0"/>
              <w:rPr>
                <w:rFonts w:eastAsia="標楷體" w:hAnsi="標楷體"/>
              </w:rPr>
            </w:pPr>
            <w:r w:rsidRPr="00E863D6">
              <w:rPr>
                <w:rFonts w:eastAsia="標楷體" w:hAnsi="標楷體" w:hint="eastAsia"/>
              </w:rPr>
              <w:t>教學方法：教師講授</w:t>
            </w:r>
            <w:r w:rsidRPr="00AC28C2">
              <w:rPr>
                <w:rFonts w:eastAsia="標楷體" w:hAnsi="標楷體" w:hint="eastAsia"/>
              </w:rPr>
              <w:t>、學生提問、師生共同討論</w:t>
            </w:r>
            <w:r w:rsidRPr="00E863D6">
              <w:rPr>
                <w:rFonts w:eastAsia="標楷體" w:hAnsi="標楷體" w:hint="eastAsia"/>
              </w:rPr>
              <w:t>。</w:t>
            </w:r>
          </w:p>
          <w:p w14:paraId="6F956F70" w14:textId="77777777" w:rsidR="009415E6" w:rsidRDefault="009415E6" w:rsidP="009415E6">
            <w:pPr>
              <w:spacing w:line="0" w:lineRule="atLeast"/>
              <w:rPr>
                <w:rFonts w:eastAsia="標楷體"/>
              </w:rPr>
            </w:pPr>
          </w:p>
          <w:p w14:paraId="52E119F1" w14:textId="77777777" w:rsidR="009415E6" w:rsidRDefault="009415E6" w:rsidP="009415E6">
            <w:pPr>
              <w:spacing w:line="0" w:lineRule="atLeast"/>
              <w:rPr>
                <w:rFonts w:eastAsia="標楷體" w:hAnsi="標楷體"/>
                <w:b/>
              </w:rPr>
            </w:pPr>
            <w:r>
              <w:rPr>
                <w:rFonts w:ascii="標楷體" w:eastAsia="標楷體" w:hAnsi="標楷體" w:hint="eastAsia"/>
                <w:b/>
              </w:rPr>
              <w:t>■第11週：「</w:t>
            </w:r>
            <w:r w:rsidRPr="007727B0">
              <w:rPr>
                <w:rFonts w:eastAsia="標楷體" w:hAnsi="標楷體" w:hint="eastAsia"/>
                <w:b/>
              </w:rPr>
              <w:t>《不道德的秘密》與存在主義</w:t>
            </w:r>
            <w:r>
              <w:rPr>
                <w:rFonts w:ascii="標楷體" w:eastAsia="標楷體" w:hAnsi="標楷體" w:hint="eastAsia"/>
                <w:b/>
              </w:rPr>
              <w:t>」</w:t>
            </w:r>
          </w:p>
          <w:p w14:paraId="20AD0EF1" w14:textId="77777777" w:rsidR="009415E6" w:rsidRDefault="009415E6" w:rsidP="009415E6">
            <w:pPr>
              <w:numPr>
                <w:ilvl w:val="0"/>
                <w:numId w:val="9"/>
              </w:numPr>
              <w:rPr>
                <w:rFonts w:eastAsia="標楷體"/>
              </w:rPr>
            </w:pPr>
            <w:r>
              <w:rPr>
                <w:rFonts w:eastAsia="標楷體" w:hAnsi="標楷體" w:hint="eastAsia"/>
              </w:rPr>
              <w:t>課程內容：古谷實在日本有著</w:t>
            </w:r>
            <w:r w:rsidRPr="00A1491E">
              <w:rPr>
                <w:rFonts w:eastAsia="標楷體" w:hAnsi="標楷體" w:hint="eastAsia"/>
              </w:rPr>
              <w:t>「</w:t>
            </w:r>
            <w:r>
              <w:rPr>
                <w:rFonts w:eastAsia="標楷體" w:hAnsi="標楷體" w:hint="eastAsia"/>
              </w:rPr>
              <w:t>漫畫界的村上春樹</w:t>
            </w:r>
            <w:r w:rsidRPr="00A1491E">
              <w:rPr>
                <w:rFonts w:eastAsia="標楷體" w:hAnsi="標楷體" w:hint="eastAsia"/>
              </w:rPr>
              <w:t>」</w:t>
            </w:r>
            <w:r>
              <w:rPr>
                <w:rFonts w:eastAsia="標楷體" w:hAnsi="標楷體" w:hint="eastAsia"/>
              </w:rPr>
              <w:t>之稱，而這部</w:t>
            </w:r>
            <w:r w:rsidRPr="0049045A">
              <w:rPr>
                <w:rFonts w:eastAsia="標楷體" w:hAnsi="標楷體" w:hint="eastAsia"/>
              </w:rPr>
              <w:t>《不道德的秘密》</w:t>
            </w:r>
            <w:r>
              <w:rPr>
                <w:rFonts w:eastAsia="標楷體" w:hAnsi="標楷體" w:hint="eastAsia"/>
              </w:rPr>
              <w:t>便是其探討現實黑暗面與存在意義的代表作。男主角住田是個國中生，家裡經營船屋，但父親在外欠下巨款，很少回家，母親後來也拋下小孩跟別的男人跑了，住田只能獨自經營船屋，直到父親又回來要錢。這部作品的主題跟法國存在主義小說家卡繆的</w:t>
            </w:r>
            <w:r w:rsidRPr="0072763F">
              <w:rPr>
                <w:rFonts w:eastAsia="標楷體" w:hAnsi="標楷體" w:hint="eastAsia"/>
              </w:rPr>
              <w:t>《</w:t>
            </w:r>
            <w:r>
              <w:rPr>
                <w:rFonts w:eastAsia="標楷體" w:hAnsi="標楷體" w:hint="eastAsia"/>
              </w:rPr>
              <w:t>異鄉人</w:t>
            </w:r>
            <w:r w:rsidRPr="0072763F">
              <w:rPr>
                <w:rFonts w:eastAsia="標楷體" w:hAnsi="標楷體" w:hint="eastAsia"/>
              </w:rPr>
              <w:t>》</w:t>
            </w:r>
            <w:r>
              <w:rPr>
                <w:rFonts w:eastAsia="標楷體" w:hAnsi="標楷體" w:hint="eastAsia"/>
              </w:rPr>
              <w:t>很類似，同樣都是在探討人跟人之間的疏離感與這個世界的荒謬，</w:t>
            </w:r>
            <w:r>
              <w:rPr>
                <w:rFonts w:eastAsia="標楷體" w:hint="eastAsia"/>
              </w:rPr>
              <w:t>雖然主題嚴肅而沉重，卻能迫使讀者直視並反思自身的存在問題。</w:t>
            </w:r>
          </w:p>
          <w:p w14:paraId="2A22E59B" w14:textId="77777777" w:rsidR="009415E6" w:rsidRDefault="009415E6" w:rsidP="009415E6">
            <w:pPr>
              <w:pStyle w:val="ab"/>
              <w:numPr>
                <w:ilvl w:val="0"/>
                <w:numId w:val="9"/>
              </w:numPr>
              <w:ind w:leftChars="0"/>
              <w:rPr>
                <w:rFonts w:eastAsia="標楷體" w:hAnsi="標楷體"/>
              </w:rPr>
            </w:pPr>
            <w:r w:rsidRPr="00E863D6">
              <w:rPr>
                <w:rFonts w:eastAsia="標楷體" w:hAnsi="標楷體" w:hint="eastAsia"/>
              </w:rPr>
              <w:t>教學方法：教師講授</w:t>
            </w:r>
            <w:r w:rsidRPr="00AC28C2">
              <w:rPr>
                <w:rFonts w:eastAsia="標楷體" w:hAnsi="標楷體" w:hint="eastAsia"/>
              </w:rPr>
              <w:t>、學生提問、師生共同討論</w:t>
            </w:r>
            <w:r w:rsidRPr="00E863D6">
              <w:rPr>
                <w:rFonts w:eastAsia="標楷體" w:hAnsi="標楷體" w:hint="eastAsia"/>
              </w:rPr>
              <w:t>。</w:t>
            </w:r>
          </w:p>
          <w:p w14:paraId="17CF2BAD" w14:textId="77777777" w:rsidR="009415E6" w:rsidRPr="00E863D6" w:rsidRDefault="009415E6" w:rsidP="009415E6">
            <w:pPr>
              <w:pStyle w:val="ab"/>
              <w:numPr>
                <w:ilvl w:val="0"/>
                <w:numId w:val="9"/>
              </w:numPr>
              <w:ind w:leftChars="0"/>
              <w:rPr>
                <w:rFonts w:eastAsia="標楷體" w:hAnsi="標楷體"/>
              </w:rPr>
            </w:pPr>
            <w:r w:rsidRPr="001C30B0">
              <w:rPr>
                <w:rFonts w:eastAsia="標楷體" w:hAnsi="標楷體" w:hint="eastAsia"/>
              </w:rPr>
              <w:t>延伸閱讀：《非理性的人：存在主義研究經典》第三章</w:t>
            </w:r>
            <w:r w:rsidRPr="001C30B0">
              <w:rPr>
                <w:rFonts w:ascii="標楷體" w:eastAsia="標楷體" w:hAnsi="標楷體" w:hint="eastAsia"/>
              </w:rPr>
              <w:t>「存在主義者」</w:t>
            </w:r>
            <w:r>
              <w:rPr>
                <w:rFonts w:ascii="標楷體" w:eastAsia="標楷體" w:hAnsi="標楷體" w:hint="eastAsia"/>
              </w:rPr>
              <w:t>。</w:t>
            </w:r>
          </w:p>
          <w:p w14:paraId="01CB4074" w14:textId="77777777" w:rsidR="009415E6" w:rsidRPr="00E863D6" w:rsidRDefault="009415E6" w:rsidP="009415E6">
            <w:pPr>
              <w:spacing w:line="0" w:lineRule="atLeast"/>
              <w:rPr>
                <w:rFonts w:eastAsia="標楷體"/>
              </w:rPr>
            </w:pPr>
          </w:p>
          <w:p w14:paraId="6D7442E2" w14:textId="77777777" w:rsidR="009415E6" w:rsidRDefault="009415E6" w:rsidP="009415E6">
            <w:pPr>
              <w:spacing w:line="0" w:lineRule="atLeast"/>
              <w:rPr>
                <w:rFonts w:eastAsia="標楷體" w:hAnsi="標楷體"/>
                <w:b/>
              </w:rPr>
            </w:pPr>
            <w:r>
              <w:rPr>
                <w:rFonts w:ascii="標楷體" w:eastAsia="標楷體" w:hAnsi="標楷體" w:hint="eastAsia"/>
                <w:b/>
              </w:rPr>
              <w:t>■第12週：</w:t>
            </w:r>
            <w:r w:rsidRPr="00831144">
              <w:rPr>
                <w:rFonts w:ascii="標楷體" w:eastAsia="標楷體" w:hAnsi="標楷體" w:hint="eastAsia"/>
                <w:b/>
              </w:rPr>
              <w:t>小組報告(一</w:t>
            </w:r>
            <w:r>
              <w:rPr>
                <w:rFonts w:ascii="標楷體" w:eastAsia="標楷體" w:hAnsi="標楷體" w:hint="eastAsia"/>
                <w:b/>
              </w:rPr>
              <w:t xml:space="preserve">) </w:t>
            </w:r>
            <w:r w:rsidRPr="00831144">
              <w:rPr>
                <w:rFonts w:ascii="標楷體" w:eastAsia="標楷體" w:hAnsi="標楷體" w:hint="eastAsia"/>
                <w:b/>
              </w:rPr>
              <w:t>(二)</w:t>
            </w:r>
          </w:p>
          <w:p w14:paraId="2036C068" w14:textId="77777777" w:rsidR="009415E6" w:rsidRDefault="009415E6" w:rsidP="009415E6">
            <w:pPr>
              <w:numPr>
                <w:ilvl w:val="0"/>
                <w:numId w:val="10"/>
              </w:numPr>
              <w:rPr>
                <w:rFonts w:eastAsia="標楷體"/>
              </w:rPr>
            </w:pPr>
            <w:r w:rsidRPr="00BE27C3">
              <w:rPr>
                <w:rFonts w:eastAsia="標楷體" w:hAnsi="標楷體" w:hint="eastAsia"/>
              </w:rPr>
              <w:t>由老師指定閱聽動漫作品或由學生自選</w:t>
            </w:r>
            <w:r w:rsidRPr="00BE27C3">
              <w:rPr>
                <w:rFonts w:eastAsia="標楷體" w:hAnsi="標楷體" w:hint="eastAsia"/>
              </w:rPr>
              <w:t>(</w:t>
            </w:r>
            <w:r w:rsidRPr="00BE27C3">
              <w:rPr>
                <w:rFonts w:eastAsia="標楷體" w:hAnsi="標楷體" w:hint="eastAsia"/>
              </w:rPr>
              <w:t>需詳述選材理由</w:t>
            </w:r>
            <w:r w:rsidRPr="00BE27C3">
              <w:rPr>
                <w:rFonts w:eastAsia="標楷體" w:hAnsi="標楷體" w:hint="eastAsia"/>
              </w:rPr>
              <w:t>)</w:t>
            </w:r>
            <w:r>
              <w:rPr>
                <w:rFonts w:eastAsia="標楷體" w:hAnsi="標楷體" w:hint="eastAsia"/>
              </w:rPr>
              <w:t>。</w:t>
            </w:r>
          </w:p>
          <w:p w14:paraId="6F801A57" w14:textId="77777777" w:rsidR="009415E6" w:rsidRPr="00E863D6" w:rsidRDefault="009415E6" w:rsidP="009415E6">
            <w:pPr>
              <w:pStyle w:val="ab"/>
              <w:numPr>
                <w:ilvl w:val="0"/>
                <w:numId w:val="10"/>
              </w:numPr>
              <w:ind w:leftChars="0"/>
              <w:rPr>
                <w:rFonts w:eastAsia="標楷體" w:hAnsi="標楷體"/>
              </w:rPr>
            </w:pPr>
            <w:r>
              <w:rPr>
                <w:rFonts w:eastAsia="標楷體" w:hAnsi="標楷體" w:hint="eastAsia"/>
              </w:rPr>
              <w:t>教學方法：學生報告、師生共同提問與</w:t>
            </w:r>
            <w:r w:rsidRPr="00E863D6">
              <w:rPr>
                <w:rFonts w:eastAsia="標楷體" w:hAnsi="標楷體" w:hint="eastAsia"/>
              </w:rPr>
              <w:t>討論。</w:t>
            </w:r>
          </w:p>
          <w:p w14:paraId="207F5D2A" w14:textId="77777777" w:rsidR="009415E6" w:rsidRPr="00E863D6" w:rsidRDefault="009415E6" w:rsidP="009415E6">
            <w:pPr>
              <w:spacing w:line="0" w:lineRule="atLeast"/>
              <w:rPr>
                <w:rFonts w:eastAsia="標楷體"/>
              </w:rPr>
            </w:pPr>
          </w:p>
          <w:p w14:paraId="5125DAEA" w14:textId="77777777" w:rsidR="009415E6" w:rsidRDefault="009415E6" w:rsidP="009415E6">
            <w:pPr>
              <w:spacing w:line="0" w:lineRule="atLeast"/>
              <w:rPr>
                <w:rFonts w:eastAsia="標楷體" w:hAnsi="標楷體"/>
                <w:b/>
              </w:rPr>
            </w:pPr>
            <w:r>
              <w:rPr>
                <w:rFonts w:ascii="標楷體" w:eastAsia="標楷體" w:hAnsi="標楷體" w:hint="eastAsia"/>
                <w:b/>
              </w:rPr>
              <w:t>■第13週：「</w:t>
            </w:r>
            <w:r w:rsidRPr="007727B0">
              <w:rPr>
                <w:rFonts w:eastAsia="標楷體" w:hAnsi="標楷體" w:hint="eastAsia"/>
                <w:b/>
              </w:rPr>
              <w:t>《死亡預告》的生命倫理</w:t>
            </w:r>
            <w:r>
              <w:rPr>
                <w:rFonts w:ascii="標楷體" w:eastAsia="標楷體" w:hAnsi="標楷體" w:hint="eastAsia"/>
                <w:b/>
              </w:rPr>
              <w:t>」</w:t>
            </w:r>
          </w:p>
          <w:p w14:paraId="344C27DD" w14:textId="77777777" w:rsidR="009415E6" w:rsidRDefault="009415E6" w:rsidP="009415E6">
            <w:pPr>
              <w:numPr>
                <w:ilvl w:val="0"/>
                <w:numId w:val="11"/>
              </w:numPr>
              <w:rPr>
                <w:rFonts w:eastAsia="標楷體"/>
              </w:rPr>
            </w:pPr>
            <w:r>
              <w:rPr>
                <w:rFonts w:eastAsia="標楷體" w:hAnsi="標楷體" w:hint="eastAsia"/>
              </w:rPr>
              <w:t>課程內容：</w:t>
            </w:r>
            <w:r w:rsidRPr="00DC61CF">
              <w:rPr>
                <w:rFonts w:eastAsia="標楷體" w:hAnsi="標楷體" w:hint="eastAsia"/>
              </w:rPr>
              <w:t>間瀨元朗</w:t>
            </w:r>
            <w:r>
              <w:rPr>
                <w:rFonts w:eastAsia="標楷體" w:hAnsi="標楷體" w:hint="eastAsia"/>
              </w:rPr>
              <w:t>在</w:t>
            </w:r>
            <w:r w:rsidRPr="00DC61CF">
              <w:rPr>
                <w:rFonts w:eastAsia="標楷體" w:hAnsi="標楷體" w:hint="eastAsia"/>
              </w:rPr>
              <w:t>《死亡預告》</w:t>
            </w:r>
            <w:r>
              <w:rPr>
                <w:rFonts w:eastAsia="標楷體" w:hAnsi="標楷體" w:hint="eastAsia"/>
              </w:rPr>
              <w:t>中所創造的虛構國家制定了</w:t>
            </w:r>
            <w:r w:rsidRPr="00DC61CF">
              <w:rPr>
                <w:rFonts w:eastAsia="標楷體" w:hAnsi="標楷體" w:hint="eastAsia"/>
              </w:rPr>
              <w:t>「</w:t>
            </w:r>
            <w:r>
              <w:rPr>
                <w:rFonts w:eastAsia="標楷體" w:hAnsi="標楷體" w:hint="eastAsia"/>
              </w:rPr>
              <w:t>國家繁榮法</w:t>
            </w:r>
            <w:r w:rsidRPr="00DC61CF">
              <w:rPr>
                <w:rFonts w:eastAsia="標楷體" w:hAnsi="標楷體" w:hint="eastAsia"/>
              </w:rPr>
              <w:t>」</w:t>
            </w:r>
            <w:r>
              <w:rPr>
                <w:rFonts w:eastAsia="標楷體" w:hAnsi="標楷體" w:hint="eastAsia"/>
              </w:rPr>
              <w:t>，利用小學生接受預防種的機會，讓千分之一的國民被注入奈米膠囊，這些人會在</w:t>
            </w:r>
            <w:r>
              <w:rPr>
                <w:rFonts w:eastAsia="標楷體" w:hAnsi="標楷體" w:hint="eastAsia"/>
              </w:rPr>
              <w:t>18</w:t>
            </w:r>
            <w:r>
              <w:rPr>
                <w:rFonts w:eastAsia="標楷體" w:hAnsi="標楷體" w:hint="eastAsia"/>
              </w:rPr>
              <w:t>至</w:t>
            </w:r>
            <w:r>
              <w:rPr>
                <w:rFonts w:eastAsia="標楷體" w:hAnsi="標楷體" w:hint="eastAsia"/>
              </w:rPr>
              <w:t>24</w:t>
            </w:r>
            <w:r>
              <w:rPr>
                <w:rFonts w:eastAsia="標楷體" w:hAnsi="標楷體" w:hint="eastAsia"/>
              </w:rPr>
              <w:t>歲之間因膠囊破裂而死亡，而在死前</w:t>
            </w:r>
            <w:r>
              <w:rPr>
                <w:rFonts w:eastAsia="標楷體" w:hAnsi="標楷體" w:hint="eastAsia"/>
              </w:rPr>
              <w:t>24</w:t>
            </w:r>
            <w:r>
              <w:rPr>
                <w:rFonts w:eastAsia="標楷體" w:hAnsi="標楷體" w:hint="eastAsia"/>
              </w:rPr>
              <w:t>小時會收到由區公所人員送來的死亡通知書。面對突如其來的噩耗，每個人的反應都不相同，有些人無法接受而行為失控，有些人則反而如釋重負，這部漫畫可以幫助我們從各種不同的角度來重新思考生命的意義。</w:t>
            </w:r>
          </w:p>
          <w:p w14:paraId="68A20F7E" w14:textId="77777777" w:rsidR="009415E6" w:rsidRDefault="009415E6" w:rsidP="009415E6">
            <w:pPr>
              <w:pStyle w:val="ab"/>
              <w:numPr>
                <w:ilvl w:val="0"/>
                <w:numId w:val="11"/>
              </w:numPr>
              <w:ind w:leftChars="0"/>
              <w:rPr>
                <w:rFonts w:eastAsia="標楷體" w:hAnsi="標楷體"/>
              </w:rPr>
            </w:pPr>
            <w:r w:rsidRPr="00E863D6">
              <w:rPr>
                <w:rFonts w:eastAsia="標楷體" w:hAnsi="標楷體" w:hint="eastAsia"/>
              </w:rPr>
              <w:t>教學方法：教師講授</w:t>
            </w:r>
            <w:r w:rsidRPr="00AC28C2">
              <w:rPr>
                <w:rFonts w:eastAsia="標楷體" w:hAnsi="標楷體" w:hint="eastAsia"/>
              </w:rPr>
              <w:t>、學生提問、師生共同討論</w:t>
            </w:r>
            <w:r w:rsidRPr="00E863D6">
              <w:rPr>
                <w:rFonts w:eastAsia="標楷體" w:hAnsi="標楷體" w:hint="eastAsia"/>
              </w:rPr>
              <w:t>。</w:t>
            </w:r>
          </w:p>
          <w:p w14:paraId="2C39362F" w14:textId="77777777" w:rsidR="009415E6" w:rsidRPr="00595786" w:rsidRDefault="009415E6" w:rsidP="009415E6">
            <w:pPr>
              <w:pStyle w:val="ab"/>
              <w:numPr>
                <w:ilvl w:val="0"/>
                <w:numId w:val="11"/>
              </w:numPr>
              <w:ind w:leftChars="0"/>
              <w:rPr>
                <w:rFonts w:eastAsia="標楷體" w:hAnsi="標楷體"/>
              </w:rPr>
            </w:pPr>
            <w:r w:rsidRPr="00595786">
              <w:rPr>
                <w:rFonts w:eastAsia="標楷體" w:hAnsi="標楷體" w:hint="eastAsia"/>
              </w:rPr>
              <w:t>延伸閱讀：《令人著迷的生與死：耶魯大學最受歡迎的哲學課》</w:t>
            </w:r>
            <w:r>
              <w:rPr>
                <w:rFonts w:eastAsia="標楷體" w:hAnsi="標楷體" w:hint="eastAsia"/>
              </w:rPr>
              <w:t>第十四章</w:t>
            </w:r>
            <w:r w:rsidRPr="00595786">
              <w:rPr>
                <w:rFonts w:eastAsia="標楷體" w:hAnsi="標楷體" w:hint="eastAsia"/>
              </w:rPr>
              <w:lastRenderedPageBreak/>
              <w:t>「我們如何面對死亡而活？」。</w:t>
            </w:r>
          </w:p>
          <w:p w14:paraId="29E061A6" w14:textId="77777777" w:rsidR="009415E6" w:rsidRPr="00E863D6" w:rsidRDefault="009415E6" w:rsidP="009415E6">
            <w:pPr>
              <w:spacing w:line="0" w:lineRule="atLeast"/>
              <w:rPr>
                <w:rFonts w:eastAsia="標楷體"/>
              </w:rPr>
            </w:pPr>
          </w:p>
          <w:p w14:paraId="200ED61A" w14:textId="77777777" w:rsidR="009415E6" w:rsidRDefault="009415E6" w:rsidP="009415E6">
            <w:pPr>
              <w:spacing w:line="0" w:lineRule="atLeast"/>
              <w:rPr>
                <w:rFonts w:eastAsia="標楷體" w:hAnsi="標楷體"/>
                <w:b/>
              </w:rPr>
            </w:pPr>
            <w:r>
              <w:rPr>
                <w:rFonts w:ascii="標楷體" w:eastAsia="標楷體" w:hAnsi="標楷體" w:hint="eastAsia"/>
                <w:b/>
              </w:rPr>
              <w:t>■第14週：</w:t>
            </w:r>
            <w:r w:rsidRPr="00831144">
              <w:rPr>
                <w:rFonts w:ascii="標楷體" w:eastAsia="標楷體" w:hAnsi="標楷體" w:hint="eastAsia"/>
                <w:b/>
              </w:rPr>
              <w:t>小組報告(三) (四)</w:t>
            </w:r>
          </w:p>
          <w:p w14:paraId="74387125" w14:textId="77777777" w:rsidR="009415E6" w:rsidRDefault="009415E6" w:rsidP="009415E6">
            <w:pPr>
              <w:pStyle w:val="ab"/>
              <w:numPr>
                <w:ilvl w:val="0"/>
                <w:numId w:val="12"/>
              </w:numPr>
              <w:ind w:leftChars="0"/>
              <w:rPr>
                <w:rFonts w:eastAsia="標楷體" w:hAnsi="標楷體"/>
              </w:rPr>
            </w:pPr>
            <w:r w:rsidRPr="00BE27C3">
              <w:rPr>
                <w:rFonts w:eastAsia="標楷體" w:hAnsi="標楷體" w:hint="eastAsia"/>
              </w:rPr>
              <w:t>由老師指定閱聽動漫作品或由學生自選</w:t>
            </w:r>
            <w:r w:rsidRPr="00BE27C3">
              <w:rPr>
                <w:rFonts w:eastAsia="標楷體" w:hAnsi="標楷體" w:hint="eastAsia"/>
              </w:rPr>
              <w:t>(</w:t>
            </w:r>
            <w:r w:rsidRPr="00BE27C3">
              <w:rPr>
                <w:rFonts w:eastAsia="標楷體" w:hAnsi="標楷體" w:hint="eastAsia"/>
              </w:rPr>
              <w:t>需詳述選材理由</w:t>
            </w:r>
            <w:r w:rsidRPr="00BE27C3">
              <w:rPr>
                <w:rFonts w:eastAsia="標楷體" w:hAnsi="標楷體" w:hint="eastAsia"/>
              </w:rPr>
              <w:t>)</w:t>
            </w:r>
            <w:r>
              <w:rPr>
                <w:rFonts w:eastAsia="標楷體" w:hAnsi="標楷體" w:hint="eastAsia"/>
              </w:rPr>
              <w:t>。</w:t>
            </w:r>
          </w:p>
          <w:p w14:paraId="34598025" w14:textId="77777777" w:rsidR="009415E6" w:rsidRPr="00E863D6" w:rsidRDefault="009415E6" w:rsidP="009415E6">
            <w:pPr>
              <w:pStyle w:val="ab"/>
              <w:numPr>
                <w:ilvl w:val="0"/>
                <w:numId w:val="12"/>
              </w:numPr>
              <w:ind w:leftChars="0"/>
              <w:rPr>
                <w:rFonts w:eastAsia="標楷體" w:hAnsi="標楷體"/>
              </w:rPr>
            </w:pPr>
            <w:r w:rsidRPr="00E863D6">
              <w:rPr>
                <w:rFonts w:eastAsia="標楷體" w:hAnsi="標楷體" w:hint="eastAsia"/>
              </w:rPr>
              <w:t>教學方法：</w:t>
            </w:r>
            <w:r>
              <w:rPr>
                <w:rFonts w:eastAsia="標楷體" w:hAnsi="標楷體" w:hint="eastAsia"/>
              </w:rPr>
              <w:t>學生報告、師生共同提問與</w:t>
            </w:r>
            <w:r w:rsidRPr="00E863D6">
              <w:rPr>
                <w:rFonts w:eastAsia="標楷體" w:hAnsi="標楷體" w:hint="eastAsia"/>
              </w:rPr>
              <w:t>討論。</w:t>
            </w:r>
          </w:p>
          <w:p w14:paraId="6895CDE7" w14:textId="77777777" w:rsidR="009415E6" w:rsidRPr="00E863D6" w:rsidRDefault="009415E6" w:rsidP="009415E6">
            <w:pPr>
              <w:spacing w:line="0" w:lineRule="atLeast"/>
              <w:rPr>
                <w:rFonts w:eastAsia="標楷體"/>
              </w:rPr>
            </w:pPr>
          </w:p>
          <w:p w14:paraId="5608F52D" w14:textId="77777777" w:rsidR="009415E6" w:rsidRDefault="009415E6" w:rsidP="009415E6">
            <w:pPr>
              <w:spacing w:line="0" w:lineRule="atLeast"/>
              <w:rPr>
                <w:rFonts w:eastAsia="標楷體" w:hAnsi="標楷體"/>
                <w:b/>
              </w:rPr>
            </w:pPr>
            <w:r>
              <w:rPr>
                <w:rFonts w:ascii="標楷體" w:eastAsia="標楷體" w:hAnsi="標楷體" w:hint="eastAsia"/>
                <w:b/>
              </w:rPr>
              <w:t>■第15週：「</w:t>
            </w:r>
            <w:r w:rsidRPr="000D5E0B">
              <w:rPr>
                <w:rFonts w:eastAsia="標楷體" w:hAnsi="標楷體" w:hint="eastAsia"/>
                <w:b/>
              </w:rPr>
              <w:t>《手塚治虫傑作選「拯救瀕死的地球篇」</w:t>
            </w:r>
            <w:r>
              <w:rPr>
                <w:rFonts w:eastAsia="標楷體" w:hAnsi="標楷體" w:hint="eastAsia"/>
                <w:b/>
              </w:rPr>
              <w:t>與環保議題</w:t>
            </w:r>
            <w:r w:rsidRPr="000D5E0B">
              <w:rPr>
                <w:rFonts w:eastAsia="標楷體" w:hAnsi="標楷體" w:hint="eastAsia"/>
                <w:b/>
              </w:rPr>
              <w:t>》</w:t>
            </w:r>
            <w:r>
              <w:rPr>
                <w:rFonts w:ascii="標楷體" w:eastAsia="標楷體" w:hAnsi="標楷體" w:hint="eastAsia"/>
                <w:b/>
              </w:rPr>
              <w:t>」</w:t>
            </w:r>
          </w:p>
          <w:p w14:paraId="30B2AC85" w14:textId="77777777" w:rsidR="009415E6" w:rsidRDefault="009415E6" w:rsidP="009415E6">
            <w:pPr>
              <w:numPr>
                <w:ilvl w:val="0"/>
                <w:numId w:val="13"/>
              </w:numPr>
              <w:rPr>
                <w:rFonts w:eastAsia="標楷體"/>
              </w:rPr>
            </w:pPr>
            <w:r>
              <w:rPr>
                <w:rFonts w:eastAsia="標楷體" w:hAnsi="標楷體" w:hint="eastAsia"/>
              </w:rPr>
              <w:t>課程內容：這本傑作集</w:t>
            </w:r>
            <w:r w:rsidRPr="00822BBF">
              <w:rPr>
                <w:rFonts w:eastAsia="標楷體" w:hAnsi="標楷體" w:hint="eastAsia"/>
              </w:rPr>
              <w:t>收錄了描寫一九六○年代公害問題可怕性的《魚鱗之岬》</w:t>
            </w:r>
            <w:r>
              <w:rPr>
                <w:rFonts w:eastAsia="標楷體" w:hAnsi="標楷體" w:hint="eastAsia"/>
              </w:rPr>
              <w:t>，敘述被人類的自私犧牲的大自然的復仇《澳洲犬》、</w:t>
            </w:r>
            <w:r w:rsidRPr="00822BBF">
              <w:rPr>
                <w:rFonts w:eastAsia="標楷體" w:hAnsi="標楷體" w:hint="eastAsia"/>
              </w:rPr>
              <w:t>《白縫》</w:t>
            </w:r>
            <w:r>
              <w:rPr>
                <w:rFonts w:eastAsia="標楷體" w:hAnsi="標楷體" w:hint="eastAsia"/>
              </w:rPr>
              <w:t>等，</w:t>
            </w:r>
            <w:r w:rsidRPr="00822BBF">
              <w:rPr>
                <w:rFonts w:eastAsia="標楷體" w:hAnsi="標楷體" w:hint="eastAsia"/>
              </w:rPr>
              <w:t>不論是哪一篇作品，都可看出手塚治虫對大自然的熱愛。</w:t>
            </w:r>
            <w:r>
              <w:rPr>
                <w:rFonts w:eastAsia="標楷體" w:hAnsi="標楷體" w:hint="eastAsia"/>
              </w:rPr>
              <w:t>由於人類不斷的利用自然資源來發展工業，導致地球的資源日益匱乏，環境危機也愈見嚴重，人類的未來究竟何去何從，或許手塚治虫這些作品可以給讀者更多的啟發。</w:t>
            </w:r>
          </w:p>
          <w:p w14:paraId="519136BE" w14:textId="77777777" w:rsidR="009415E6" w:rsidRPr="00E863D6" w:rsidRDefault="009415E6" w:rsidP="009415E6">
            <w:pPr>
              <w:pStyle w:val="ab"/>
              <w:numPr>
                <w:ilvl w:val="0"/>
                <w:numId w:val="13"/>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w:t>
            </w:r>
            <w:r>
              <w:rPr>
                <w:rFonts w:eastAsia="標楷體" w:hAnsi="標楷體" w:hint="eastAsia"/>
              </w:rPr>
              <w:t>學生提問</w:t>
            </w:r>
            <w:r w:rsidRPr="00AC28C2">
              <w:rPr>
                <w:rFonts w:eastAsia="標楷體" w:hAnsi="標楷體" w:hint="eastAsia"/>
              </w:rPr>
              <w:t>、</w:t>
            </w:r>
            <w:r>
              <w:rPr>
                <w:rFonts w:eastAsia="標楷體" w:hAnsi="標楷體" w:hint="eastAsia"/>
              </w:rPr>
              <w:t>師</w:t>
            </w:r>
            <w:r w:rsidRPr="00AC28C2">
              <w:rPr>
                <w:rFonts w:eastAsia="標楷體" w:hAnsi="標楷體" w:hint="eastAsia"/>
              </w:rPr>
              <w:t>生共同討論</w:t>
            </w:r>
            <w:r w:rsidRPr="00E863D6">
              <w:rPr>
                <w:rFonts w:eastAsia="標楷體" w:hAnsi="標楷體" w:hint="eastAsia"/>
              </w:rPr>
              <w:t>。</w:t>
            </w:r>
          </w:p>
          <w:p w14:paraId="4AEDFB5A" w14:textId="77777777" w:rsidR="009415E6" w:rsidRPr="00E863D6" w:rsidRDefault="009415E6" w:rsidP="009415E6">
            <w:pPr>
              <w:spacing w:line="0" w:lineRule="atLeast"/>
              <w:rPr>
                <w:rFonts w:eastAsia="標楷體"/>
              </w:rPr>
            </w:pPr>
          </w:p>
          <w:p w14:paraId="26D08DDA" w14:textId="77777777" w:rsidR="009415E6" w:rsidRDefault="009415E6" w:rsidP="009415E6">
            <w:pPr>
              <w:spacing w:line="0" w:lineRule="atLeast"/>
              <w:rPr>
                <w:rFonts w:eastAsia="標楷體" w:hAnsi="標楷體"/>
                <w:b/>
              </w:rPr>
            </w:pPr>
            <w:r>
              <w:rPr>
                <w:rFonts w:ascii="標楷體" w:eastAsia="標楷體" w:hAnsi="標楷體" w:hint="eastAsia"/>
                <w:b/>
              </w:rPr>
              <w:t>■第16週：</w:t>
            </w:r>
            <w:r w:rsidRPr="00FC053A">
              <w:rPr>
                <w:rFonts w:ascii="標楷體" w:eastAsia="標楷體" w:hAnsi="標楷體" w:hint="eastAsia"/>
                <w:b/>
              </w:rPr>
              <w:t>小組報告(</w:t>
            </w:r>
            <w:r>
              <w:rPr>
                <w:rFonts w:ascii="標楷體" w:eastAsia="標楷體" w:hAnsi="標楷體" w:hint="eastAsia"/>
                <w:b/>
              </w:rPr>
              <w:t>五</w:t>
            </w:r>
            <w:r w:rsidRPr="00FC053A">
              <w:rPr>
                <w:rFonts w:ascii="標楷體" w:eastAsia="標楷體" w:hAnsi="標楷體" w:hint="eastAsia"/>
                <w:b/>
              </w:rPr>
              <w:t>) (</w:t>
            </w:r>
            <w:r>
              <w:rPr>
                <w:rFonts w:ascii="標楷體" w:eastAsia="標楷體" w:hAnsi="標楷體" w:hint="eastAsia"/>
                <w:b/>
              </w:rPr>
              <w:t>六</w:t>
            </w:r>
            <w:r w:rsidRPr="00FC053A">
              <w:rPr>
                <w:rFonts w:ascii="標楷體" w:eastAsia="標楷體" w:hAnsi="標楷體" w:hint="eastAsia"/>
                <w:b/>
              </w:rPr>
              <w:t>)</w:t>
            </w:r>
          </w:p>
          <w:p w14:paraId="29DEBC16" w14:textId="77777777" w:rsidR="009415E6" w:rsidRPr="00C973F1" w:rsidRDefault="009415E6" w:rsidP="009415E6">
            <w:pPr>
              <w:pStyle w:val="ab"/>
              <w:numPr>
                <w:ilvl w:val="0"/>
                <w:numId w:val="14"/>
              </w:numPr>
              <w:ind w:leftChars="0"/>
              <w:rPr>
                <w:rFonts w:eastAsia="標楷體" w:hAnsi="標楷體"/>
              </w:rPr>
            </w:pPr>
            <w:r w:rsidRPr="00BE27C3">
              <w:rPr>
                <w:rFonts w:eastAsia="標楷體" w:hAnsi="標楷體" w:hint="eastAsia"/>
              </w:rPr>
              <w:t>由老師指定閱聽動漫作品或由學生自選</w:t>
            </w:r>
            <w:r w:rsidRPr="00BE27C3">
              <w:rPr>
                <w:rFonts w:eastAsia="標楷體" w:hAnsi="標楷體" w:hint="eastAsia"/>
              </w:rPr>
              <w:t>(</w:t>
            </w:r>
            <w:r w:rsidRPr="00BE27C3">
              <w:rPr>
                <w:rFonts w:eastAsia="標楷體" w:hAnsi="標楷體" w:hint="eastAsia"/>
              </w:rPr>
              <w:t>需詳述選材理由</w:t>
            </w:r>
            <w:r w:rsidRPr="00BE27C3">
              <w:rPr>
                <w:rFonts w:eastAsia="標楷體" w:hAnsi="標楷體" w:hint="eastAsia"/>
              </w:rPr>
              <w:t>)</w:t>
            </w:r>
            <w:r w:rsidRPr="00C973F1">
              <w:rPr>
                <w:rFonts w:eastAsia="標楷體" w:hAnsi="標楷體" w:hint="eastAsia"/>
              </w:rPr>
              <w:t>。</w:t>
            </w:r>
          </w:p>
          <w:p w14:paraId="60E2744D" w14:textId="77777777" w:rsidR="009415E6" w:rsidRPr="00E863D6" w:rsidRDefault="009415E6" w:rsidP="009415E6">
            <w:pPr>
              <w:pStyle w:val="ab"/>
              <w:numPr>
                <w:ilvl w:val="0"/>
                <w:numId w:val="14"/>
              </w:numPr>
              <w:ind w:leftChars="0"/>
              <w:rPr>
                <w:rFonts w:eastAsia="標楷體" w:hAnsi="標楷體"/>
              </w:rPr>
            </w:pPr>
            <w:r w:rsidRPr="00E863D6">
              <w:rPr>
                <w:rFonts w:eastAsia="標楷體" w:hAnsi="標楷體" w:hint="eastAsia"/>
              </w:rPr>
              <w:t>教學方法：</w:t>
            </w:r>
            <w:r>
              <w:rPr>
                <w:rFonts w:eastAsia="標楷體" w:hAnsi="標楷體" w:hint="eastAsia"/>
              </w:rPr>
              <w:t>學生報告、師生共同提問與</w:t>
            </w:r>
            <w:r w:rsidRPr="00E863D6">
              <w:rPr>
                <w:rFonts w:eastAsia="標楷體" w:hAnsi="標楷體" w:hint="eastAsia"/>
              </w:rPr>
              <w:t>討論。</w:t>
            </w:r>
          </w:p>
          <w:p w14:paraId="6A94A5C8" w14:textId="77777777" w:rsidR="009415E6" w:rsidRPr="00E863D6" w:rsidRDefault="009415E6" w:rsidP="009415E6">
            <w:pPr>
              <w:spacing w:line="0" w:lineRule="atLeast"/>
              <w:rPr>
                <w:rFonts w:eastAsia="標楷體"/>
              </w:rPr>
            </w:pPr>
          </w:p>
          <w:p w14:paraId="63A8D481" w14:textId="77777777" w:rsidR="009415E6" w:rsidRDefault="009415E6" w:rsidP="009415E6">
            <w:pPr>
              <w:spacing w:line="0" w:lineRule="atLeast"/>
              <w:rPr>
                <w:rFonts w:eastAsia="標楷體" w:hAnsi="標楷體"/>
                <w:b/>
              </w:rPr>
            </w:pPr>
            <w:r>
              <w:rPr>
                <w:rFonts w:ascii="標楷體" w:eastAsia="標楷體" w:hAnsi="標楷體" w:hint="eastAsia"/>
                <w:b/>
              </w:rPr>
              <w:t>■第17週：綜合討論</w:t>
            </w:r>
          </w:p>
          <w:p w14:paraId="5EED3373" w14:textId="77777777" w:rsidR="009415E6" w:rsidRDefault="009415E6" w:rsidP="009415E6">
            <w:pPr>
              <w:numPr>
                <w:ilvl w:val="0"/>
                <w:numId w:val="16"/>
              </w:numPr>
              <w:rPr>
                <w:rFonts w:eastAsia="標楷體"/>
              </w:rPr>
            </w:pPr>
            <w:r>
              <w:rPr>
                <w:rFonts w:eastAsia="標楷體" w:hAnsi="標楷體" w:hint="eastAsia"/>
              </w:rPr>
              <w:t>課程內容：本課程的主題學習單會要求學生在撰寫心得之餘，進一步提出值得反思的問題，本週則將彙整其中學生較為關切的若干問題，進行課堂分組討論，讓學生有機會重新檢視自己的學習歷程，並與同學進行更廣泛的意見交流。</w:t>
            </w:r>
          </w:p>
          <w:p w14:paraId="4CDBB3C5" w14:textId="77777777" w:rsidR="009415E6" w:rsidRPr="00E863D6" w:rsidRDefault="009415E6" w:rsidP="009415E6">
            <w:pPr>
              <w:pStyle w:val="ab"/>
              <w:numPr>
                <w:ilvl w:val="0"/>
                <w:numId w:val="16"/>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w:t>
            </w:r>
            <w:r>
              <w:rPr>
                <w:rFonts w:eastAsia="標楷體" w:hAnsi="標楷體" w:hint="eastAsia"/>
              </w:rPr>
              <w:t>學生提問</w:t>
            </w:r>
            <w:r w:rsidRPr="00E863D6">
              <w:rPr>
                <w:rFonts w:eastAsia="標楷體" w:hAnsi="標楷體" w:hint="eastAsia"/>
              </w:rPr>
              <w:t>、小組討論。</w:t>
            </w:r>
          </w:p>
          <w:p w14:paraId="238C631C" w14:textId="77777777" w:rsidR="009415E6" w:rsidRPr="00595786" w:rsidRDefault="009415E6" w:rsidP="009415E6">
            <w:pPr>
              <w:spacing w:line="0" w:lineRule="atLeast"/>
              <w:rPr>
                <w:rFonts w:eastAsia="標楷體"/>
              </w:rPr>
            </w:pPr>
          </w:p>
          <w:p w14:paraId="5BC2FB24" w14:textId="77777777" w:rsidR="009415E6" w:rsidRDefault="009415E6" w:rsidP="009415E6">
            <w:pPr>
              <w:spacing w:line="0" w:lineRule="atLeast"/>
              <w:rPr>
                <w:rFonts w:eastAsia="標楷體" w:hAnsi="標楷體"/>
                <w:b/>
              </w:rPr>
            </w:pPr>
            <w:r>
              <w:rPr>
                <w:rFonts w:ascii="標楷體" w:eastAsia="標楷體" w:hAnsi="標楷體" w:hint="eastAsia"/>
                <w:b/>
              </w:rPr>
              <w:t>■第18週：期末考</w:t>
            </w:r>
          </w:p>
          <w:p w14:paraId="53C575F2" w14:textId="7D870736" w:rsidR="009415E6" w:rsidRDefault="009415E6" w:rsidP="009415E6">
            <w:pPr>
              <w:spacing w:line="0" w:lineRule="atLeast"/>
              <w:rPr>
                <w:rFonts w:eastAsia="標楷體"/>
              </w:rPr>
            </w:pPr>
          </w:p>
        </w:tc>
      </w:tr>
      <w:tr w:rsidR="009415E6" w14:paraId="71B16728"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21EC5EEE" w14:textId="77777777" w:rsidR="009415E6" w:rsidRDefault="009415E6" w:rsidP="009415E6">
            <w:pPr>
              <w:spacing w:line="0" w:lineRule="atLeast"/>
              <w:jc w:val="center"/>
              <w:rPr>
                <w:rFonts w:eastAsia="標楷體"/>
              </w:rPr>
            </w:pPr>
            <w:r>
              <w:rPr>
                <w:rFonts w:eastAsia="標楷體" w:hint="eastAsia"/>
              </w:rPr>
              <w:lastRenderedPageBreak/>
              <w:t>教科書及</w:t>
            </w:r>
            <w:r>
              <w:rPr>
                <w:rFonts w:eastAsia="標楷體"/>
              </w:rPr>
              <w:br/>
            </w: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31BC8A05" w14:textId="77777777" w:rsidR="009415E6" w:rsidRDefault="009415E6" w:rsidP="009415E6">
            <w:pPr>
              <w:spacing w:line="0" w:lineRule="atLeast"/>
              <w:rPr>
                <w:rFonts w:eastAsia="標楷體"/>
              </w:rPr>
            </w:pPr>
            <w:r w:rsidRPr="00E10052">
              <w:rPr>
                <w:rFonts w:eastAsia="標楷體" w:hint="eastAsia"/>
              </w:rPr>
              <w:t>艾蓮・布希尤</w:t>
            </w:r>
            <w:r w:rsidRPr="00E10052">
              <w:rPr>
                <w:rFonts w:eastAsia="標楷體" w:hint="eastAsia"/>
              </w:rPr>
              <w:t>(</w:t>
            </w:r>
            <w:r w:rsidRPr="00E10052">
              <w:rPr>
                <w:rFonts w:eastAsia="標楷體"/>
              </w:rPr>
              <w:t>Helene Bouchilloux</w:t>
            </w:r>
            <w:r w:rsidRPr="00E10052">
              <w:rPr>
                <w:rFonts w:eastAsia="標楷體" w:hint="eastAsia"/>
              </w:rPr>
              <w:t xml:space="preserve">) </w:t>
            </w:r>
            <w:r>
              <w:rPr>
                <w:rFonts w:eastAsia="標楷體" w:hint="eastAsia"/>
              </w:rPr>
              <w:t>著，</w:t>
            </w:r>
            <w:r w:rsidRPr="00E10052">
              <w:rPr>
                <w:rFonts w:eastAsia="標楷體" w:hint="eastAsia"/>
              </w:rPr>
              <w:t>郭俊逸</w:t>
            </w:r>
            <w:r>
              <w:rPr>
                <w:rFonts w:eastAsia="標楷體" w:hint="eastAsia"/>
              </w:rPr>
              <w:t>譯</w:t>
            </w:r>
            <w:r w:rsidRPr="00E10052">
              <w:rPr>
                <w:rFonts w:eastAsia="標楷體" w:hint="eastAsia"/>
              </w:rPr>
              <w:t>：《</w:t>
            </w:r>
            <w:r>
              <w:rPr>
                <w:rFonts w:eastAsia="標楷體" w:hint="eastAsia"/>
              </w:rPr>
              <w:t>什麼是惡</w:t>
            </w:r>
            <w:r>
              <w:rPr>
                <w:rFonts w:eastAsia="標楷體" w:hint="eastAsia"/>
              </w:rPr>
              <w:t>?</w:t>
            </w:r>
            <w:r w:rsidRPr="00E10052">
              <w:rPr>
                <w:rFonts w:eastAsia="標楷體" w:hint="eastAsia"/>
              </w:rPr>
              <w:t>》</w:t>
            </w:r>
            <w:r w:rsidRPr="00E10052">
              <w:rPr>
                <w:rFonts w:eastAsia="標楷體" w:hint="eastAsia"/>
              </w:rPr>
              <w:t>(</w:t>
            </w:r>
            <w:r>
              <w:rPr>
                <w:rFonts w:eastAsia="標楷體" w:hint="eastAsia"/>
              </w:rPr>
              <w:t>台北，開學</w:t>
            </w:r>
            <w:r w:rsidRPr="00E10052">
              <w:rPr>
                <w:rFonts w:eastAsia="標楷體" w:hint="eastAsia"/>
              </w:rPr>
              <w:t>文化出版社，</w:t>
            </w:r>
            <w:r>
              <w:rPr>
                <w:rFonts w:eastAsia="標楷體" w:hint="eastAsia"/>
              </w:rPr>
              <w:t>2018</w:t>
            </w:r>
            <w:r w:rsidRPr="00E10052">
              <w:rPr>
                <w:rFonts w:eastAsia="標楷體" w:hint="eastAsia"/>
              </w:rPr>
              <w:t>)</w:t>
            </w:r>
          </w:p>
          <w:p w14:paraId="2907B510" w14:textId="77777777" w:rsidR="009415E6" w:rsidRDefault="009415E6" w:rsidP="009415E6">
            <w:pPr>
              <w:spacing w:line="0" w:lineRule="atLeast"/>
              <w:rPr>
                <w:rFonts w:eastAsia="標楷體"/>
              </w:rPr>
            </w:pPr>
            <w:r w:rsidRPr="002B4A86">
              <w:rPr>
                <w:rFonts w:eastAsia="標楷體" w:hint="eastAsia"/>
              </w:rPr>
              <w:t>邁可．桑德爾</w:t>
            </w:r>
            <w:r>
              <w:rPr>
                <w:rFonts w:eastAsia="標楷體" w:hint="eastAsia"/>
              </w:rPr>
              <w:t>(</w:t>
            </w:r>
            <w:r w:rsidRPr="00F66410">
              <w:rPr>
                <w:rFonts w:eastAsia="標楷體"/>
              </w:rPr>
              <w:t>Michael J. Sandel</w:t>
            </w:r>
            <w:r>
              <w:rPr>
                <w:rFonts w:eastAsia="標楷體" w:hint="eastAsia"/>
              </w:rPr>
              <w:t>)</w:t>
            </w:r>
            <w:r>
              <w:rPr>
                <w:rFonts w:ascii="新細明體" w:hAnsi="新細明體" w:hint="eastAsia"/>
              </w:rPr>
              <w:t xml:space="preserve"> </w:t>
            </w:r>
            <w:r>
              <w:rPr>
                <w:rFonts w:eastAsia="標楷體" w:hint="eastAsia"/>
              </w:rPr>
              <w:t>著，</w:t>
            </w:r>
            <w:r w:rsidRPr="001C30B0">
              <w:rPr>
                <w:rFonts w:eastAsia="標楷體" w:hint="eastAsia"/>
              </w:rPr>
              <w:t>陳信宏</w:t>
            </w:r>
            <w:r>
              <w:rPr>
                <w:rFonts w:eastAsia="標楷體" w:hint="eastAsia"/>
              </w:rPr>
              <w:t>譯</w:t>
            </w:r>
            <w:r>
              <w:rPr>
                <w:rFonts w:ascii="新細明體" w:hAnsi="新細明體" w:hint="eastAsia"/>
              </w:rPr>
              <w:t>：</w:t>
            </w:r>
            <w:r w:rsidRPr="000F6BBE">
              <w:rPr>
                <w:rFonts w:eastAsia="標楷體" w:hint="eastAsia"/>
              </w:rPr>
              <w:t>《</w:t>
            </w:r>
            <w:r w:rsidRPr="00F66410">
              <w:rPr>
                <w:rFonts w:eastAsia="標楷體" w:hint="eastAsia"/>
              </w:rPr>
              <w:t>正義：一場思辨之旅</w:t>
            </w:r>
            <w:r w:rsidRPr="000F6BBE">
              <w:rPr>
                <w:rFonts w:eastAsia="標楷體" w:hint="eastAsia"/>
              </w:rPr>
              <w:t>》</w:t>
            </w:r>
            <w:r w:rsidRPr="000F6BBE">
              <w:rPr>
                <w:rFonts w:eastAsia="標楷體" w:hint="eastAsia"/>
              </w:rPr>
              <w:t>(</w:t>
            </w:r>
            <w:r>
              <w:rPr>
                <w:rFonts w:eastAsia="標楷體" w:hint="eastAsia"/>
              </w:rPr>
              <w:t>台北，先覺</w:t>
            </w:r>
            <w:r w:rsidRPr="000F6BBE">
              <w:rPr>
                <w:rFonts w:eastAsia="標楷體" w:hint="eastAsia"/>
              </w:rPr>
              <w:t>出版社</w:t>
            </w:r>
            <w:r>
              <w:rPr>
                <w:rFonts w:eastAsia="標楷體" w:hint="eastAsia"/>
              </w:rPr>
              <w:t>，</w:t>
            </w:r>
            <w:r>
              <w:rPr>
                <w:rFonts w:eastAsia="標楷體" w:hint="eastAsia"/>
              </w:rPr>
              <w:t>2018</w:t>
            </w:r>
            <w:r w:rsidRPr="000F6BBE">
              <w:rPr>
                <w:rFonts w:eastAsia="標楷體" w:hint="eastAsia"/>
              </w:rPr>
              <w:t>)</w:t>
            </w:r>
          </w:p>
          <w:p w14:paraId="27B9F916" w14:textId="77777777" w:rsidR="009415E6" w:rsidRDefault="009415E6" w:rsidP="009415E6">
            <w:pPr>
              <w:spacing w:line="0" w:lineRule="atLeast"/>
              <w:rPr>
                <w:rFonts w:eastAsia="標楷體"/>
              </w:rPr>
            </w:pPr>
            <w:r w:rsidRPr="00595786">
              <w:rPr>
                <w:rFonts w:eastAsia="標楷體" w:hint="eastAsia"/>
              </w:rPr>
              <w:t>雪萊‧卡根</w:t>
            </w:r>
            <w:r w:rsidRPr="00595786">
              <w:rPr>
                <w:rFonts w:eastAsia="標楷體" w:hint="eastAsia"/>
              </w:rPr>
              <w:t>(</w:t>
            </w:r>
            <w:r w:rsidRPr="00595786">
              <w:rPr>
                <w:rFonts w:eastAsia="標楷體"/>
              </w:rPr>
              <w:t>Shelly Kagan</w:t>
            </w:r>
            <w:r w:rsidRPr="00595786">
              <w:rPr>
                <w:rFonts w:eastAsia="標楷體" w:hint="eastAsia"/>
              </w:rPr>
              <w:t xml:space="preserve">) </w:t>
            </w:r>
            <w:r w:rsidRPr="00595786">
              <w:rPr>
                <w:rFonts w:eastAsia="標楷體" w:hint="eastAsia"/>
              </w:rPr>
              <w:t>著，陳信宏譯：</w:t>
            </w:r>
            <w:r w:rsidRPr="000F6BBE">
              <w:rPr>
                <w:rFonts w:eastAsia="標楷體" w:hint="eastAsia"/>
              </w:rPr>
              <w:t>《</w:t>
            </w:r>
            <w:r w:rsidRPr="00595786">
              <w:rPr>
                <w:rFonts w:eastAsia="標楷體" w:hint="eastAsia"/>
              </w:rPr>
              <w:t>令人著迷的生與死：耶魯大學最受歡迎的哲學課</w:t>
            </w:r>
            <w:r w:rsidRPr="000F6BBE">
              <w:rPr>
                <w:rFonts w:eastAsia="標楷體" w:hint="eastAsia"/>
              </w:rPr>
              <w:t>》</w:t>
            </w:r>
            <w:r w:rsidRPr="00595786">
              <w:rPr>
                <w:rFonts w:eastAsia="標楷體" w:hint="eastAsia"/>
              </w:rPr>
              <w:t>(</w:t>
            </w:r>
            <w:r w:rsidRPr="00595786">
              <w:rPr>
                <w:rFonts w:eastAsia="標楷體" w:hint="eastAsia"/>
              </w:rPr>
              <w:t>台北，先覺出版社，</w:t>
            </w:r>
            <w:r>
              <w:rPr>
                <w:rFonts w:eastAsia="標楷體" w:hint="eastAsia"/>
              </w:rPr>
              <w:t>2015</w:t>
            </w:r>
            <w:r w:rsidRPr="00595786">
              <w:rPr>
                <w:rFonts w:eastAsia="標楷體" w:hint="eastAsia"/>
              </w:rPr>
              <w:t>)</w:t>
            </w:r>
          </w:p>
          <w:p w14:paraId="24958567" w14:textId="77777777" w:rsidR="009415E6" w:rsidRDefault="009415E6" w:rsidP="009415E6">
            <w:pPr>
              <w:spacing w:line="0" w:lineRule="atLeast"/>
              <w:rPr>
                <w:rFonts w:eastAsia="標楷體"/>
              </w:rPr>
            </w:pPr>
            <w:r w:rsidRPr="001C30B0">
              <w:rPr>
                <w:rFonts w:eastAsia="標楷體" w:hint="eastAsia"/>
              </w:rPr>
              <w:t>威廉．白瑞德</w:t>
            </w:r>
            <w:r w:rsidRPr="001C30B0">
              <w:rPr>
                <w:rFonts w:eastAsia="標楷體" w:hint="eastAsia"/>
              </w:rPr>
              <w:t>(</w:t>
            </w:r>
            <w:r w:rsidRPr="001C30B0">
              <w:rPr>
                <w:rFonts w:eastAsia="標楷體"/>
              </w:rPr>
              <w:t>William Barrett</w:t>
            </w:r>
            <w:r w:rsidRPr="001C30B0">
              <w:rPr>
                <w:rFonts w:eastAsia="標楷體" w:hint="eastAsia"/>
              </w:rPr>
              <w:t xml:space="preserve">) </w:t>
            </w:r>
            <w:r w:rsidRPr="001C30B0">
              <w:rPr>
                <w:rFonts w:eastAsia="標楷體" w:hint="eastAsia"/>
              </w:rPr>
              <w:t>著，彭鏡禧譯：《非理性的人：存在主義研究經典》</w:t>
            </w:r>
            <w:r w:rsidRPr="001C30B0">
              <w:rPr>
                <w:rFonts w:eastAsia="標楷體" w:hint="eastAsia"/>
              </w:rPr>
              <w:t>(</w:t>
            </w:r>
            <w:r w:rsidRPr="001C30B0">
              <w:rPr>
                <w:rFonts w:eastAsia="標楷體" w:hint="eastAsia"/>
              </w:rPr>
              <w:t>台北，</w:t>
            </w:r>
            <w:r>
              <w:rPr>
                <w:rFonts w:eastAsia="標楷體" w:hint="eastAsia"/>
              </w:rPr>
              <w:t>立緒</w:t>
            </w:r>
            <w:r w:rsidRPr="001C30B0">
              <w:rPr>
                <w:rFonts w:eastAsia="標楷體" w:hint="eastAsia"/>
              </w:rPr>
              <w:t>出版社，</w:t>
            </w:r>
            <w:r>
              <w:rPr>
                <w:rFonts w:eastAsia="標楷體" w:hint="eastAsia"/>
              </w:rPr>
              <w:t>2013</w:t>
            </w:r>
            <w:r w:rsidRPr="001C30B0">
              <w:rPr>
                <w:rFonts w:eastAsia="標楷體" w:hint="eastAsia"/>
              </w:rPr>
              <w:t>)</w:t>
            </w:r>
          </w:p>
          <w:p w14:paraId="172B940A" w14:textId="77777777" w:rsidR="009415E6" w:rsidRDefault="009415E6" w:rsidP="009415E6">
            <w:pPr>
              <w:spacing w:line="0" w:lineRule="atLeast"/>
              <w:rPr>
                <w:rFonts w:eastAsia="標楷體"/>
              </w:rPr>
            </w:pPr>
            <w:r w:rsidRPr="00F66410">
              <w:rPr>
                <w:rFonts w:eastAsia="標楷體" w:hint="eastAsia"/>
              </w:rPr>
              <w:t>林火旺</w:t>
            </w:r>
            <w:r>
              <w:rPr>
                <w:rFonts w:ascii="新細明體" w:hAnsi="新細明體" w:hint="eastAsia"/>
              </w:rPr>
              <w:t>：</w:t>
            </w:r>
            <w:r w:rsidRPr="000F6BBE">
              <w:rPr>
                <w:rFonts w:eastAsia="標楷體" w:hint="eastAsia"/>
              </w:rPr>
              <w:t>《</w:t>
            </w:r>
            <w:r>
              <w:rPr>
                <w:rFonts w:eastAsia="標楷體" w:hint="eastAsia"/>
              </w:rPr>
              <w:t>倫理學</w:t>
            </w:r>
            <w:r w:rsidRPr="000F6BBE">
              <w:rPr>
                <w:rFonts w:eastAsia="標楷體" w:hint="eastAsia"/>
              </w:rPr>
              <w:t>》</w:t>
            </w:r>
            <w:r w:rsidRPr="000F6BBE">
              <w:rPr>
                <w:rFonts w:eastAsia="標楷體" w:hint="eastAsia"/>
              </w:rPr>
              <w:t>(</w:t>
            </w:r>
            <w:r>
              <w:rPr>
                <w:rFonts w:eastAsia="標楷體" w:hint="eastAsia"/>
              </w:rPr>
              <w:t>台北，五南</w:t>
            </w:r>
            <w:r w:rsidRPr="000F6BBE">
              <w:rPr>
                <w:rFonts w:eastAsia="標楷體" w:hint="eastAsia"/>
              </w:rPr>
              <w:t>出版社</w:t>
            </w:r>
            <w:r>
              <w:rPr>
                <w:rFonts w:eastAsia="標楷體" w:hint="eastAsia"/>
              </w:rPr>
              <w:t>，</w:t>
            </w:r>
            <w:r>
              <w:rPr>
                <w:rFonts w:eastAsia="標楷體" w:hint="eastAsia"/>
              </w:rPr>
              <w:t>2022</w:t>
            </w:r>
            <w:r w:rsidRPr="000F6BBE">
              <w:rPr>
                <w:rFonts w:eastAsia="標楷體" w:hint="eastAsia"/>
              </w:rPr>
              <w:t>)</w:t>
            </w:r>
          </w:p>
          <w:p w14:paraId="7DDB1261" w14:textId="77777777" w:rsidR="009415E6" w:rsidRPr="00DA2D84" w:rsidRDefault="009415E6" w:rsidP="009415E6">
            <w:pPr>
              <w:spacing w:line="0" w:lineRule="atLeast"/>
              <w:rPr>
                <w:rFonts w:eastAsia="標楷體"/>
              </w:rPr>
            </w:pPr>
            <w:r w:rsidRPr="00DA2D84">
              <w:rPr>
                <w:rFonts w:ascii="標楷體" w:eastAsia="標楷體" w:hAnsi="標楷體" w:hint="eastAsia"/>
              </w:rPr>
              <w:t>徐復觀</w:t>
            </w:r>
            <w:r>
              <w:rPr>
                <w:rFonts w:ascii="新細明體" w:hAnsi="新細明體" w:hint="eastAsia"/>
              </w:rPr>
              <w:t>：</w:t>
            </w:r>
            <w:r w:rsidRPr="000F6BBE">
              <w:rPr>
                <w:rFonts w:eastAsia="標楷體" w:hint="eastAsia"/>
              </w:rPr>
              <w:t>《</w:t>
            </w:r>
            <w:r w:rsidRPr="00DA2D84">
              <w:rPr>
                <w:rFonts w:eastAsia="標楷體" w:hint="eastAsia"/>
              </w:rPr>
              <w:t>中國人性論史：先秦篇</w:t>
            </w:r>
            <w:r w:rsidRPr="000F6BBE">
              <w:rPr>
                <w:rFonts w:eastAsia="標楷體" w:hint="eastAsia"/>
              </w:rPr>
              <w:t>》</w:t>
            </w:r>
            <w:r w:rsidRPr="000F6BBE">
              <w:rPr>
                <w:rFonts w:eastAsia="標楷體" w:hint="eastAsia"/>
              </w:rPr>
              <w:t>(</w:t>
            </w:r>
            <w:r>
              <w:rPr>
                <w:rFonts w:eastAsia="標楷體" w:hint="eastAsia"/>
              </w:rPr>
              <w:t>台北，台灣商務印書館，</w:t>
            </w:r>
            <w:r>
              <w:rPr>
                <w:rFonts w:eastAsia="標楷體" w:hint="eastAsia"/>
              </w:rPr>
              <w:t>2014</w:t>
            </w:r>
            <w:r w:rsidRPr="000F6BBE">
              <w:rPr>
                <w:rFonts w:eastAsia="標楷體" w:hint="eastAsia"/>
              </w:rPr>
              <w:t>)</w:t>
            </w:r>
          </w:p>
          <w:p w14:paraId="585D0FC5" w14:textId="77777777" w:rsidR="009415E6" w:rsidRDefault="009415E6" w:rsidP="009415E6">
            <w:pPr>
              <w:spacing w:line="0" w:lineRule="atLeast"/>
              <w:rPr>
                <w:rFonts w:eastAsia="標楷體"/>
              </w:rPr>
            </w:pPr>
            <w:r>
              <w:rPr>
                <w:rFonts w:eastAsia="標楷體" w:hint="eastAsia"/>
              </w:rPr>
              <w:t>蔡增家</w:t>
            </w:r>
            <w:r>
              <w:rPr>
                <w:rFonts w:ascii="新細明體" w:hAnsi="新細明體" w:hint="eastAsia"/>
              </w:rPr>
              <w:t>：</w:t>
            </w:r>
            <w:r w:rsidRPr="000F6BBE">
              <w:rPr>
                <w:rFonts w:eastAsia="標楷體" w:hint="eastAsia"/>
              </w:rPr>
              <w:t>《</w:t>
            </w:r>
            <w:r w:rsidRPr="002B4A86">
              <w:rPr>
                <w:rFonts w:eastAsia="標楷體" w:hint="eastAsia"/>
              </w:rPr>
              <w:t>上一堂最好玩的日本學：政大超人氣通識課「從漫畫看日本」</w:t>
            </w:r>
            <w:r w:rsidRPr="000F6BBE">
              <w:rPr>
                <w:rFonts w:eastAsia="標楷體" w:hint="eastAsia"/>
              </w:rPr>
              <w:t>》</w:t>
            </w:r>
            <w:r w:rsidRPr="000F6BBE">
              <w:rPr>
                <w:rFonts w:eastAsia="標楷體" w:hint="eastAsia"/>
              </w:rPr>
              <w:t>(</w:t>
            </w:r>
            <w:r>
              <w:rPr>
                <w:rFonts w:eastAsia="標楷體" w:hint="eastAsia"/>
              </w:rPr>
              <w:t>台北，先覺</w:t>
            </w:r>
            <w:r w:rsidRPr="000F6BBE">
              <w:rPr>
                <w:rFonts w:eastAsia="標楷體" w:hint="eastAsia"/>
              </w:rPr>
              <w:t>出版社</w:t>
            </w:r>
            <w:r>
              <w:rPr>
                <w:rFonts w:eastAsia="標楷體" w:hint="eastAsia"/>
              </w:rPr>
              <w:t>，</w:t>
            </w:r>
            <w:r>
              <w:rPr>
                <w:rFonts w:eastAsia="標楷體" w:hint="eastAsia"/>
              </w:rPr>
              <w:t>2015</w:t>
            </w:r>
            <w:r w:rsidRPr="000F6BBE">
              <w:rPr>
                <w:rFonts w:eastAsia="標楷體" w:hint="eastAsia"/>
              </w:rPr>
              <w:t>)</w:t>
            </w:r>
          </w:p>
          <w:p w14:paraId="0532CE37" w14:textId="77777777" w:rsidR="009415E6" w:rsidRDefault="009415E6" w:rsidP="009415E6">
            <w:pPr>
              <w:spacing w:line="0" w:lineRule="atLeast"/>
              <w:rPr>
                <w:rFonts w:eastAsia="標楷體"/>
              </w:rPr>
            </w:pPr>
            <w:r w:rsidRPr="002B4A86">
              <w:rPr>
                <w:rFonts w:eastAsia="標楷體" w:hint="eastAsia"/>
              </w:rPr>
              <w:t>冀劍制</w:t>
            </w:r>
            <w:r>
              <w:rPr>
                <w:rFonts w:ascii="新細明體" w:hAnsi="新細明體" w:hint="eastAsia"/>
              </w:rPr>
              <w:t>：</w:t>
            </w:r>
            <w:r w:rsidRPr="000F6BBE">
              <w:rPr>
                <w:rFonts w:eastAsia="標楷體" w:hint="eastAsia"/>
              </w:rPr>
              <w:t>《</w:t>
            </w:r>
            <w:r w:rsidRPr="002B4A86">
              <w:rPr>
                <w:rFonts w:eastAsia="標楷體" w:hint="eastAsia"/>
              </w:rPr>
              <w:t>海賊王的哲學課：正義、夢想和人生的偉大航道</w:t>
            </w:r>
            <w:r w:rsidRPr="000F6BBE">
              <w:rPr>
                <w:rFonts w:eastAsia="標楷體" w:hint="eastAsia"/>
              </w:rPr>
              <w:t>》</w:t>
            </w:r>
            <w:r w:rsidRPr="000F6BBE">
              <w:rPr>
                <w:rFonts w:eastAsia="標楷體" w:hint="eastAsia"/>
              </w:rPr>
              <w:t>(</w:t>
            </w:r>
            <w:r>
              <w:rPr>
                <w:rFonts w:eastAsia="標楷體" w:hint="eastAsia"/>
              </w:rPr>
              <w:t>台北，啟動文化</w:t>
            </w:r>
            <w:r w:rsidRPr="000F6BBE">
              <w:rPr>
                <w:rFonts w:eastAsia="標楷體" w:hint="eastAsia"/>
              </w:rPr>
              <w:t>出版社</w:t>
            </w:r>
            <w:r>
              <w:rPr>
                <w:rFonts w:eastAsia="標楷體" w:hint="eastAsia"/>
              </w:rPr>
              <w:t>，</w:t>
            </w:r>
            <w:r>
              <w:rPr>
                <w:rFonts w:eastAsia="標楷體" w:hint="eastAsia"/>
              </w:rPr>
              <w:t>2014</w:t>
            </w:r>
            <w:r w:rsidRPr="000F6BBE">
              <w:rPr>
                <w:rFonts w:eastAsia="標楷體" w:hint="eastAsia"/>
              </w:rPr>
              <w:t>)</w:t>
            </w:r>
          </w:p>
          <w:p w14:paraId="091DB8B3" w14:textId="77777777" w:rsidR="009415E6" w:rsidRPr="000F6BBE" w:rsidRDefault="009415E6" w:rsidP="009415E6">
            <w:pPr>
              <w:spacing w:line="0" w:lineRule="atLeast"/>
              <w:rPr>
                <w:rFonts w:eastAsia="標楷體"/>
              </w:rPr>
            </w:pPr>
            <w:r w:rsidRPr="000F6BBE">
              <w:rPr>
                <w:rFonts w:eastAsia="標楷體" w:hint="eastAsia"/>
              </w:rPr>
              <w:t>手塚治虫</w:t>
            </w:r>
            <w:r>
              <w:rPr>
                <w:rFonts w:ascii="新細明體" w:hAnsi="新細明體" w:hint="eastAsia"/>
              </w:rPr>
              <w:t>：</w:t>
            </w:r>
            <w:r w:rsidRPr="000F6BBE">
              <w:rPr>
                <w:rFonts w:eastAsia="標楷體" w:hint="eastAsia"/>
              </w:rPr>
              <w:t>《多羅羅</w:t>
            </w:r>
            <w:r w:rsidRPr="000F6BBE">
              <w:rPr>
                <w:rFonts w:eastAsia="標楷體" w:hint="eastAsia"/>
              </w:rPr>
              <w:t>1-4</w:t>
            </w:r>
            <w:r w:rsidRPr="000F6BBE">
              <w:rPr>
                <w:rFonts w:eastAsia="標楷體" w:hint="eastAsia"/>
              </w:rPr>
              <w:t>》</w:t>
            </w:r>
            <w:r w:rsidRPr="000F6BBE">
              <w:rPr>
                <w:rFonts w:eastAsia="標楷體" w:hint="eastAsia"/>
              </w:rPr>
              <w:t>(</w:t>
            </w:r>
            <w:r w:rsidRPr="000F6BBE">
              <w:rPr>
                <w:rFonts w:eastAsia="標楷體" w:hint="eastAsia"/>
              </w:rPr>
              <w:t>東販出版社</w:t>
            </w:r>
            <w:r w:rsidRPr="000F6BBE">
              <w:rPr>
                <w:rFonts w:eastAsia="標楷體" w:hint="eastAsia"/>
              </w:rPr>
              <w:t>)</w:t>
            </w:r>
          </w:p>
          <w:p w14:paraId="54435EA7" w14:textId="77777777" w:rsidR="009415E6" w:rsidRPr="000F6BBE" w:rsidRDefault="009415E6" w:rsidP="009415E6">
            <w:pPr>
              <w:spacing w:line="0" w:lineRule="atLeast"/>
              <w:rPr>
                <w:rFonts w:eastAsia="標楷體"/>
              </w:rPr>
            </w:pPr>
            <w:r w:rsidRPr="000F6BBE">
              <w:rPr>
                <w:rFonts w:eastAsia="標楷體" w:hint="eastAsia"/>
              </w:rPr>
              <w:t>手塚治虫</w:t>
            </w:r>
            <w:r>
              <w:rPr>
                <w:rFonts w:ascii="新細明體" w:hAnsi="新細明體" w:hint="eastAsia"/>
              </w:rPr>
              <w:t>：</w:t>
            </w:r>
            <w:r w:rsidRPr="000F6BBE">
              <w:rPr>
                <w:rFonts w:eastAsia="標楷體" w:hint="eastAsia"/>
              </w:rPr>
              <w:t>《手塚治虫傑作選「拯救瀕死的地球篇」》</w:t>
            </w:r>
            <w:r w:rsidRPr="000F6BBE">
              <w:rPr>
                <w:rFonts w:eastAsia="標楷體" w:hint="eastAsia"/>
              </w:rPr>
              <w:t>(</w:t>
            </w:r>
            <w:r w:rsidRPr="000F6BBE">
              <w:rPr>
                <w:rFonts w:eastAsia="標楷體" w:hint="eastAsia"/>
              </w:rPr>
              <w:t>東販出版社</w:t>
            </w:r>
            <w:r w:rsidRPr="000F6BBE">
              <w:rPr>
                <w:rFonts w:eastAsia="標楷體" w:hint="eastAsia"/>
              </w:rPr>
              <w:t>)</w:t>
            </w:r>
          </w:p>
          <w:p w14:paraId="37930C47" w14:textId="77777777" w:rsidR="009415E6" w:rsidRPr="000F6BBE" w:rsidRDefault="009415E6" w:rsidP="009415E6">
            <w:pPr>
              <w:spacing w:line="0" w:lineRule="atLeast"/>
              <w:rPr>
                <w:rFonts w:eastAsia="標楷體"/>
              </w:rPr>
            </w:pPr>
            <w:r w:rsidRPr="000F6BBE">
              <w:rPr>
                <w:rFonts w:eastAsia="標楷體" w:hint="eastAsia"/>
              </w:rPr>
              <w:lastRenderedPageBreak/>
              <w:t>小畑健</w:t>
            </w:r>
            <w:r>
              <w:rPr>
                <w:rFonts w:ascii="新細明體" w:hAnsi="新細明體" w:hint="eastAsia"/>
              </w:rPr>
              <w:t>：</w:t>
            </w:r>
            <w:r w:rsidRPr="000F6BBE">
              <w:rPr>
                <w:rFonts w:eastAsia="標楷體" w:hint="eastAsia"/>
              </w:rPr>
              <w:t>《死亡筆記本</w:t>
            </w:r>
            <w:r w:rsidRPr="000F6BBE">
              <w:rPr>
                <w:rFonts w:eastAsia="標楷體"/>
              </w:rPr>
              <w:t>1-12</w:t>
            </w:r>
            <w:r w:rsidRPr="000F6BBE">
              <w:rPr>
                <w:rFonts w:eastAsia="標楷體" w:hint="eastAsia"/>
              </w:rPr>
              <w:t>》</w:t>
            </w:r>
            <w:r w:rsidRPr="000F6BBE">
              <w:rPr>
                <w:rFonts w:eastAsia="標楷體"/>
              </w:rPr>
              <w:t>(</w:t>
            </w:r>
            <w:r w:rsidRPr="000F6BBE">
              <w:rPr>
                <w:rFonts w:eastAsia="標楷體" w:hint="eastAsia"/>
              </w:rPr>
              <w:t>東立出版社</w:t>
            </w:r>
            <w:r w:rsidRPr="000F6BBE">
              <w:rPr>
                <w:rFonts w:eastAsia="標楷體"/>
              </w:rPr>
              <w:t>)</w:t>
            </w:r>
          </w:p>
          <w:p w14:paraId="1F4AD0F1" w14:textId="77777777" w:rsidR="009415E6" w:rsidRPr="000F6BBE" w:rsidRDefault="009415E6" w:rsidP="009415E6">
            <w:pPr>
              <w:spacing w:line="0" w:lineRule="atLeast"/>
              <w:rPr>
                <w:rFonts w:eastAsia="標楷體"/>
              </w:rPr>
            </w:pPr>
            <w:r w:rsidRPr="000F6BBE">
              <w:rPr>
                <w:rFonts w:eastAsia="標楷體" w:hint="eastAsia"/>
              </w:rPr>
              <w:t>浦澤直樹</w:t>
            </w:r>
            <w:r>
              <w:rPr>
                <w:rFonts w:ascii="新細明體" w:hAnsi="新細明體" w:hint="eastAsia"/>
              </w:rPr>
              <w:t>：</w:t>
            </w:r>
            <w:r w:rsidRPr="000F6BBE">
              <w:rPr>
                <w:rFonts w:eastAsia="標楷體" w:hint="eastAsia"/>
              </w:rPr>
              <w:t>《怪物</w:t>
            </w:r>
            <w:r w:rsidRPr="000F6BBE">
              <w:rPr>
                <w:rFonts w:eastAsia="標楷體" w:hint="eastAsia"/>
              </w:rPr>
              <w:t>MONSTER1-18</w:t>
            </w:r>
            <w:r w:rsidRPr="000F6BBE">
              <w:rPr>
                <w:rFonts w:eastAsia="標楷體" w:hint="eastAsia"/>
              </w:rPr>
              <w:t>》</w:t>
            </w:r>
            <w:r w:rsidRPr="000F6BBE">
              <w:rPr>
                <w:rFonts w:eastAsia="標楷體" w:hint="eastAsia"/>
              </w:rPr>
              <w:t>(</w:t>
            </w:r>
            <w:r w:rsidRPr="000F6BBE">
              <w:rPr>
                <w:rFonts w:eastAsia="標楷體" w:hint="eastAsia"/>
              </w:rPr>
              <w:t>東立出版社</w:t>
            </w:r>
            <w:r w:rsidRPr="000F6BBE">
              <w:rPr>
                <w:rFonts w:eastAsia="標楷體" w:hint="eastAsia"/>
              </w:rPr>
              <w:t>)</w:t>
            </w:r>
          </w:p>
          <w:p w14:paraId="143E7C87" w14:textId="77777777" w:rsidR="009415E6" w:rsidRPr="000F6BBE" w:rsidRDefault="009415E6" w:rsidP="009415E6">
            <w:pPr>
              <w:spacing w:line="0" w:lineRule="atLeast"/>
              <w:rPr>
                <w:rFonts w:eastAsia="標楷體"/>
              </w:rPr>
            </w:pPr>
            <w:r w:rsidRPr="000F6BBE">
              <w:rPr>
                <w:rFonts w:eastAsia="標楷體" w:hint="eastAsia"/>
              </w:rPr>
              <w:t>諫山創</w:t>
            </w:r>
            <w:r>
              <w:rPr>
                <w:rFonts w:ascii="新細明體" w:hAnsi="新細明體" w:hint="eastAsia"/>
              </w:rPr>
              <w:t>：</w:t>
            </w:r>
            <w:r w:rsidRPr="000F6BBE">
              <w:rPr>
                <w:rFonts w:eastAsia="標楷體" w:hint="eastAsia"/>
              </w:rPr>
              <w:t>《進擊的巨人</w:t>
            </w:r>
            <w:r w:rsidRPr="000F6BBE">
              <w:rPr>
                <w:rFonts w:eastAsia="標楷體" w:hint="eastAsia"/>
              </w:rPr>
              <w:t>1-34</w:t>
            </w:r>
            <w:r w:rsidRPr="000F6BBE">
              <w:rPr>
                <w:rFonts w:eastAsia="標楷體" w:hint="eastAsia"/>
              </w:rPr>
              <w:t>》</w:t>
            </w:r>
            <w:r w:rsidRPr="000F6BBE">
              <w:rPr>
                <w:rFonts w:eastAsia="標楷體" w:hint="eastAsia"/>
              </w:rPr>
              <w:t>(</w:t>
            </w:r>
            <w:r w:rsidRPr="000F6BBE">
              <w:rPr>
                <w:rFonts w:eastAsia="標楷體" w:hint="eastAsia"/>
              </w:rPr>
              <w:t>東立出版社</w:t>
            </w:r>
            <w:r w:rsidRPr="000F6BBE">
              <w:rPr>
                <w:rFonts w:eastAsia="標楷體" w:hint="eastAsia"/>
              </w:rPr>
              <w:t>)</w:t>
            </w:r>
          </w:p>
          <w:p w14:paraId="3C3C0BC1" w14:textId="77777777" w:rsidR="009415E6" w:rsidRPr="000F6BBE" w:rsidRDefault="009415E6" w:rsidP="009415E6">
            <w:pPr>
              <w:spacing w:line="0" w:lineRule="atLeast"/>
              <w:rPr>
                <w:rFonts w:eastAsia="標楷體"/>
              </w:rPr>
            </w:pPr>
            <w:r w:rsidRPr="000F6BBE">
              <w:rPr>
                <w:rFonts w:eastAsia="標楷體" w:hint="eastAsia"/>
              </w:rPr>
              <w:t>石田翠</w:t>
            </w:r>
            <w:r>
              <w:rPr>
                <w:rFonts w:ascii="新細明體" w:hAnsi="新細明體" w:hint="eastAsia"/>
              </w:rPr>
              <w:t>：</w:t>
            </w:r>
            <w:r w:rsidRPr="000F6BBE">
              <w:rPr>
                <w:rFonts w:eastAsia="標楷體" w:hint="eastAsia"/>
              </w:rPr>
              <w:t>《東京喰種</w:t>
            </w:r>
            <w:r w:rsidRPr="000F6BBE">
              <w:rPr>
                <w:rFonts w:eastAsia="標楷體"/>
              </w:rPr>
              <w:t>1-14</w:t>
            </w:r>
            <w:r w:rsidRPr="000F6BBE">
              <w:rPr>
                <w:rFonts w:eastAsia="標楷體" w:hint="eastAsia"/>
              </w:rPr>
              <w:t>》</w:t>
            </w:r>
            <w:r w:rsidRPr="000F6BBE">
              <w:rPr>
                <w:rFonts w:eastAsia="標楷體"/>
              </w:rPr>
              <w:t>(</w:t>
            </w:r>
            <w:r w:rsidRPr="000F6BBE">
              <w:rPr>
                <w:rFonts w:eastAsia="標楷體" w:hint="eastAsia"/>
              </w:rPr>
              <w:t>尖端出版社</w:t>
            </w:r>
            <w:r w:rsidRPr="000F6BBE">
              <w:rPr>
                <w:rFonts w:eastAsia="標楷體"/>
              </w:rPr>
              <w:t>)</w:t>
            </w:r>
          </w:p>
          <w:p w14:paraId="669BB43E" w14:textId="77777777" w:rsidR="009415E6" w:rsidRPr="000F6BBE" w:rsidRDefault="009415E6" w:rsidP="009415E6">
            <w:pPr>
              <w:spacing w:line="0" w:lineRule="atLeast"/>
              <w:rPr>
                <w:rFonts w:eastAsia="標楷體"/>
              </w:rPr>
            </w:pPr>
            <w:r w:rsidRPr="000F6BBE">
              <w:rPr>
                <w:rFonts w:eastAsia="標楷體" w:hint="eastAsia"/>
              </w:rPr>
              <w:t>吾峠呼世晴</w:t>
            </w:r>
            <w:r>
              <w:rPr>
                <w:rFonts w:ascii="新細明體" w:hAnsi="新細明體" w:hint="eastAsia"/>
              </w:rPr>
              <w:t>：</w:t>
            </w:r>
            <w:r w:rsidRPr="000F6BBE">
              <w:rPr>
                <w:rFonts w:eastAsia="標楷體" w:hint="eastAsia"/>
              </w:rPr>
              <w:t>《鬼滅之刃</w:t>
            </w:r>
            <w:r w:rsidRPr="000F6BBE">
              <w:rPr>
                <w:rFonts w:eastAsia="標楷體"/>
              </w:rPr>
              <w:t>1-23</w:t>
            </w:r>
            <w:r w:rsidRPr="000F6BBE">
              <w:rPr>
                <w:rFonts w:eastAsia="標楷體" w:hint="eastAsia"/>
              </w:rPr>
              <w:t>》</w:t>
            </w:r>
            <w:r w:rsidRPr="000F6BBE">
              <w:rPr>
                <w:rFonts w:eastAsia="標楷體"/>
              </w:rPr>
              <w:t>(</w:t>
            </w:r>
            <w:r w:rsidRPr="000F6BBE">
              <w:rPr>
                <w:rFonts w:eastAsia="標楷體" w:hint="eastAsia"/>
              </w:rPr>
              <w:t>東立出版社</w:t>
            </w:r>
            <w:r w:rsidRPr="000F6BBE">
              <w:rPr>
                <w:rFonts w:eastAsia="標楷體"/>
              </w:rPr>
              <w:t>)</w:t>
            </w:r>
          </w:p>
          <w:p w14:paraId="7E5E9326" w14:textId="77777777" w:rsidR="009415E6" w:rsidRPr="000F6BBE" w:rsidRDefault="009415E6" w:rsidP="009415E6">
            <w:pPr>
              <w:spacing w:line="0" w:lineRule="atLeast"/>
              <w:rPr>
                <w:rFonts w:eastAsia="標楷體"/>
              </w:rPr>
            </w:pPr>
            <w:r w:rsidRPr="000F6BBE">
              <w:rPr>
                <w:rFonts w:eastAsia="標楷體" w:hint="eastAsia"/>
              </w:rPr>
              <w:t>眉月啍</w:t>
            </w:r>
            <w:r>
              <w:rPr>
                <w:rFonts w:ascii="新細明體" w:hAnsi="新細明體" w:hint="eastAsia"/>
              </w:rPr>
              <w:t>：</w:t>
            </w:r>
            <w:r w:rsidRPr="000F6BBE">
              <w:rPr>
                <w:rFonts w:eastAsia="標楷體" w:hint="eastAsia"/>
              </w:rPr>
              <w:t>《愛在雨過天晴時</w:t>
            </w:r>
            <w:r w:rsidRPr="000F6BBE">
              <w:rPr>
                <w:rFonts w:eastAsia="標楷體" w:hint="eastAsia"/>
              </w:rPr>
              <w:t>1-10</w:t>
            </w:r>
            <w:r w:rsidRPr="000F6BBE">
              <w:rPr>
                <w:rFonts w:eastAsia="標楷體" w:hint="eastAsia"/>
              </w:rPr>
              <w:t>》</w:t>
            </w:r>
            <w:r w:rsidRPr="000F6BBE">
              <w:rPr>
                <w:rFonts w:eastAsia="標楷體" w:hint="eastAsia"/>
              </w:rPr>
              <w:t>(</w:t>
            </w:r>
            <w:r w:rsidRPr="000F6BBE">
              <w:rPr>
                <w:rFonts w:eastAsia="標楷體" w:hint="eastAsia"/>
              </w:rPr>
              <w:t>青文出版社</w:t>
            </w:r>
            <w:r w:rsidRPr="000F6BBE">
              <w:rPr>
                <w:rFonts w:eastAsia="標楷體" w:hint="eastAsia"/>
              </w:rPr>
              <w:t>)</w:t>
            </w:r>
          </w:p>
          <w:p w14:paraId="0D4016D6" w14:textId="77777777" w:rsidR="009415E6" w:rsidRPr="000F6BBE" w:rsidRDefault="009415E6" w:rsidP="009415E6">
            <w:pPr>
              <w:spacing w:line="0" w:lineRule="atLeast"/>
              <w:rPr>
                <w:rFonts w:eastAsia="標楷體"/>
              </w:rPr>
            </w:pPr>
            <w:r w:rsidRPr="000F6BBE">
              <w:rPr>
                <w:rFonts w:eastAsia="標楷體" w:hint="eastAsia"/>
              </w:rPr>
              <w:t>井上雄彥</w:t>
            </w:r>
            <w:r>
              <w:rPr>
                <w:rFonts w:ascii="新細明體" w:hAnsi="新細明體" w:hint="eastAsia"/>
              </w:rPr>
              <w:t>：</w:t>
            </w:r>
            <w:r w:rsidRPr="000F6BBE">
              <w:rPr>
                <w:rFonts w:eastAsia="標楷體" w:hint="eastAsia"/>
              </w:rPr>
              <w:t>《浪人劍客</w:t>
            </w:r>
            <w:r w:rsidRPr="000F6BBE">
              <w:rPr>
                <w:rFonts w:eastAsia="標楷體" w:hint="eastAsia"/>
              </w:rPr>
              <w:t>1-37</w:t>
            </w:r>
            <w:r w:rsidRPr="000F6BBE">
              <w:rPr>
                <w:rFonts w:eastAsia="標楷體" w:hint="eastAsia"/>
              </w:rPr>
              <w:t>》</w:t>
            </w:r>
            <w:r w:rsidRPr="000F6BBE">
              <w:rPr>
                <w:rFonts w:eastAsia="標楷體" w:hint="eastAsia"/>
              </w:rPr>
              <w:t>(</w:t>
            </w:r>
            <w:r w:rsidRPr="000F6BBE">
              <w:rPr>
                <w:rFonts w:eastAsia="標楷體" w:hint="eastAsia"/>
              </w:rPr>
              <w:t>尖端出版社</w:t>
            </w:r>
            <w:r w:rsidRPr="000F6BBE">
              <w:rPr>
                <w:rFonts w:eastAsia="標楷體" w:hint="eastAsia"/>
              </w:rPr>
              <w:t>)</w:t>
            </w:r>
          </w:p>
          <w:p w14:paraId="6EB8D74C" w14:textId="77777777" w:rsidR="009415E6" w:rsidRPr="000F6BBE" w:rsidRDefault="009415E6" w:rsidP="009415E6">
            <w:pPr>
              <w:spacing w:line="0" w:lineRule="atLeast"/>
              <w:rPr>
                <w:rFonts w:eastAsia="標楷體"/>
              </w:rPr>
            </w:pPr>
            <w:r w:rsidRPr="000F6BBE">
              <w:rPr>
                <w:rFonts w:eastAsia="標楷體" w:hint="eastAsia"/>
              </w:rPr>
              <w:t>古谷實</w:t>
            </w:r>
            <w:r>
              <w:rPr>
                <w:rFonts w:ascii="新細明體" w:hAnsi="新細明體" w:hint="eastAsia"/>
              </w:rPr>
              <w:t>：</w:t>
            </w:r>
            <w:r w:rsidRPr="000F6BBE">
              <w:rPr>
                <w:rFonts w:eastAsia="標楷體" w:hint="eastAsia"/>
              </w:rPr>
              <w:t>《不道德的秘密</w:t>
            </w:r>
            <w:r w:rsidRPr="000F6BBE">
              <w:rPr>
                <w:rFonts w:eastAsia="標楷體" w:hint="eastAsia"/>
              </w:rPr>
              <w:t>1-4</w:t>
            </w:r>
            <w:r w:rsidRPr="000F6BBE">
              <w:rPr>
                <w:rFonts w:eastAsia="標楷體" w:hint="eastAsia"/>
              </w:rPr>
              <w:t>》</w:t>
            </w:r>
            <w:r w:rsidRPr="000F6BBE">
              <w:rPr>
                <w:rFonts w:eastAsia="標楷體" w:hint="eastAsia"/>
              </w:rPr>
              <w:t>(</w:t>
            </w:r>
            <w:r w:rsidRPr="000F6BBE">
              <w:rPr>
                <w:rFonts w:eastAsia="標楷體" w:hint="eastAsia"/>
              </w:rPr>
              <w:t>東立出版社</w:t>
            </w:r>
            <w:r w:rsidRPr="000F6BBE">
              <w:rPr>
                <w:rFonts w:eastAsia="標楷體" w:hint="eastAsia"/>
              </w:rPr>
              <w:t>)</w:t>
            </w:r>
          </w:p>
          <w:p w14:paraId="04029241" w14:textId="44286A5B" w:rsidR="009415E6" w:rsidRDefault="009415E6" w:rsidP="009415E6">
            <w:pPr>
              <w:spacing w:line="0" w:lineRule="atLeast"/>
              <w:rPr>
                <w:rFonts w:eastAsia="標楷體"/>
              </w:rPr>
            </w:pPr>
            <w:r w:rsidRPr="000F6BBE">
              <w:rPr>
                <w:rFonts w:eastAsia="標楷體" w:hint="eastAsia"/>
              </w:rPr>
              <w:t>間瀨元朗</w:t>
            </w:r>
            <w:r>
              <w:rPr>
                <w:rFonts w:ascii="新細明體" w:hAnsi="新細明體" w:hint="eastAsia"/>
              </w:rPr>
              <w:t>：</w:t>
            </w:r>
            <w:r w:rsidRPr="000F6BBE">
              <w:rPr>
                <w:rFonts w:eastAsia="標楷體" w:hint="eastAsia"/>
              </w:rPr>
              <w:t>《死亡預告</w:t>
            </w:r>
            <w:r w:rsidRPr="000F6BBE">
              <w:rPr>
                <w:rFonts w:eastAsia="標楷體" w:hint="eastAsia"/>
              </w:rPr>
              <w:t>1-10</w:t>
            </w:r>
            <w:r w:rsidRPr="000F6BBE">
              <w:rPr>
                <w:rFonts w:eastAsia="標楷體" w:hint="eastAsia"/>
              </w:rPr>
              <w:t>》</w:t>
            </w:r>
            <w:r w:rsidRPr="000F6BBE">
              <w:rPr>
                <w:rFonts w:eastAsia="標楷體" w:hint="eastAsia"/>
              </w:rPr>
              <w:t>(</w:t>
            </w:r>
            <w:r w:rsidRPr="000F6BBE">
              <w:rPr>
                <w:rFonts w:eastAsia="標楷體" w:hint="eastAsia"/>
              </w:rPr>
              <w:t>尖端出版社</w:t>
            </w:r>
            <w:r w:rsidRPr="000F6BBE">
              <w:rPr>
                <w:rFonts w:eastAsia="標楷體" w:hint="eastAsia"/>
              </w:rPr>
              <w:t>)</w:t>
            </w:r>
          </w:p>
        </w:tc>
      </w:tr>
      <w:tr w:rsidR="009415E6" w14:paraId="6DB40229"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3DCF556E" w14:textId="77777777" w:rsidR="009415E6" w:rsidRDefault="009415E6" w:rsidP="009415E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72D197A8" w14:textId="3845356B" w:rsidR="009415E6" w:rsidRPr="00853EF8" w:rsidRDefault="009415E6" w:rsidP="009415E6">
            <w:pPr>
              <w:spacing w:line="0" w:lineRule="atLeast"/>
              <w:rPr>
                <w:rFonts w:eastAsia="標楷體"/>
              </w:rPr>
            </w:pPr>
            <w:r w:rsidRPr="009415E6">
              <w:rPr>
                <w:rFonts w:eastAsia="標楷體"/>
                <w:noProof/>
              </w:rPr>
              <w:drawing>
                <wp:inline distT="0" distB="0" distL="0" distR="0" wp14:anchorId="171B27C1" wp14:editId="1148FE01">
                  <wp:extent cx="5422265" cy="3401695"/>
                  <wp:effectExtent l="0" t="0" r="6985" b="0"/>
                  <wp:docPr id="114056983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265" cy="3401695"/>
                          </a:xfrm>
                          <a:prstGeom prst="rect">
                            <a:avLst/>
                          </a:prstGeom>
                          <a:noFill/>
                          <a:ln>
                            <a:noFill/>
                          </a:ln>
                        </pic:spPr>
                      </pic:pic>
                    </a:graphicData>
                  </a:graphic>
                </wp:inline>
              </w:drawing>
            </w:r>
          </w:p>
        </w:tc>
      </w:tr>
      <w:tr w:rsidR="009415E6" w14:paraId="279B6AD0"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DC3E218" w14:textId="77777777" w:rsidR="009415E6" w:rsidRDefault="009415E6" w:rsidP="009415E6">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4EC58EA8" w14:textId="77777777" w:rsidR="009415E6" w:rsidRDefault="009415E6" w:rsidP="009415E6">
            <w:pPr>
              <w:spacing w:line="0" w:lineRule="atLeast"/>
              <w:jc w:val="center"/>
              <w:rPr>
                <w:rFonts w:eastAsia="標楷體"/>
              </w:rPr>
            </w:pPr>
          </w:p>
          <w:p w14:paraId="0BFE9801" w14:textId="77777777" w:rsidR="009415E6" w:rsidRDefault="009415E6" w:rsidP="009415E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1036D0B8" w14:textId="77777777" w:rsidR="009415E6" w:rsidRPr="009415E6" w:rsidRDefault="009415E6" w:rsidP="009415E6">
            <w:pPr>
              <w:rPr>
                <w:rFonts w:ascii="標楷體" w:eastAsia="標楷體" w:hAnsi="標楷體" w:cs="微軟正黑體" w:hint="eastAsia"/>
              </w:rPr>
            </w:pPr>
            <w:r w:rsidRPr="009415E6">
              <w:rPr>
                <w:rFonts w:ascii="標楷體" w:eastAsia="標楷體" w:hAnsi="標楷體" w:cs="微軟正黑體" w:hint="eastAsia"/>
              </w:rPr>
              <w:t xml:space="preserve">目標: 4 優質教育：確保有教無類、公平以及高品質的教育及提倡終身學習  </w:t>
            </w:r>
          </w:p>
          <w:p w14:paraId="6B21A303" w14:textId="77777777" w:rsidR="009415E6" w:rsidRDefault="009415E6" w:rsidP="009415E6">
            <w:pPr>
              <w:rPr>
                <w:rFonts w:ascii="標楷體" w:eastAsia="標楷體" w:hAnsi="標楷體" w:cs="微軟正黑體"/>
              </w:rPr>
            </w:pPr>
            <w:r w:rsidRPr="009415E6">
              <w:rPr>
                <w:rFonts w:ascii="標楷體" w:eastAsia="標楷體" w:hAnsi="標楷體" w:cs="微軟正黑體" w:hint="eastAsia"/>
              </w:rPr>
              <w:t>細項：4.3→2030年前，確保所有的男女都有公平、可負擔、高品質的技職、職業與高等教育機會，包括大學教育。</w:t>
            </w:r>
          </w:p>
          <w:p w14:paraId="2ABBBFFC" w14:textId="5869BA6C" w:rsidR="009415E6" w:rsidRDefault="009415E6" w:rsidP="009415E6">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7FC0F4B2" w14:textId="77777777" w:rsidR="009415E6" w:rsidRPr="002E043C" w:rsidRDefault="009415E6" w:rsidP="009415E6">
            <w:pPr>
              <w:rPr>
                <w:rFonts w:eastAsia="標楷體"/>
                <w:color w:val="A6A6A6" w:themeColor="background1" w:themeShade="A6"/>
              </w:rPr>
            </w:pPr>
            <w:r w:rsidRPr="002E043C">
              <w:rPr>
                <w:rFonts w:eastAsia="標楷體" w:hint="eastAsia"/>
                <w:color w:val="A6A6A6" w:themeColor="background1" w:themeShade="A6"/>
              </w:rPr>
              <w:t>範例：</w:t>
            </w:r>
          </w:p>
          <w:p w14:paraId="28783BD0" w14:textId="77777777" w:rsidR="009415E6" w:rsidRPr="002E043C" w:rsidRDefault="009415E6" w:rsidP="009415E6">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9415E6" w14:paraId="52B70425"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5D75A6" w14:textId="77777777" w:rsidR="009415E6" w:rsidRPr="00D94B32" w:rsidRDefault="009415E6" w:rsidP="009415E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9415E6" w:rsidRPr="006E7F5B" w14:paraId="3D460CB3" w14:textId="77777777" w:rsidTr="007F22D6">
              <w:tc>
                <w:tcPr>
                  <w:tcW w:w="2847" w:type="dxa"/>
                  <w:vAlign w:val="center"/>
                </w:tcPr>
                <w:p w14:paraId="6C770ABD" w14:textId="77777777" w:rsidR="009415E6" w:rsidRPr="006E7F5B" w:rsidRDefault="009415E6" w:rsidP="009415E6">
                  <w:pPr>
                    <w:widowControl/>
                    <w:jc w:val="center"/>
                    <w:rPr>
                      <w:rFonts w:eastAsia="標楷體" w:hAnsi="標楷體"/>
                      <w:color w:val="000000"/>
                      <w:kern w:val="0"/>
                    </w:rPr>
                  </w:pPr>
                  <w:r w:rsidRPr="006E7F5B">
                    <w:rPr>
                      <w:rFonts w:eastAsia="標楷體" w:hAnsi="標楷體" w:hint="eastAsia"/>
                      <w:color w:val="000000"/>
                      <w:kern w:val="0"/>
                    </w:rPr>
                    <w:t>通識課程</w:t>
                  </w:r>
                </w:p>
                <w:p w14:paraId="2DE3DFA9" w14:textId="77777777" w:rsidR="009415E6" w:rsidRDefault="009415E6" w:rsidP="009415E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1A08188F" w14:textId="77777777" w:rsidR="009415E6" w:rsidRPr="006E7F5B" w:rsidRDefault="009415E6" w:rsidP="009415E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43A2E856" w14:textId="77777777" w:rsidR="009415E6" w:rsidRPr="006E7F5B" w:rsidRDefault="009415E6" w:rsidP="009415E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5BB80288" w14:textId="77777777" w:rsidR="009415E6" w:rsidRPr="006E7F5B" w:rsidRDefault="009415E6" w:rsidP="009415E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9415E6" w:rsidRPr="006E7F5B" w14:paraId="162532A1" w14:textId="77777777" w:rsidTr="007F22D6">
              <w:tc>
                <w:tcPr>
                  <w:tcW w:w="2847" w:type="dxa"/>
                  <w:vAlign w:val="center"/>
                </w:tcPr>
                <w:p w14:paraId="4361FB14"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0EA161E" w14:textId="77777777" w:rsidR="009415E6" w:rsidRPr="006E7F5B" w:rsidRDefault="009415E6" w:rsidP="009415E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4F5F4D4C" w14:textId="0477ABDF" w:rsidR="009415E6" w:rsidRPr="006E7F5B" w:rsidRDefault="009415E6" w:rsidP="009415E6">
                  <w:pPr>
                    <w:pStyle w:val="Web"/>
                    <w:spacing w:before="0" w:beforeAutospacing="0" w:after="0" w:afterAutospacing="0" w:line="360" w:lineRule="atLeast"/>
                    <w:rPr>
                      <w:rFonts w:ascii="Times New Roman" w:eastAsia="標楷體" w:hAnsi="Times New Roman" w:cs="Times New Roman"/>
                      <w:color w:val="000000"/>
                    </w:rPr>
                  </w:pPr>
                  <w:r>
                    <w:rPr>
                      <w:rFonts w:ascii="Times New Roman" w:eastAsia="標楷體" w:hAnsi="Times New Roman" w:cs="Times New Roman" w:hint="eastAsia"/>
                      <w:color w:val="000000"/>
                    </w:rPr>
                    <w:t>ˇ</w:t>
                  </w:r>
                </w:p>
              </w:tc>
            </w:tr>
            <w:tr w:rsidR="009415E6" w:rsidRPr="006E7F5B" w14:paraId="2B731FC4" w14:textId="77777777" w:rsidTr="007F22D6">
              <w:tc>
                <w:tcPr>
                  <w:tcW w:w="2847" w:type="dxa"/>
                  <w:vAlign w:val="center"/>
                </w:tcPr>
                <w:p w14:paraId="2C14120C"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19051BBF"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74062981" w14:textId="7E092E33" w:rsidR="009415E6" w:rsidRPr="006E7F5B" w:rsidRDefault="009415E6" w:rsidP="009415E6">
                  <w:pPr>
                    <w:widowControl/>
                    <w:spacing w:line="240" w:lineRule="atLeast"/>
                    <w:rPr>
                      <w:rFonts w:eastAsia="標楷體"/>
                      <w:color w:val="000000"/>
                      <w:kern w:val="0"/>
                    </w:rPr>
                  </w:pPr>
                  <w:r>
                    <w:rPr>
                      <w:rFonts w:eastAsia="標楷體" w:hint="eastAsia"/>
                      <w:color w:val="000000"/>
                      <w:kern w:val="0"/>
                    </w:rPr>
                    <w:t>ˇ</w:t>
                  </w:r>
                </w:p>
              </w:tc>
            </w:tr>
            <w:tr w:rsidR="009415E6" w:rsidRPr="006E7F5B" w14:paraId="41E202E0" w14:textId="77777777" w:rsidTr="007F22D6">
              <w:tc>
                <w:tcPr>
                  <w:tcW w:w="2847" w:type="dxa"/>
                  <w:vAlign w:val="center"/>
                </w:tcPr>
                <w:p w14:paraId="7A967D3D"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7A4F8198" w14:textId="77777777" w:rsidR="009415E6" w:rsidRPr="006E7F5B" w:rsidRDefault="009415E6" w:rsidP="009415E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572BAEE9" w14:textId="413E5077" w:rsidR="009415E6" w:rsidRPr="006E7F5B" w:rsidRDefault="009415E6" w:rsidP="009415E6">
                  <w:pPr>
                    <w:widowControl/>
                    <w:spacing w:line="240" w:lineRule="atLeast"/>
                    <w:ind w:right="147"/>
                    <w:rPr>
                      <w:rFonts w:eastAsia="標楷體"/>
                      <w:color w:val="000000"/>
                      <w:kern w:val="0"/>
                    </w:rPr>
                  </w:pPr>
                  <w:r>
                    <w:rPr>
                      <w:rFonts w:eastAsia="標楷體" w:hint="eastAsia"/>
                      <w:color w:val="000000"/>
                      <w:kern w:val="0"/>
                    </w:rPr>
                    <w:t>ˇ</w:t>
                  </w:r>
                </w:p>
              </w:tc>
            </w:tr>
            <w:tr w:rsidR="009415E6" w:rsidRPr="006E7F5B" w14:paraId="6977EB42" w14:textId="77777777" w:rsidTr="007F22D6">
              <w:tc>
                <w:tcPr>
                  <w:tcW w:w="2847" w:type="dxa"/>
                  <w:vAlign w:val="center"/>
                </w:tcPr>
                <w:p w14:paraId="16952A3D"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738217FC" w14:textId="77777777" w:rsidR="009415E6" w:rsidRPr="006E7F5B" w:rsidRDefault="009415E6" w:rsidP="009415E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60DF16BB" w14:textId="77777777" w:rsidR="009415E6" w:rsidRPr="006E7F5B" w:rsidRDefault="009415E6" w:rsidP="009415E6">
                  <w:pPr>
                    <w:widowControl/>
                    <w:spacing w:line="240" w:lineRule="atLeast"/>
                    <w:ind w:right="150"/>
                    <w:rPr>
                      <w:rFonts w:eastAsia="標楷體"/>
                      <w:color w:val="000000"/>
                      <w:kern w:val="0"/>
                    </w:rPr>
                  </w:pPr>
                </w:p>
              </w:tc>
            </w:tr>
            <w:tr w:rsidR="009415E6" w:rsidRPr="006E7F5B" w14:paraId="4A4275C4" w14:textId="77777777" w:rsidTr="007F22D6">
              <w:tc>
                <w:tcPr>
                  <w:tcW w:w="2847" w:type="dxa"/>
                  <w:vAlign w:val="center"/>
                </w:tcPr>
                <w:p w14:paraId="38892F53"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01E94FA9" w14:textId="77777777" w:rsidR="009415E6" w:rsidRPr="006E7F5B" w:rsidRDefault="009415E6" w:rsidP="009415E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6EA1A4F6" w14:textId="77777777" w:rsidR="009415E6" w:rsidRPr="006E7F5B" w:rsidRDefault="009415E6" w:rsidP="009415E6">
                  <w:pPr>
                    <w:spacing w:line="240" w:lineRule="atLeast"/>
                    <w:rPr>
                      <w:rFonts w:eastAsia="標楷體"/>
                      <w:color w:val="000000"/>
                      <w:kern w:val="0"/>
                    </w:rPr>
                  </w:pPr>
                </w:p>
              </w:tc>
            </w:tr>
            <w:tr w:rsidR="009415E6" w:rsidRPr="006E7F5B" w14:paraId="0F380FCF" w14:textId="77777777" w:rsidTr="007F22D6">
              <w:tc>
                <w:tcPr>
                  <w:tcW w:w="2847" w:type="dxa"/>
                  <w:vAlign w:val="center"/>
                </w:tcPr>
                <w:p w14:paraId="72ACCF78"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6AA024AE"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1CAC0B3E" w14:textId="0EA1BB7A" w:rsidR="009415E6" w:rsidRPr="006E7F5B" w:rsidRDefault="009415E6" w:rsidP="009415E6">
                  <w:pPr>
                    <w:widowControl/>
                    <w:spacing w:line="240" w:lineRule="atLeast"/>
                    <w:rPr>
                      <w:rFonts w:eastAsia="標楷體"/>
                      <w:color w:val="000000"/>
                      <w:kern w:val="0"/>
                    </w:rPr>
                  </w:pPr>
                  <w:r>
                    <w:rPr>
                      <w:rFonts w:eastAsia="標楷體" w:hint="eastAsia"/>
                      <w:color w:val="000000"/>
                      <w:kern w:val="0"/>
                    </w:rPr>
                    <w:t>ˇ</w:t>
                  </w:r>
                </w:p>
              </w:tc>
            </w:tr>
            <w:tr w:rsidR="009415E6" w:rsidRPr="006E7F5B" w14:paraId="33880551" w14:textId="77777777" w:rsidTr="007F22D6">
              <w:tc>
                <w:tcPr>
                  <w:tcW w:w="2847" w:type="dxa"/>
                  <w:vAlign w:val="center"/>
                </w:tcPr>
                <w:p w14:paraId="74C33A35"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09D046F" w14:textId="77777777" w:rsidR="009415E6" w:rsidRPr="006E7F5B" w:rsidRDefault="009415E6" w:rsidP="009415E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22BFCF7F" w14:textId="3222FD4C" w:rsidR="009415E6" w:rsidRPr="006E7F5B" w:rsidRDefault="009415E6" w:rsidP="009415E6">
                  <w:pPr>
                    <w:widowControl/>
                    <w:spacing w:line="240" w:lineRule="atLeast"/>
                    <w:ind w:right="147"/>
                    <w:rPr>
                      <w:rFonts w:eastAsia="標楷體"/>
                      <w:color w:val="000000"/>
                      <w:kern w:val="0"/>
                    </w:rPr>
                  </w:pPr>
                  <w:r>
                    <w:rPr>
                      <w:rFonts w:eastAsia="標楷體" w:hint="eastAsia"/>
                      <w:color w:val="000000"/>
                      <w:kern w:val="0"/>
                    </w:rPr>
                    <w:t>ˇ</w:t>
                  </w:r>
                </w:p>
              </w:tc>
            </w:tr>
            <w:tr w:rsidR="009415E6" w:rsidRPr="006E7F5B" w14:paraId="501047D7" w14:textId="77777777" w:rsidTr="007F22D6">
              <w:tc>
                <w:tcPr>
                  <w:tcW w:w="2847" w:type="dxa"/>
                  <w:vAlign w:val="center"/>
                </w:tcPr>
                <w:p w14:paraId="0440D307"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45EC602A" w14:textId="77777777" w:rsidR="009415E6" w:rsidRPr="006E7F5B" w:rsidRDefault="009415E6" w:rsidP="009415E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1831F853" w14:textId="781E0140" w:rsidR="009415E6" w:rsidRPr="006E7F5B" w:rsidRDefault="009415E6" w:rsidP="009415E6">
                  <w:pPr>
                    <w:widowControl/>
                    <w:spacing w:line="240" w:lineRule="atLeast"/>
                    <w:ind w:right="147"/>
                    <w:rPr>
                      <w:rFonts w:eastAsia="標楷體"/>
                      <w:color w:val="000000"/>
                      <w:kern w:val="0"/>
                    </w:rPr>
                  </w:pPr>
                </w:p>
              </w:tc>
            </w:tr>
            <w:tr w:rsidR="009415E6" w:rsidRPr="006E7F5B" w14:paraId="1A9BE54A" w14:textId="77777777" w:rsidTr="007F22D6">
              <w:tc>
                <w:tcPr>
                  <w:tcW w:w="2847" w:type="dxa"/>
                  <w:vAlign w:val="center"/>
                </w:tcPr>
                <w:p w14:paraId="1BA0EC15" w14:textId="77777777" w:rsidR="009415E6" w:rsidRPr="006E7F5B" w:rsidRDefault="009415E6" w:rsidP="009415E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078DA777" w14:textId="77777777" w:rsidR="009415E6" w:rsidRPr="006E7F5B" w:rsidRDefault="009415E6" w:rsidP="009415E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05E3ECB" w14:textId="77777777" w:rsidR="009415E6" w:rsidRPr="006E7F5B" w:rsidRDefault="009415E6" w:rsidP="009415E6">
                  <w:pPr>
                    <w:widowControl/>
                    <w:spacing w:line="240" w:lineRule="atLeast"/>
                    <w:ind w:firstLine="1"/>
                    <w:rPr>
                      <w:rFonts w:eastAsia="標楷體"/>
                      <w:color w:val="000000"/>
                      <w:kern w:val="0"/>
                    </w:rPr>
                  </w:pPr>
                </w:p>
              </w:tc>
            </w:tr>
          </w:tbl>
          <w:p w14:paraId="69B7FECE" w14:textId="77777777" w:rsidR="009415E6" w:rsidRPr="00D94B32" w:rsidRDefault="009415E6" w:rsidP="009415E6">
            <w:pPr>
              <w:spacing w:beforeLines="50" w:before="180" w:line="0" w:lineRule="atLeast"/>
              <w:ind w:left="674" w:hangingChars="281" w:hanging="674"/>
              <w:rPr>
                <w:rFonts w:ascii="標楷體" w:eastAsia="標楷體" w:hAnsi="標楷體"/>
                <w:color w:val="000000"/>
              </w:rPr>
            </w:pPr>
          </w:p>
        </w:tc>
      </w:tr>
      <w:tr w:rsidR="009415E6" w14:paraId="23A3C841"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26DB14" w14:textId="77777777" w:rsidR="009415E6" w:rsidRDefault="009415E6" w:rsidP="009415E6">
            <w:pPr>
              <w:spacing w:line="0" w:lineRule="atLeast"/>
              <w:ind w:rightChars="-6" w:right="-14"/>
              <w:rPr>
                <w:rFonts w:eastAsia="標楷體"/>
              </w:rPr>
            </w:pPr>
            <w:r>
              <w:rPr>
                <w:rFonts w:eastAsia="標楷體" w:hint="eastAsia"/>
              </w:rPr>
              <w:lastRenderedPageBreak/>
              <w:t xml:space="preserve">  </w:t>
            </w:r>
            <w:r>
              <w:rPr>
                <w:rFonts w:eastAsia="標楷體"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3314F3CF" w14:textId="77777777" w:rsidR="009415E6" w:rsidRPr="009415E6" w:rsidRDefault="009415E6" w:rsidP="009415E6">
            <w:pPr>
              <w:spacing w:line="0" w:lineRule="atLeast"/>
              <w:rPr>
                <w:rFonts w:eastAsia="標楷體"/>
              </w:rPr>
            </w:pPr>
            <w:r w:rsidRPr="009415E6">
              <w:rPr>
                <w:rFonts w:eastAsia="標楷體" w:hint="eastAsia"/>
              </w:rPr>
              <w:t>姓名：陳逸根</w:t>
            </w:r>
          </w:p>
          <w:p w14:paraId="45DA1C73" w14:textId="77777777" w:rsidR="009415E6" w:rsidRPr="009415E6" w:rsidRDefault="009415E6" w:rsidP="009415E6">
            <w:pPr>
              <w:spacing w:line="0" w:lineRule="atLeast"/>
              <w:rPr>
                <w:rFonts w:eastAsia="標楷體"/>
              </w:rPr>
            </w:pPr>
            <w:r w:rsidRPr="009415E6">
              <w:rPr>
                <w:rFonts w:eastAsia="標楷體" w:hint="eastAsia"/>
              </w:rPr>
              <w:t>□專任教師</w:t>
            </w:r>
            <w:r w:rsidRPr="009415E6">
              <w:rPr>
                <w:rFonts w:eastAsia="標楷體"/>
              </w:rPr>
              <w:tab/>
            </w:r>
            <w:r w:rsidRPr="009415E6">
              <w:rPr>
                <w:rFonts w:eastAsia="標楷體" w:hint="eastAsia"/>
              </w:rPr>
              <w:t>學系</w:t>
            </w:r>
            <w:r w:rsidRPr="009415E6">
              <w:rPr>
                <w:rFonts w:eastAsia="標楷體" w:hint="eastAsia"/>
              </w:rPr>
              <w:t>(</w:t>
            </w:r>
            <w:r w:rsidRPr="009415E6">
              <w:rPr>
                <w:rFonts w:eastAsia="標楷體" w:hint="eastAsia"/>
              </w:rPr>
              <w:t>所，中心</w:t>
            </w:r>
            <w:r w:rsidRPr="009415E6">
              <w:rPr>
                <w:rFonts w:eastAsia="標楷體" w:hint="eastAsia"/>
              </w:rPr>
              <w:t>)</w:t>
            </w:r>
            <w:r w:rsidRPr="009415E6">
              <w:rPr>
                <w:rFonts w:eastAsia="標楷體" w:hint="eastAsia"/>
              </w:rPr>
              <w:t>：</w:t>
            </w:r>
            <w:r w:rsidRPr="009415E6">
              <w:rPr>
                <w:rFonts w:eastAsia="標楷體" w:hint="eastAsia"/>
              </w:rPr>
              <w:t xml:space="preserve">       </w:t>
            </w:r>
            <w:r w:rsidRPr="009415E6">
              <w:rPr>
                <w:rFonts w:eastAsia="標楷體"/>
              </w:rPr>
              <w:tab/>
            </w:r>
            <w:r w:rsidRPr="009415E6">
              <w:rPr>
                <w:rFonts w:eastAsia="標楷體"/>
              </w:rPr>
              <w:tab/>
            </w:r>
            <w:r w:rsidRPr="009415E6">
              <w:rPr>
                <w:rFonts w:eastAsia="標楷體"/>
              </w:rPr>
              <w:tab/>
            </w:r>
            <w:r w:rsidRPr="009415E6">
              <w:rPr>
                <w:rFonts w:eastAsia="標楷體"/>
              </w:rPr>
              <w:tab/>
            </w:r>
            <w:r w:rsidRPr="009415E6">
              <w:rPr>
                <w:rFonts w:eastAsia="標楷體" w:hint="eastAsia"/>
              </w:rPr>
              <w:t>職稱：</w:t>
            </w:r>
            <w:r w:rsidRPr="009415E6">
              <w:rPr>
                <w:rFonts w:eastAsia="標楷體" w:hint="eastAsia"/>
              </w:rPr>
              <w:t xml:space="preserve">  </w:t>
            </w:r>
          </w:p>
          <w:p w14:paraId="5B822FDB" w14:textId="7AF0AB93" w:rsidR="009415E6" w:rsidRPr="009415E6" w:rsidRDefault="009415E6" w:rsidP="009415E6">
            <w:pPr>
              <w:spacing w:line="0" w:lineRule="atLeast"/>
              <w:rPr>
                <w:rFonts w:eastAsia="標楷體"/>
              </w:rPr>
            </w:pPr>
            <w:r w:rsidRPr="009415E6">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9415E6">
              <w:rPr>
                <w:rFonts w:eastAsia="標楷體" w:hint="eastAsia"/>
              </w:rPr>
              <w:t>兼任教師</w:t>
            </w:r>
            <w:r w:rsidRPr="009415E6">
              <w:rPr>
                <w:rFonts w:eastAsia="標楷體"/>
              </w:rPr>
              <w:tab/>
            </w:r>
            <w:r w:rsidRPr="009415E6">
              <w:rPr>
                <w:rFonts w:eastAsia="標楷體" w:hint="eastAsia"/>
              </w:rPr>
              <w:t>服務單位：中文系</w:t>
            </w:r>
            <w:r w:rsidRPr="009415E6">
              <w:rPr>
                <w:rFonts w:eastAsia="標楷體"/>
              </w:rPr>
              <w:tab/>
            </w:r>
            <w:r w:rsidRPr="009415E6">
              <w:rPr>
                <w:rFonts w:eastAsia="標楷體"/>
              </w:rPr>
              <w:tab/>
            </w:r>
            <w:r w:rsidRPr="009415E6">
              <w:rPr>
                <w:rFonts w:eastAsia="標楷體"/>
              </w:rPr>
              <w:tab/>
            </w:r>
            <w:r w:rsidRPr="009415E6">
              <w:rPr>
                <w:rFonts w:eastAsia="標楷體"/>
              </w:rPr>
              <w:tab/>
            </w:r>
            <w:r w:rsidRPr="009415E6">
              <w:rPr>
                <w:rFonts w:eastAsia="標楷體"/>
              </w:rPr>
              <w:tab/>
            </w:r>
            <w:r w:rsidRPr="009415E6">
              <w:rPr>
                <w:rFonts w:eastAsia="標楷體" w:hint="eastAsia"/>
              </w:rPr>
              <w:t>職稱：助理教授</w:t>
            </w:r>
          </w:p>
          <w:p w14:paraId="2C72DAB9" w14:textId="77777777" w:rsidR="009415E6" w:rsidRPr="009415E6" w:rsidRDefault="009415E6" w:rsidP="009415E6">
            <w:pPr>
              <w:spacing w:line="0" w:lineRule="atLeast"/>
              <w:rPr>
                <w:rFonts w:eastAsia="標楷體"/>
              </w:rPr>
            </w:pPr>
            <w:r w:rsidRPr="009415E6">
              <w:rPr>
                <w:rFonts w:eastAsia="標楷體" w:hint="eastAsia"/>
              </w:rPr>
              <w:t>學經歷：</w:t>
            </w:r>
          </w:p>
          <w:tbl>
            <w:tblPr>
              <w:tblpPr w:leftFromText="180" w:rightFromText="180" w:vertAnchor="text" w:horzAnchor="margin" w:tblpXSpec="center"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6641"/>
            </w:tblGrid>
            <w:tr w:rsidR="009415E6" w:rsidRPr="009415E6" w14:paraId="2D5F1A8A" w14:textId="77777777" w:rsidTr="006404C6">
              <w:tc>
                <w:tcPr>
                  <w:tcW w:w="1195" w:type="dxa"/>
                  <w:vAlign w:val="center"/>
                </w:tcPr>
                <w:p w14:paraId="4D3DAFD7" w14:textId="77777777" w:rsidR="009415E6" w:rsidRPr="009415E6" w:rsidRDefault="009415E6" w:rsidP="009415E6">
                  <w:pPr>
                    <w:spacing w:line="0" w:lineRule="atLeast"/>
                    <w:rPr>
                      <w:rFonts w:eastAsia="標楷體"/>
                      <w:b/>
                    </w:rPr>
                  </w:pPr>
                  <w:r w:rsidRPr="009415E6">
                    <w:rPr>
                      <w:rFonts w:eastAsia="標楷體" w:hint="eastAsia"/>
                    </w:rPr>
                    <w:t>經歷</w:t>
                  </w:r>
                </w:p>
              </w:tc>
              <w:tc>
                <w:tcPr>
                  <w:tcW w:w="6641" w:type="dxa"/>
                </w:tcPr>
                <w:p w14:paraId="528FB3A1" w14:textId="77777777" w:rsidR="009415E6" w:rsidRPr="009415E6" w:rsidRDefault="009415E6" w:rsidP="009415E6">
                  <w:pPr>
                    <w:spacing w:line="0" w:lineRule="atLeast"/>
                    <w:rPr>
                      <w:rFonts w:eastAsia="標楷體"/>
                    </w:rPr>
                  </w:pPr>
                  <w:r w:rsidRPr="009415E6">
                    <w:rPr>
                      <w:rFonts w:eastAsia="標楷體"/>
                    </w:rPr>
                    <w:t>國立中正大學</w:t>
                  </w:r>
                  <w:r w:rsidRPr="009415E6">
                    <w:rPr>
                      <w:rFonts w:eastAsia="標楷體" w:hint="eastAsia"/>
                    </w:rPr>
                    <w:t>中文系兼任助理教授</w:t>
                  </w:r>
                </w:p>
                <w:p w14:paraId="6DEB103C" w14:textId="77777777" w:rsidR="009415E6" w:rsidRPr="009415E6" w:rsidRDefault="009415E6" w:rsidP="009415E6">
                  <w:pPr>
                    <w:spacing w:line="0" w:lineRule="atLeast"/>
                    <w:rPr>
                      <w:rFonts w:eastAsia="標楷體"/>
                    </w:rPr>
                  </w:pPr>
                  <w:r w:rsidRPr="009415E6">
                    <w:rPr>
                      <w:rFonts w:eastAsia="標楷體" w:hint="eastAsia"/>
                    </w:rPr>
                    <w:t>台北醫學大學通識教育中心兼任助理教授</w:t>
                  </w:r>
                </w:p>
                <w:p w14:paraId="6DDACB73" w14:textId="77777777" w:rsidR="009415E6" w:rsidRPr="009415E6" w:rsidRDefault="009415E6" w:rsidP="009415E6">
                  <w:pPr>
                    <w:spacing w:line="0" w:lineRule="atLeast"/>
                    <w:rPr>
                      <w:rFonts w:eastAsia="標楷體"/>
                    </w:rPr>
                  </w:pPr>
                  <w:r w:rsidRPr="009415E6">
                    <w:rPr>
                      <w:rFonts w:eastAsia="標楷體" w:hint="eastAsia"/>
                    </w:rPr>
                    <w:t>元智大學通識教育中心兼任助理教授</w:t>
                  </w:r>
                </w:p>
                <w:p w14:paraId="7DBBEC24" w14:textId="77777777" w:rsidR="009415E6" w:rsidRPr="009415E6" w:rsidRDefault="009415E6" w:rsidP="009415E6">
                  <w:pPr>
                    <w:spacing w:line="0" w:lineRule="atLeast"/>
                    <w:rPr>
                      <w:rFonts w:eastAsia="標楷體"/>
                    </w:rPr>
                  </w:pPr>
                  <w:r w:rsidRPr="009415E6">
                    <w:rPr>
                      <w:rFonts w:eastAsia="標楷體" w:hint="eastAsia"/>
                    </w:rPr>
                    <w:t>逢甲大學通識教育中心兼任助理教授</w:t>
                  </w:r>
                </w:p>
              </w:tc>
            </w:tr>
            <w:tr w:rsidR="009415E6" w:rsidRPr="009415E6" w14:paraId="1ED359A7" w14:textId="77777777" w:rsidTr="006404C6">
              <w:tc>
                <w:tcPr>
                  <w:tcW w:w="1195" w:type="dxa"/>
                  <w:vMerge w:val="restart"/>
                  <w:vAlign w:val="center"/>
                </w:tcPr>
                <w:p w14:paraId="3489E48B" w14:textId="77777777" w:rsidR="009415E6" w:rsidRPr="009415E6" w:rsidRDefault="009415E6" w:rsidP="009415E6">
                  <w:pPr>
                    <w:spacing w:line="0" w:lineRule="atLeast"/>
                    <w:rPr>
                      <w:rFonts w:eastAsia="標楷體"/>
                      <w:b/>
                    </w:rPr>
                  </w:pPr>
                  <w:r w:rsidRPr="009415E6">
                    <w:rPr>
                      <w:rFonts w:eastAsia="標楷體" w:hint="eastAsia"/>
                    </w:rPr>
                    <w:t>學歷</w:t>
                  </w:r>
                </w:p>
              </w:tc>
              <w:tc>
                <w:tcPr>
                  <w:tcW w:w="6641" w:type="dxa"/>
                </w:tcPr>
                <w:p w14:paraId="29117C1E" w14:textId="77777777" w:rsidR="009415E6" w:rsidRPr="009415E6" w:rsidRDefault="009415E6" w:rsidP="009415E6">
                  <w:pPr>
                    <w:spacing w:line="0" w:lineRule="atLeast"/>
                    <w:rPr>
                      <w:rFonts w:eastAsia="標楷體"/>
                      <w:b/>
                    </w:rPr>
                  </w:pPr>
                  <w:r w:rsidRPr="009415E6">
                    <w:rPr>
                      <w:rFonts w:eastAsia="標楷體"/>
                    </w:rPr>
                    <w:t>國立</w:t>
                  </w:r>
                  <w:r w:rsidRPr="009415E6">
                    <w:rPr>
                      <w:rFonts w:eastAsia="標楷體" w:hint="eastAsia"/>
                    </w:rPr>
                    <w:t>成功</w:t>
                  </w:r>
                  <w:r w:rsidRPr="009415E6">
                    <w:rPr>
                      <w:rFonts w:eastAsia="標楷體"/>
                    </w:rPr>
                    <w:t>大學</w:t>
                  </w:r>
                  <w:r w:rsidRPr="009415E6">
                    <w:rPr>
                      <w:rFonts w:eastAsia="標楷體" w:hint="eastAsia"/>
                    </w:rPr>
                    <w:t>中文系</w:t>
                  </w:r>
                  <w:r w:rsidRPr="009415E6">
                    <w:rPr>
                      <w:rFonts w:eastAsia="標楷體"/>
                    </w:rPr>
                    <w:t>博士</w:t>
                  </w:r>
                </w:p>
              </w:tc>
            </w:tr>
            <w:tr w:rsidR="009415E6" w:rsidRPr="009415E6" w14:paraId="12AA7D49" w14:textId="77777777" w:rsidTr="006404C6">
              <w:tc>
                <w:tcPr>
                  <w:tcW w:w="1195" w:type="dxa"/>
                  <w:vMerge/>
                  <w:vAlign w:val="center"/>
                </w:tcPr>
                <w:p w14:paraId="2D230B79" w14:textId="77777777" w:rsidR="009415E6" w:rsidRPr="009415E6" w:rsidRDefault="009415E6" w:rsidP="009415E6">
                  <w:pPr>
                    <w:spacing w:line="0" w:lineRule="atLeast"/>
                    <w:rPr>
                      <w:rFonts w:eastAsia="標楷體"/>
                    </w:rPr>
                  </w:pPr>
                </w:p>
              </w:tc>
              <w:tc>
                <w:tcPr>
                  <w:tcW w:w="6641" w:type="dxa"/>
                </w:tcPr>
                <w:p w14:paraId="347BF674" w14:textId="77777777" w:rsidR="009415E6" w:rsidRPr="009415E6" w:rsidRDefault="009415E6" w:rsidP="009415E6">
                  <w:pPr>
                    <w:spacing w:line="0" w:lineRule="atLeast"/>
                    <w:rPr>
                      <w:rFonts w:eastAsia="標楷體"/>
                    </w:rPr>
                  </w:pPr>
                  <w:r w:rsidRPr="009415E6">
                    <w:rPr>
                      <w:rFonts w:eastAsia="標楷體" w:hint="eastAsia"/>
                    </w:rPr>
                    <w:t>國立中興大學中文系碩士</w:t>
                  </w:r>
                </w:p>
              </w:tc>
            </w:tr>
            <w:tr w:rsidR="009415E6" w:rsidRPr="009415E6" w14:paraId="3A8357D8" w14:textId="77777777" w:rsidTr="006404C6">
              <w:tc>
                <w:tcPr>
                  <w:tcW w:w="1195" w:type="dxa"/>
                  <w:vAlign w:val="center"/>
                </w:tcPr>
                <w:p w14:paraId="31951563" w14:textId="77777777" w:rsidR="009415E6" w:rsidRPr="009415E6" w:rsidRDefault="009415E6" w:rsidP="009415E6">
                  <w:pPr>
                    <w:spacing w:line="0" w:lineRule="atLeast"/>
                    <w:rPr>
                      <w:rFonts w:eastAsia="標楷體"/>
                    </w:rPr>
                  </w:pPr>
                  <w:r w:rsidRPr="009415E6">
                    <w:rPr>
                      <w:rFonts w:eastAsia="標楷體" w:hint="eastAsia"/>
                    </w:rPr>
                    <w:t>專業領域</w:t>
                  </w:r>
                </w:p>
              </w:tc>
              <w:tc>
                <w:tcPr>
                  <w:tcW w:w="6641" w:type="dxa"/>
                </w:tcPr>
                <w:p w14:paraId="3F6255D3" w14:textId="77777777" w:rsidR="009415E6" w:rsidRPr="009415E6" w:rsidRDefault="009415E6" w:rsidP="009415E6">
                  <w:pPr>
                    <w:spacing w:line="0" w:lineRule="atLeast"/>
                    <w:rPr>
                      <w:rFonts w:eastAsia="標楷體"/>
                      <w:b/>
                    </w:rPr>
                  </w:pPr>
                  <w:r w:rsidRPr="009415E6">
                    <w:rPr>
                      <w:rFonts w:eastAsia="標楷體" w:hint="eastAsia"/>
                    </w:rPr>
                    <w:t>神話學、楚辭</w:t>
                  </w:r>
                </w:p>
              </w:tc>
            </w:tr>
          </w:tbl>
          <w:p w14:paraId="1364F8A7" w14:textId="1D07109C" w:rsidR="009415E6" w:rsidRDefault="009415E6" w:rsidP="009415E6">
            <w:pPr>
              <w:spacing w:line="0" w:lineRule="atLeast"/>
              <w:rPr>
                <w:rFonts w:eastAsia="標楷體"/>
              </w:rPr>
            </w:pPr>
          </w:p>
        </w:tc>
      </w:tr>
      <w:tr w:rsidR="009415E6" w14:paraId="41B2E38F"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D46382F" w14:textId="77777777" w:rsidR="009415E6" w:rsidRDefault="009415E6" w:rsidP="009415E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69E6435B" w14:textId="77777777" w:rsidR="009415E6" w:rsidRDefault="009415E6" w:rsidP="009415E6">
            <w:pPr>
              <w:spacing w:line="0" w:lineRule="atLeast"/>
              <w:rPr>
                <w:rFonts w:eastAsia="標楷體"/>
              </w:rPr>
            </w:pPr>
          </w:p>
        </w:tc>
      </w:tr>
    </w:tbl>
    <w:p w14:paraId="06D0B534" w14:textId="77777777" w:rsidR="00010195" w:rsidRDefault="00010195"/>
    <w:sectPr w:rsidR="00010195" w:rsidSect="002E043C">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8E38" w14:textId="77777777" w:rsidR="00862E7D" w:rsidRDefault="00862E7D" w:rsidP="00F53800">
      <w:r>
        <w:separator/>
      </w:r>
    </w:p>
  </w:endnote>
  <w:endnote w:type="continuationSeparator" w:id="0">
    <w:p w14:paraId="2549BF87" w14:textId="77777777" w:rsidR="00862E7D" w:rsidRDefault="00862E7D"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1EC9" w14:textId="77777777" w:rsidR="00D2336D" w:rsidRDefault="00D233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FFB1" w14:textId="77777777" w:rsidR="00D2336D" w:rsidRDefault="00D233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DEBA" w14:textId="77777777" w:rsidR="00D2336D" w:rsidRDefault="00D2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658E" w14:textId="77777777" w:rsidR="00862E7D" w:rsidRDefault="00862E7D" w:rsidP="00F53800">
      <w:r>
        <w:separator/>
      </w:r>
    </w:p>
  </w:footnote>
  <w:footnote w:type="continuationSeparator" w:id="0">
    <w:p w14:paraId="0893E543" w14:textId="77777777" w:rsidR="00862E7D" w:rsidRDefault="00862E7D"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C90D" w14:textId="77777777" w:rsidR="00D2336D" w:rsidRDefault="00D233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6186" w14:textId="77777777" w:rsidR="00D2336D" w:rsidRDefault="00D233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FED6"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2AE03EB2"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ED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10845CB1"/>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2" w15:restartNumberingAfterBreak="0">
    <w:nsid w:val="10872DDD"/>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3" w15:restartNumberingAfterBreak="0">
    <w:nsid w:val="16D93746"/>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4" w15:restartNumberingAfterBreak="0">
    <w:nsid w:val="18EF4A6B"/>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5" w15:restartNumberingAfterBreak="0">
    <w:nsid w:val="1A8B7611"/>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6" w15:restartNumberingAfterBreak="0">
    <w:nsid w:val="2E4C526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7" w15:restartNumberingAfterBreak="0">
    <w:nsid w:val="38247F03"/>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8" w15:restartNumberingAfterBreak="0">
    <w:nsid w:val="478204BF"/>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9" w15:restartNumberingAfterBreak="0">
    <w:nsid w:val="56E84CAF"/>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0" w15:restartNumberingAfterBreak="0">
    <w:nsid w:val="59D50EC7"/>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1" w15:restartNumberingAfterBreak="0">
    <w:nsid w:val="6C874C6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2" w15:restartNumberingAfterBreak="0">
    <w:nsid w:val="6CC62E6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3" w15:restartNumberingAfterBreak="0">
    <w:nsid w:val="71895E90"/>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4" w15:restartNumberingAfterBreak="0">
    <w:nsid w:val="7492432E"/>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5" w15:restartNumberingAfterBreak="0">
    <w:nsid w:val="7BDB56CE"/>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num w:numId="1" w16cid:durableId="1719892466">
    <w:abstractNumId w:val="3"/>
  </w:num>
  <w:num w:numId="2" w16cid:durableId="431515498">
    <w:abstractNumId w:val="15"/>
  </w:num>
  <w:num w:numId="3" w16cid:durableId="1521552554">
    <w:abstractNumId w:val="9"/>
  </w:num>
  <w:num w:numId="4" w16cid:durableId="1294486307">
    <w:abstractNumId w:val="14"/>
  </w:num>
  <w:num w:numId="5" w16cid:durableId="1001154301">
    <w:abstractNumId w:val="12"/>
  </w:num>
  <w:num w:numId="6" w16cid:durableId="1474830186">
    <w:abstractNumId w:val="5"/>
  </w:num>
  <w:num w:numId="7" w16cid:durableId="664749595">
    <w:abstractNumId w:val="2"/>
  </w:num>
  <w:num w:numId="8" w16cid:durableId="756440939">
    <w:abstractNumId w:val="4"/>
  </w:num>
  <w:num w:numId="9" w16cid:durableId="988024137">
    <w:abstractNumId w:val="6"/>
  </w:num>
  <w:num w:numId="10" w16cid:durableId="509759705">
    <w:abstractNumId w:val="11"/>
  </w:num>
  <w:num w:numId="11" w16cid:durableId="1088186602">
    <w:abstractNumId w:val="0"/>
  </w:num>
  <w:num w:numId="12" w16cid:durableId="1033576338">
    <w:abstractNumId w:val="8"/>
  </w:num>
  <w:num w:numId="13" w16cid:durableId="111216822">
    <w:abstractNumId w:val="7"/>
  </w:num>
  <w:num w:numId="14" w16cid:durableId="1310404397">
    <w:abstractNumId w:val="13"/>
  </w:num>
  <w:num w:numId="15" w16cid:durableId="1981960889">
    <w:abstractNumId w:val="1"/>
  </w:num>
  <w:num w:numId="16" w16cid:durableId="282349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A73D2"/>
    <w:rsid w:val="00103B9F"/>
    <w:rsid w:val="00180BA5"/>
    <w:rsid w:val="001C01EC"/>
    <w:rsid w:val="001C0275"/>
    <w:rsid w:val="0022073D"/>
    <w:rsid w:val="002D0751"/>
    <w:rsid w:val="002E043C"/>
    <w:rsid w:val="002E17F3"/>
    <w:rsid w:val="003136AB"/>
    <w:rsid w:val="003940D2"/>
    <w:rsid w:val="003D5ECD"/>
    <w:rsid w:val="0043460B"/>
    <w:rsid w:val="00451230"/>
    <w:rsid w:val="00451DF6"/>
    <w:rsid w:val="004613C3"/>
    <w:rsid w:val="00464E0F"/>
    <w:rsid w:val="004730ED"/>
    <w:rsid w:val="004D1B51"/>
    <w:rsid w:val="004F6DC1"/>
    <w:rsid w:val="00555E99"/>
    <w:rsid w:val="006C1882"/>
    <w:rsid w:val="006F7D26"/>
    <w:rsid w:val="007A3F83"/>
    <w:rsid w:val="00824977"/>
    <w:rsid w:val="00853EF8"/>
    <w:rsid w:val="00862E7D"/>
    <w:rsid w:val="008A00CD"/>
    <w:rsid w:val="008C3804"/>
    <w:rsid w:val="008C6B80"/>
    <w:rsid w:val="008D1337"/>
    <w:rsid w:val="008E2B96"/>
    <w:rsid w:val="009205CF"/>
    <w:rsid w:val="009415E6"/>
    <w:rsid w:val="009474C6"/>
    <w:rsid w:val="009477A0"/>
    <w:rsid w:val="0096377B"/>
    <w:rsid w:val="009B6E1D"/>
    <w:rsid w:val="00A24EA5"/>
    <w:rsid w:val="00A24ECE"/>
    <w:rsid w:val="00A4115D"/>
    <w:rsid w:val="00A43778"/>
    <w:rsid w:val="00A72B60"/>
    <w:rsid w:val="00B23AF1"/>
    <w:rsid w:val="00B427E2"/>
    <w:rsid w:val="00B75145"/>
    <w:rsid w:val="00BB1219"/>
    <w:rsid w:val="00C037DA"/>
    <w:rsid w:val="00C52C0A"/>
    <w:rsid w:val="00D00431"/>
    <w:rsid w:val="00D0626C"/>
    <w:rsid w:val="00D2336D"/>
    <w:rsid w:val="00D24DE4"/>
    <w:rsid w:val="00D339B3"/>
    <w:rsid w:val="00D91AE9"/>
    <w:rsid w:val="00DE5276"/>
    <w:rsid w:val="00DF64C8"/>
    <w:rsid w:val="00E3470C"/>
    <w:rsid w:val="00E46EA2"/>
    <w:rsid w:val="00E602F8"/>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0A92"/>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9415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340D-FAE0-4EF5-B171-765DDFDD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陳逸根</cp:lastModifiedBy>
  <cp:revision>5</cp:revision>
  <cp:lastPrinted>2015-03-16T06:17:00Z</cp:lastPrinted>
  <dcterms:created xsi:type="dcterms:W3CDTF">2023-06-26T07:30:00Z</dcterms:created>
  <dcterms:modified xsi:type="dcterms:W3CDTF">2025-06-17T12:54:00Z</dcterms:modified>
</cp:coreProperties>
</file>