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E020" w14:textId="77777777" w:rsidR="000C7F3E" w:rsidRDefault="000C7F3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t>課程教學大綱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260"/>
        <w:gridCol w:w="1260"/>
        <w:gridCol w:w="1440"/>
        <w:gridCol w:w="2160"/>
      </w:tblGrid>
      <w:tr w:rsidR="000C7F3E" w14:paraId="690BF03F" w14:textId="77777777">
        <w:trPr>
          <w:trHeight w:val="526"/>
        </w:trPr>
        <w:tc>
          <w:tcPr>
            <w:tcW w:w="2160" w:type="dxa"/>
            <w:vAlign w:val="center"/>
          </w:tcPr>
          <w:p w14:paraId="78EE2D53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中文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60" w:type="dxa"/>
            <w:gridSpan w:val="3"/>
            <w:vAlign w:val="center"/>
          </w:tcPr>
          <w:p w14:paraId="644DB32D" w14:textId="366EAF30" w:rsidR="000C7F3E" w:rsidRPr="004477E9" w:rsidRDefault="004477E9">
            <w:pPr>
              <w:jc w:val="both"/>
              <w:rPr>
                <w:rFonts w:eastAsia="標楷體"/>
              </w:rPr>
            </w:pPr>
            <w:r w:rsidRPr="004477E9">
              <w:rPr>
                <w:rFonts w:ascii="標楷體" w:eastAsia="標楷體" w:hAnsi="標楷體" w:cs="新細明體"/>
                <w:kern w:val="0"/>
              </w:rPr>
              <w:t>行政法基礎理論與行政組織法專題研究(</w:t>
            </w:r>
            <w:r w:rsidR="00F51FF6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4477E9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440" w:type="dxa"/>
            <w:vAlign w:val="center"/>
          </w:tcPr>
          <w:p w14:paraId="13DFA017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開課單位：</w:t>
            </w:r>
          </w:p>
        </w:tc>
        <w:tc>
          <w:tcPr>
            <w:tcW w:w="2160" w:type="dxa"/>
            <w:vAlign w:val="center"/>
          </w:tcPr>
          <w:p w14:paraId="050D4490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法律</w:t>
            </w:r>
            <w:r w:rsidR="004477E9">
              <w:rPr>
                <w:rFonts w:eastAsia="標楷體" w:hint="eastAsia"/>
              </w:rPr>
              <w:t>學研究所</w:t>
            </w:r>
          </w:p>
        </w:tc>
      </w:tr>
      <w:tr w:rsidR="000C7F3E" w14:paraId="4A24276C" w14:textId="77777777">
        <w:trPr>
          <w:trHeight w:val="534"/>
        </w:trPr>
        <w:tc>
          <w:tcPr>
            <w:tcW w:w="2160" w:type="dxa"/>
            <w:vAlign w:val="center"/>
          </w:tcPr>
          <w:p w14:paraId="0A0C99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英文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60" w:type="dxa"/>
            <w:gridSpan w:val="3"/>
            <w:vAlign w:val="center"/>
          </w:tcPr>
          <w:p w14:paraId="207BAD51" w14:textId="4AAD4139" w:rsidR="000C7F3E" w:rsidRPr="00FB2C06" w:rsidRDefault="004477E9" w:rsidP="00FB2C06">
            <w:pPr>
              <w:pStyle w:val="a7"/>
            </w:pPr>
            <w:r w:rsidRPr="00FB2C06">
              <w:rPr>
                <w:kern w:val="0"/>
              </w:rPr>
              <w:t>Seminar on Fu</w:t>
            </w:r>
            <w:r w:rsidR="00053ED7" w:rsidRPr="00FB2C06">
              <w:rPr>
                <w:kern w:val="0"/>
              </w:rPr>
              <w:t>ndamental Theories of Organizati</w:t>
            </w:r>
            <w:r w:rsidRPr="00FB2C06">
              <w:rPr>
                <w:kern w:val="0"/>
              </w:rPr>
              <w:t>on in Administrative Law (</w:t>
            </w:r>
            <w:r w:rsidR="00286249">
              <w:rPr>
                <w:rFonts w:hint="eastAsia"/>
                <w:kern w:val="0"/>
              </w:rPr>
              <w:t>II</w:t>
            </w:r>
            <w:r w:rsidR="00286249">
              <w:rPr>
                <w:kern w:val="0"/>
              </w:rPr>
              <w:t>)</w:t>
            </w:r>
          </w:p>
        </w:tc>
        <w:tc>
          <w:tcPr>
            <w:tcW w:w="1440" w:type="dxa"/>
            <w:vAlign w:val="center"/>
          </w:tcPr>
          <w:p w14:paraId="43B4B752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課程代碼：</w:t>
            </w:r>
          </w:p>
        </w:tc>
        <w:tc>
          <w:tcPr>
            <w:tcW w:w="2160" w:type="dxa"/>
            <w:vAlign w:val="center"/>
          </w:tcPr>
          <w:p w14:paraId="06E995CA" w14:textId="742F5F4A" w:rsidR="000C7F3E" w:rsidRPr="008358A2" w:rsidRDefault="008358A2">
            <w:pPr>
              <w:jc w:val="both"/>
              <w:rPr>
                <w:rFonts w:eastAsia="標楷體"/>
              </w:rPr>
            </w:pPr>
            <w:r w:rsidRPr="008358A2">
              <w:t>60554</w:t>
            </w:r>
            <w:r w:rsidR="00966B4F">
              <w:t>12</w:t>
            </w:r>
            <w:r w:rsidRPr="008358A2">
              <w:t>_01</w:t>
            </w:r>
          </w:p>
        </w:tc>
      </w:tr>
      <w:tr w:rsidR="000C7F3E" w14:paraId="239AC3BF" w14:textId="77777777">
        <w:trPr>
          <w:cantSplit/>
          <w:trHeight w:val="180"/>
        </w:trPr>
        <w:tc>
          <w:tcPr>
            <w:tcW w:w="2160" w:type="dxa"/>
            <w:vMerge w:val="restart"/>
            <w:vAlign w:val="center"/>
          </w:tcPr>
          <w:p w14:paraId="6809272F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授課教師：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423124D2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江嘉琪</w:t>
            </w:r>
          </w:p>
        </w:tc>
        <w:tc>
          <w:tcPr>
            <w:tcW w:w="1440" w:type="dxa"/>
            <w:vAlign w:val="center"/>
          </w:tcPr>
          <w:p w14:paraId="725E5198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分機：</w:t>
            </w:r>
          </w:p>
        </w:tc>
        <w:tc>
          <w:tcPr>
            <w:tcW w:w="2160" w:type="dxa"/>
            <w:vAlign w:val="center"/>
          </w:tcPr>
          <w:p w14:paraId="276D3519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35119</w:t>
            </w:r>
          </w:p>
        </w:tc>
      </w:tr>
      <w:tr w:rsidR="000C7F3E" w14:paraId="635E207A" w14:textId="77777777">
        <w:trPr>
          <w:cantSplit/>
          <w:trHeight w:val="180"/>
        </w:trPr>
        <w:tc>
          <w:tcPr>
            <w:tcW w:w="2160" w:type="dxa"/>
            <w:vMerge/>
            <w:vAlign w:val="center"/>
          </w:tcPr>
          <w:p w14:paraId="03542AB1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14:paraId="4EF67389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FBB2131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2160" w:type="dxa"/>
            <w:vAlign w:val="center"/>
          </w:tcPr>
          <w:p w14:paraId="28F53E27" w14:textId="77777777" w:rsidR="000C7F3E" w:rsidRDefault="007402BB">
            <w:pPr>
              <w:jc w:val="both"/>
              <w:rPr>
                <w:rFonts w:eastAsia="標楷體"/>
              </w:rPr>
            </w:pPr>
            <w:r w:rsidRPr="007402BB">
              <w:rPr>
                <w:rFonts w:eastAsia="標楷體" w:hint="eastAsia"/>
              </w:rPr>
              <w:t>lawccj@ccu.edu.tw</w:t>
            </w:r>
          </w:p>
        </w:tc>
      </w:tr>
      <w:tr w:rsidR="000C7F3E" w14:paraId="5C51EA1F" w14:textId="77777777">
        <w:trPr>
          <w:trHeight w:val="505"/>
        </w:trPr>
        <w:tc>
          <w:tcPr>
            <w:tcW w:w="2160" w:type="dxa"/>
            <w:vAlign w:val="center"/>
          </w:tcPr>
          <w:p w14:paraId="2D10DF02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學分數：</w:t>
            </w:r>
          </w:p>
        </w:tc>
        <w:tc>
          <w:tcPr>
            <w:tcW w:w="1440" w:type="dxa"/>
            <w:vAlign w:val="center"/>
          </w:tcPr>
          <w:p w14:paraId="7B481EC6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60" w:type="dxa"/>
            <w:vAlign w:val="center"/>
          </w:tcPr>
          <w:p w14:paraId="18D183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必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/>
              </w:rPr>
              <w:t>選修：</w:t>
            </w:r>
          </w:p>
        </w:tc>
        <w:tc>
          <w:tcPr>
            <w:tcW w:w="1260" w:type="dxa"/>
            <w:vAlign w:val="center"/>
          </w:tcPr>
          <w:p w14:paraId="38C0AC9E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1440" w:type="dxa"/>
            <w:vAlign w:val="center"/>
          </w:tcPr>
          <w:p w14:paraId="52AAF5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開課級別：</w:t>
            </w:r>
          </w:p>
        </w:tc>
        <w:tc>
          <w:tcPr>
            <w:tcW w:w="2160" w:type="dxa"/>
            <w:vAlign w:val="center"/>
          </w:tcPr>
          <w:p w14:paraId="03AB43BA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碩博合開</w:t>
            </w:r>
          </w:p>
        </w:tc>
      </w:tr>
      <w:tr w:rsidR="000C7F3E" w:rsidRPr="00BB1925" w14:paraId="04F6A07B" w14:textId="77777777">
        <w:trPr>
          <w:trHeight w:val="527"/>
        </w:trPr>
        <w:tc>
          <w:tcPr>
            <w:tcW w:w="2160" w:type="dxa"/>
            <w:vAlign w:val="center"/>
          </w:tcPr>
          <w:p w14:paraId="4D8F7FE7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課程概述：</w:t>
            </w:r>
          </w:p>
        </w:tc>
        <w:tc>
          <w:tcPr>
            <w:tcW w:w="7560" w:type="dxa"/>
            <w:gridSpan w:val="5"/>
            <w:vAlign w:val="center"/>
          </w:tcPr>
          <w:p w14:paraId="6D6603CB" w14:textId="2E7731C5" w:rsidR="008F24DB" w:rsidRPr="008F24DB" w:rsidRDefault="00C763E7" w:rsidP="008F24D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政府採購法為涉及公法、私法、刑法及國際貿易法等諸多面向之法律，於我國學說上之討論文獻甚多，行政與司法實務上主管機關之函釋與法院裁判之數量更多不勝數，理論與實務上均存在許多</w:t>
            </w:r>
            <w:r w:rsidR="00535492">
              <w:rPr>
                <w:rFonts w:eastAsia="標楷體" w:hint="eastAsia"/>
              </w:rPr>
              <w:t>值得深入分析研究之</w:t>
            </w:r>
            <w:r>
              <w:rPr>
                <w:rFonts w:eastAsia="標楷體" w:hint="eastAsia"/>
              </w:rPr>
              <w:t>爭議。</w:t>
            </w:r>
            <w:r w:rsidR="00535492">
              <w:rPr>
                <w:rFonts w:eastAsia="標楷體" w:hint="eastAsia"/>
              </w:rPr>
              <w:t>1</w:t>
            </w:r>
            <w:r w:rsidR="00535492">
              <w:rPr>
                <w:rFonts w:eastAsia="標楷體"/>
              </w:rPr>
              <w:t>08</w:t>
            </w:r>
            <w:r w:rsidR="00535492">
              <w:rPr>
                <w:rFonts w:eastAsia="標楷體" w:hint="eastAsia"/>
              </w:rPr>
              <w:t>年</w:t>
            </w:r>
            <w:r w:rsidR="00535492">
              <w:rPr>
                <w:rFonts w:eastAsia="標楷體" w:hint="eastAsia"/>
              </w:rPr>
              <w:t>5</w:t>
            </w:r>
            <w:r w:rsidR="00535492">
              <w:rPr>
                <w:rFonts w:eastAsia="標楷體" w:hint="eastAsia"/>
              </w:rPr>
              <w:t>月政府採購法修法後，因應實務運作衍生之問題，</w:t>
            </w:r>
            <w:r w:rsidR="00164EFE">
              <w:rPr>
                <w:rFonts w:eastAsia="標楷體" w:hint="eastAsia"/>
              </w:rPr>
              <w:t>仍不乏修法之呼聲。</w:t>
            </w:r>
            <w:r>
              <w:rPr>
                <w:rFonts w:eastAsia="標楷體" w:hint="eastAsia"/>
              </w:rPr>
              <w:t>本學期</w:t>
            </w:r>
            <w:r w:rsidR="008F24DB">
              <w:rPr>
                <w:rFonts w:eastAsia="標楷體" w:hint="eastAsia"/>
              </w:rPr>
              <w:t>專題研究</w:t>
            </w:r>
            <w:r>
              <w:rPr>
                <w:rFonts w:eastAsia="標楷體" w:hint="eastAsia"/>
              </w:rPr>
              <w:t>擬以政府採購法為主題</w:t>
            </w:r>
            <w:r w:rsidR="008F24DB">
              <w:rPr>
                <w:rFonts w:eastAsia="標楷體" w:hint="eastAsia"/>
              </w:rPr>
              <w:t>，以</w:t>
            </w:r>
            <w:r w:rsidR="008F24DB" w:rsidRPr="008F24DB">
              <w:rPr>
                <w:rFonts w:eastAsia="標楷體" w:hint="eastAsia"/>
              </w:rPr>
              <w:t>我國行政與司法實務中的案例為主，</w:t>
            </w:r>
            <w:r w:rsidR="008F24DB">
              <w:rPr>
                <w:rFonts w:eastAsia="標楷體" w:hint="eastAsia"/>
              </w:rPr>
              <w:t>輔以外國學說理論，</w:t>
            </w:r>
            <w:r w:rsidR="008F24DB" w:rsidRPr="008F24DB">
              <w:rPr>
                <w:rFonts w:eastAsia="標楷體" w:hint="eastAsia"/>
              </w:rPr>
              <w:t>探討我國在此行政法各論領域之組織與作用法規現狀與發展趨勢。</w:t>
            </w:r>
          </w:p>
          <w:p w14:paraId="7DAC844B" w14:textId="12CDFB17" w:rsidR="008F24DB" w:rsidRPr="008F24DB" w:rsidRDefault="008F24DB" w:rsidP="008F24DB">
            <w:pPr>
              <w:jc w:val="both"/>
              <w:rPr>
                <w:rFonts w:eastAsia="標楷體"/>
              </w:rPr>
            </w:pPr>
            <w:r w:rsidRPr="008F24DB">
              <w:rPr>
                <w:rFonts w:eastAsia="標楷體" w:hint="eastAsia"/>
              </w:rPr>
              <w:t>本課程研究範圍大分如下：</w:t>
            </w:r>
          </w:p>
          <w:p w14:paraId="5E5C33B2" w14:textId="02D49DD8" w:rsidR="008F24DB" w:rsidRDefault="008F24DB" w:rsidP="008F24DB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採購法基本原理</w:t>
            </w:r>
            <w:r w:rsidRPr="008F24DB">
              <w:rPr>
                <w:rFonts w:eastAsia="標楷體" w:hint="eastAsia"/>
              </w:rPr>
              <w:t>：</w:t>
            </w:r>
          </w:p>
          <w:p w14:paraId="31B81819" w14:textId="3201B1CC" w:rsidR="005B0A7B" w:rsidRDefault="005B0A7B" w:rsidP="005B0A7B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公開原則、競爭原則、經濟原則、平等待遇原則、公共利益原則、公平合理原則等</w:t>
            </w:r>
          </w:p>
          <w:p w14:paraId="060EB881" w14:textId="3E2C4FC7" w:rsidR="000C59DA" w:rsidRDefault="000C59DA" w:rsidP="005B0A7B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政府採購程序之利益迴避</w:t>
            </w:r>
          </w:p>
          <w:p w14:paraId="1A1AD891" w14:textId="50319926" w:rsidR="000C59DA" w:rsidRPr="008F24DB" w:rsidRDefault="000C59DA" w:rsidP="00E67BE1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政府採購作為政策工具之法律問題：環保採購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創新採購</w:t>
            </w:r>
            <w:r>
              <w:rPr>
                <w:rFonts w:eastAsia="標楷體" w:hint="eastAsia"/>
              </w:rPr>
              <w:t>/</w:t>
            </w:r>
            <w:r w:rsidR="00E67BE1">
              <w:rPr>
                <w:rFonts w:eastAsia="標楷體" w:hint="eastAsia"/>
              </w:rPr>
              <w:t>原住民、婦女、勞工保護</w:t>
            </w:r>
          </w:p>
          <w:p w14:paraId="3B837FDC" w14:textId="473E85A9" w:rsidR="008F24DB" w:rsidRDefault="005B0A7B" w:rsidP="008F24DB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採購法之適用範圍：</w:t>
            </w:r>
          </w:p>
          <w:p w14:paraId="449A7CE3" w14:textId="5EE14E37" w:rsidR="005B0A7B" w:rsidRDefault="005B0A7B" w:rsidP="005B0A7B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客觀範圍：</w:t>
            </w:r>
          </w:p>
          <w:p w14:paraId="048282A7" w14:textId="6405E6D5" w:rsidR="005B0A7B" w:rsidRDefault="00E67BE1" w:rsidP="00E67BE1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採購之概念界定</w:t>
            </w:r>
            <w:r>
              <w:rPr>
                <w:rFonts w:eastAsia="標楷體" w:hint="eastAsia"/>
              </w:rPr>
              <w:t>/</w:t>
            </w:r>
            <w:r w:rsidR="00C51004">
              <w:rPr>
                <w:rFonts w:eastAsia="標楷體" w:hint="eastAsia"/>
              </w:rPr>
              <w:t>採購與促參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採購與補助</w:t>
            </w:r>
            <w:r>
              <w:rPr>
                <w:rFonts w:eastAsia="標楷體" w:hint="eastAsia"/>
              </w:rPr>
              <w:t>/</w:t>
            </w:r>
            <w:r w:rsidR="00C51004">
              <w:rPr>
                <w:rFonts w:eastAsia="標楷體" w:hint="eastAsia"/>
              </w:rPr>
              <w:t>藝文採購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除外規定</w:t>
            </w:r>
          </w:p>
          <w:p w14:paraId="2632A354" w14:textId="00BF1FA9" w:rsidR="005B0A7B" w:rsidRDefault="005B0A7B" w:rsidP="005B0A7B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主觀範圍：</w:t>
            </w:r>
          </w:p>
          <w:p w14:paraId="3F2E4EAB" w14:textId="6E9E7669" w:rsidR="00C51004" w:rsidRPr="008F24DB" w:rsidRDefault="00E67BE1" w:rsidP="005B0A7B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採購機關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公營事業之採購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受補助者與政府採購法之適用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行政法人對於政府採購法之適用</w:t>
            </w:r>
          </w:p>
          <w:p w14:paraId="3ECCDF08" w14:textId="6AA6A3BF" w:rsidR="008F24DB" w:rsidRDefault="005B0A7B" w:rsidP="008F24DB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採購程序與種類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採購行為之定性</w:t>
            </w:r>
            <w:r w:rsidR="008F24DB" w:rsidRPr="008F24DB">
              <w:rPr>
                <w:rFonts w:eastAsia="標楷體" w:hint="eastAsia"/>
              </w:rPr>
              <w:t>：</w:t>
            </w:r>
          </w:p>
          <w:p w14:paraId="15E4B938" w14:textId="3DAFD067" w:rsidR="005B0A7B" w:rsidRDefault="005B0A7B" w:rsidP="005B0A7B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公開招標、選擇性招標、限制性招標、最低標、最有利標</w:t>
            </w:r>
            <w:r w:rsidR="00C06E55">
              <w:rPr>
                <w:rFonts w:eastAsia="標楷體" w:hint="eastAsia"/>
              </w:rPr>
              <w:t>、資格綁標、規格綁標</w:t>
            </w:r>
          </w:p>
          <w:p w14:paraId="14179CB5" w14:textId="19CD1C27" w:rsidR="000C59DA" w:rsidRDefault="000C59DA" w:rsidP="00E67BE1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押標金不予發還及追繳：性質</w:t>
            </w:r>
            <w:r w:rsidR="00C51004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消滅時效</w:t>
            </w:r>
          </w:p>
          <w:p w14:paraId="1BCE9E0A" w14:textId="6CBDB35F" w:rsidR="008F24DB" w:rsidRPr="008F24DB" w:rsidRDefault="000C59DA" w:rsidP="00E67BE1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政府採購決標之法律性質</w:t>
            </w:r>
          </w:p>
          <w:p w14:paraId="6091B667" w14:textId="37DC1EEC" w:rsidR="008F24DB" w:rsidRDefault="005B0A7B" w:rsidP="008F24DB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不良廠商停權制度</w:t>
            </w:r>
          </w:p>
          <w:p w14:paraId="129B1E2D" w14:textId="1368A9E5" w:rsidR="00C51004" w:rsidRPr="008F24DB" w:rsidRDefault="00C51004" w:rsidP="00C51004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性質</w:t>
            </w:r>
            <w:r>
              <w:rPr>
                <w:rFonts w:eastAsia="標楷體" w:hint="eastAsia"/>
              </w:rPr>
              <w:t>/</w:t>
            </w:r>
            <w:r w:rsidR="00C06E55">
              <w:rPr>
                <w:rFonts w:eastAsia="標楷體" w:hint="eastAsia"/>
              </w:rPr>
              <w:t>行為數問題</w:t>
            </w:r>
            <w:r w:rsidR="00C06E55">
              <w:rPr>
                <w:rFonts w:eastAsia="標楷體" w:hint="eastAsia"/>
              </w:rPr>
              <w:t>/</w:t>
            </w:r>
            <w:r w:rsidR="00E67BE1">
              <w:rPr>
                <w:rFonts w:eastAsia="標楷體" w:hint="eastAsia"/>
              </w:rPr>
              <w:t>暫時權利保護</w:t>
            </w:r>
            <w:r w:rsidR="00E67BE1">
              <w:rPr>
                <w:rFonts w:eastAsia="標楷體" w:hint="eastAsia"/>
              </w:rPr>
              <w:t>/</w:t>
            </w:r>
            <w:r w:rsidR="00E67BE1">
              <w:rPr>
                <w:rFonts w:eastAsia="標楷體" w:hint="eastAsia"/>
              </w:rPr>
              <w:t>復權機制</w:t>
            </w:r>
          </w:p>
          <w:p w14:paraId="510F8647" w14:textId="686BAC7E" w:rsidR="008F24DB" w:rsidRPr="008F24DB" w:rsidRDefault="008F24DB" w:rsidP="008F24DB">
            <w:pPr>
              <w:jc w:val="both"/>
              <w:rPr>
                <w:rFonts w:eastAsia="標楷體"/>
              </w:rPr>
            </w:pPr>
          </w:p>
          <w:p w14:paraId="5B9F2B1B" w14:textId="25095B44" w:rsidR="008F24DB" w:rsidRDefault="005B0A7B" w:rsidP="008F24DB">
            <w:pPr>
              <w:numPr>
                <w:ilvl w:val="0"/>
                <w:numId w:val="7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採購爭議處理與權利救濟</w:t>
            </w:r>
          </w:p>
          <w:p w14:paraId="7DA586DF" w14:textId="7CC6B790" w:rsidR="00C51004" w:rsidRDefault="00C51004" w:rsidP="00C51004">
            <w:pPr>
              <w:pStyle w:val="ad"/>
              <w:rPr>
                <w:rFonts w:eastAsia="標楷體"/>
              </w:rPr>
            </w:pPr>
            <w:r>
              <w:rPr>
                <w:rFonts w:eastAsia="標楷體" w:hint="eastAsia"/>
              </w:rPr>
              <w:t>異議與申訴</w:t>
            </w:r>
          </w:p>
          <w:p w14:paraId="3CFA1865" w14:textId="2D8FB87E" w:rsidR="00C51004" w:rsidRDefault="00C51004" w:rsidP="00C51004">
            <w:pPr>
              <w:pStyle w:val="ad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未達公告金額案件之權利救濟申訴</w:t>
            </w:r>
          </w:p>
          <w:p w14:paraId="2CA70A38" w14:textId="314A64CC" w:rsidR="000C59DA" w:rsidRPr="008F24DB" w:rsidRDefault="00C51004" w:rsidP="00C06E55">
            <w:pPr>
              <w:ind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先調後仲問題</w:t>
            </w:r>
          </w:p>
          <w:p w14:paraId="102C759B" w14:textId="14F9C80B" w:rsidR="00535492" w:rsidRPr="005B0A7B" w:rsidRDefault="005B0A7B" w:rsidP="008E760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採購履約爭議、調解及仲裁、採購法之刑事處罰、政府採購協定</w:t>
            </w:r>
            <w:r w:rsidR="000C59DA">
              <w:rPr>
                <w:rFonts w:eastAsia="標楷體" w:hint="eastAsia"/>
              </w:rPr>
              <w:t>與國際條約與政府採購法之關聯</w:t>
            </w:r>
            <w:r>
              <w:rPr>
                <w:rFonts w:eastAsia="標楷體" w:hint="eastAsia"/>
              </w:rPr>
              <w:t>等問題雖非本課程之重點，惟選課同學若對相關問題有興趣而欲以之為報告主題，亦無不可。</w:t>
            </w:r>
          </w:p>
          <w:p w14:paraId="3FFDC18A" w14:textId="58678E78" w:rsidR="00724669" w:rsidRPr="008E7601" w:rsidRDefault="00724669" w:rsidP="008E7601">
            <w:pPr>
              <w:jc w:val="both"/>
              <w:rPr>
                <w:rFonts w:eastAsia="標楷體"/>
              </w:rPr>
            </w:pPr>
          </w:p>
        </w:tc>
      </w:tr>
      <w:tr w:rsidR="000C7F3E" w14:paraId="7F39304B" w14:textId="77777777">
        <w:trPr>
          <w:trHeight w:val="535"/>
        </w:trPr>
        <w:tc>
          <w:tcPr>
            <w:tcW w:w="2160" w:type="dxa"/>
            <w:vAlign w:val="center"/>
          </w:tcPr>
          <w:p w14:paraId="04773DE4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lastRenderedPageBreak/>
              <w:t>教學目標：</w:t>
            </w:r>
          </w:p>
        </w:tc>
        <w:tc>
          <w:tcPr>
            <w:tcW w:w="7560" w:type="dxa"/>
            <w:gridSpan w:val="5"/>
            <w:vAlign w:val="center"/>
          </w:tcPr>
          <w:p w14:paraId="6D8E17EF" w14:textId="73DEBB5F" w:rsidR="000C7F3E" w:rsidRPr="00E0458F" w:rsidRDefault="00F3746E" w:rsidP="006C0D66">
            <w:pPr>
              <w:ind w:leftChars="30" w:left="72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課程目標在使修課同學</w:t>
            </w:r>
            <w:r w:rsidR="00AF4838">
              <w:rPr>
                <w:rFonts w:eastAsia="標楷體" w:hAnsi="標楷體" w:hint="eastAsia"/>
              </w:rPr>
              <w:t>瞭解</w:t>
            </w:r>
            <w:r w:rsidR="00966B4F">
              <w:rPr>
                <w:rFonts w:eastAsia="標楷體" w:hAnsi="標楷體" w:hint="eastAsia"/>
              </w:rPr>
              <w:t>政府採購</w:t>
            </w:r>
            <w:r w:rsidR="003E13DE">
              <w:rPr>
                <w:rFonts w:eastAsia="標楷體" w:hAnsi="標楷體" w:hint="eastAsia"/>
              </w:rPr>
              <w:t>法制</w:t>
            </w:r>
            <w:r w:rsidR="00845DE8">
              <w:rPr>
                <w:rFonts w:eastAsia="標楷體" w:hAnsi="標楷體" w:hint="eastAsia"/>
              </w:rPr>
              <w:t>，</w:t>
            </w:r>
            <w:r w:rsidR="003E13DE">
              <w:rPr>
                <w:rFonts w:eastAsia="標楷體" w:hAnsi="標楷體" w:hint="eastAsia"/>
              </w:rPr>
              <w:t>使其瞭解</w:t>
            </w:r>
            <w:r w:rsidR="00845DE8">
              <w:rPr>
                <w:rFonts w:eastAsia="標楷體" w:hAnsi="標楷體" w:hint="eastAsia"/>
              </w:rPr>
              <w:t>實務</w:t>
            </w:r>
            <w:r w:rsidR="003E13DE">
              <w:rPr>
                <w:rFonts w:eastAsia="標楷體" w:hAnsi="標楷體" w:hint="eastAsia"/>
              </w:rPr>
              <w:t>爭議問題所在，並能對其</w:t>
            </w:r>
            <w:r w:rsidR="00FB2C06">
              <w:rPr>
                <w:rFonts w:eastAsia="標楷體" w:hAnsi="標楷體" w:hint="eastAsia"/>
              </w:rPr>
              <w:t>背後之學理</w:t>
            </w:r>
            <w:r w:rsidR="00845DE8">
              <w:rPr>
                <w:rFonts w:eastAsia="標楷體" w:hAnsi="標楷體" w:hint="eastAsia"/>
              </w:rPr>
              <w:t>有進一步之</w:t>
            </w:r>
            <w:r w:rsidR="004E5B4E">
              <w:rPr>
                <w:rFonts w:eastAsia="標楷體" w:hAnsi="標楷體" w:hint="eastAsia"/>
              </w:rPr>
              <w:t>理解與掌握。</w:t>
            </w:r>
          </w:p>
        </w:tc>
      </w:tr>
      <w:tr w:rsidR="000C7F3E" w14:paraId="7777D118" w14:textId="77777777">
        <w:trPr>
          <w:trHeight w:val="529"/>
        </w:trPr>
        <w:tc>
          <w:tcPr>
            <w:tcW w:w="2160" w:type="dxa"/>
            <w:vAlign w:val="center"/>
          </w:tcPr>
          <w:p w14:paraId="4FFEB2D8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教學方式：</w:t>
            </w:r>
          </w:p>
        </w:tc>
        <w:tc>
          <w:tcPr>
            <w:tcW w:w="7560" w:type="dxa"/>
            <w:gridSpan w:val="5"/>
            <w:vAlign w:val="center"/>
          </w:tcPr>
          <w:p w14:paraId="791FDD36" w14:textId="77777777" w:rsidR="004477E9" w:rsidRDefault="004477E9" w:rsidP="004477E9">
            <w:pPr>
              <w:ind w:left="240" w:hangingChars="109" w:hanging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de-DE"/>
              </w:rPr>
              <w:t xml:space="preserve">1. </w:t>
            </w:r>
            <w:r w:rsidRPr="00DE7A67">
              <w:rPr>
                <w:rFonts w:ascii="標楷體" w:eastAsia="標楷體" w:hAnsi="標楷體" w:hint="eastAsia"/>
                <w:lang w:val="de-DE"/>
              </w:rPr>
              <w:t>本課程視實際選修人數，前階段由授課老師指定參考文獻與議題，協助同學進行導讀與討論，後階段則由同學選定專題進行報告與討論。專題報告時，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選課同學須選定課程相關題目撰寫一萬字以上之完整書面報告，並於課堂提出口頭報告進行討論。</w:t>
            </w:r>
            <w:r w:rsidRPr="00DE7A67">
              <w:rPr>
                <w:rFonts w:ascii="標楷體" w:eastAsia="標楷體" w:hAnsi="標楷體" w:hint="eastAsia"/>
              </w:rPr>
              <w:t>口頭報告前一週，報告人應將完整報告內容以書面或電子檔送交老師與修課同學。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視專題報告情況，選課同學應回應老師與同學的討論與建議，於學期末提出修改後的書面報告。</w:t>
            </w:r>
          </w:p>
          <w:p w14:paraId="56764B2A" w14:textId="77777777" w:rsidR="004477E9" w:rsidRDefault="004477E9" w:rsidP="004477E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2. 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每位選課同學須擔任一次評論人，就其他同學的專題報告提出批評與建議。</w:t>
            </w:r>
            <w:r w:rsidRPr="00646F6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14:paraId="132E6F7D" w14:textId="77777777" w:rsidR="000C7F3E" w:rsidRDefault="004477E9" w:rsidP="004477E9">
            <w:pPr>
              <w:jc w:val="both"/>
              <w:rPr>
                <w:rFonts w:eastAsia="標楷體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3. 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每</w:t>
            </w:r>
            <w:r w:rsidRPr="00DE7A67">
              <w:rPr>
                <w:rFonts w:ascii="標楷體" w:eastAsia="標楷體" w:hAnsi="標楷體" w:hint="eastAsia"/>
              </w:rPr>
              <w:t>次上課請務必出席並參與討論，無法出席者需事先請假。</w:t>
            </w:r>
          </w:p>
        </w:tc>
      </w:tr>
      <w:tr w:rsidR="004E5B4E" w14:paraId="4A9CD611" w14:textId="77777777">
        <w:tc>
          <w:tcPr>
            <w:tcW w:w="2160" w:type="dxa"/>
            <w:vAlign w:val="center"/>
          </w:tcPr>
          <w:p w14:paraId="4A9D78E2" w14:textId="77777777" w:rsidR="004E5B4E" w:rsidRDefault="004E5B4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課程與系所發展目</w:t>
            </w:r>
            <w:r>
              <w:rPr>
                <w:rFonts w:eastAsia="標楷體" w:hAnsi="標楷體"/>
              </w:rPr>
              <w:lastRenderedPageBreak/>
              <w:t>標及學生基本能力指標相符程度說明：</w:t>
            </w:r>
          </w:p>
        </w:tc>
        <w:tc>
          <w:tcPr>
            <w:tcW w:w="7560" w:type="dxa"/>
            <w:gridSpan w:val="5"/>
            <w:vAlign w:val="center"/>
          </w:tcPr>
          <w:p w14:paraId="163356FD" w14:textId="24C94BB5" w:rsidR="004E5B4E" w:rsidRPr="00F16FD0" w:rsidRDefault="004E5B4E" w:rsidP="004E5B4E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cs="標楷體"/>
                <w:color w:val="000000"/>
                <w:kern w:val="0"/>
              </w:rPr>
            </w:pP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lastRenderedPageBreak/>
              <w:t>本課程主要在深化學生對於</w:t>
            </w:r>
            <w:r w:rsidR="00845DE8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行政</w:t>
            </w:r>
            <w:r w:rsidR="00966B4F">
              <w:rPr>
                <w:rFonts w:ascii="BiauKai" w:eastAsia="BiauKai" w:hAnsi="BiauKai" w:cs="標楷體" w:hint="eastAsia"/>
                <w:color w:val="000000"/>
                <w:kern w:val="0"/>
              </w:rPr>
              <w:t>法</w:t>
            </w:r>
            <w:r w:rsidR="009C55DB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相關</w:t>
            </w:r>
            <w:r w:rsidR="00845DE8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法律問題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之認，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識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符合本系發展</w:t>
            </w:r>
            <w:r w:rsidRPr="00F16FD0">
              <w:rPr>
                <w:rFonts w:ascii="BiauKai" w:eastAsia="BiauKai" w:hAnsi="BiauKai" w:cs="新細明體" w:hint="eastAsia"/>
                <w:color w:val="000000"/>
                <w:kern w:val="0"/>
              </w:rPr>
              <w:t>憲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法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行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政法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領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域之目</w:t>
            </w:r>
            <w:r w:rsidRPr="00F16FD0">
              <w:rPr>
                <w:rFonts w:ascii="BiauKai" w:eastAsia="BiauKai" w:hAnsi="BiauKai" w:cs="新細明體" w:hint="eastAsia"/>
                <w:color w:val="000000"/>
                <w:kern w:val="0"/>
              </w:rPr>
              <w:t>標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。</w:t>
            </w:r>
            <w:r w:rsidRPr="00F16FD0">
              <w:rPr>
                <w:rFonts w:ascii="BiauKai" w:eastAsia="BiauKai" w:hAnsi="BiauKai" w:cs="標楷體"/>
                <w:color w:val="000000"/>
                <w:kern w:val="0"/>
              </w:rPr>
              <w:t xml:space="preserve"> </w:t>
            </w:r>
          </w:p>
        </w:tc>
      </w:tr>
      <w:tr w:rsidR="00F16FD0" w14:paraId="1B68F788" w14:textId="77777777">
        <w:tc>
          <w:tcPr>
            <w:tcW w:w="2160" w:type="dxa"/>
            <w:vAlign w:val="center"/>
          </w:tcPr>
          <w:p w14:paraId="0E89EDA6" w14:textId="77777777" w:rsidR="00F16FD0" w:rsidRPr="00F16FD0" w:rsidRDefault="00F16FD0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5C6EA2D0" w14:textId="485FAE49" w:rsidR="00F16FD0" w:rsidRPr="00F16FD0" w:rsidRDefault="00F16FD0" w:rsidP="004E5B4E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cs="標楷體"/>
                <w:color w:val="000000"/>
                <w:kern w:val="0"/>
              </w:rPr>
            </w:pPr>
          </w:p>
        </w:tc>
      </w:tr>
    </w:tbl>
    <w:p w14:paraId="7DCD1FD1" w14:textId="77777777" w:rsidR="000C7F3E" w:rsidRDefault="000C7F3E">
      <w:pPr>
        <w:rPr>
          <w:rFonts w:eastAsia="標楷體"/>
        </w:rPr>
      </w:pPr>
    </w:p>
    <w:p w14:paraId="414A865E" w14:textId="77777777" w:rsidR="000C7F3E" w:rsidRDefault="000C7F3E">
      <w:pPr>
        <w:rPr>
          <w:rFonts w:eastAsia="標楷體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5040"/>
      </w:tblGrid>
      <w:tr w:rsidR="000C7F3E" w14:paraId="45400FDA" w14:textId="77777777">
        <w:trPr>
          <w:cantSplit/>
          <w:trHeight w:val="540"/>
        </w:trPr>
        <w:tc>
          <w:tcPr>
            <w:tcW w:w="2160" w:type="dxa"/>
            <w:vMerge w:val="restart"/>
            <w:vAlign w:val="center"/>
          </w:tcPr>
          <w:p w14:paraId="63119E4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授課教師專長及研究成果與任教科目一致性說明：</w:t>
            </w:r>
          </w:p>
        </w:tc>
        <w:tc>
          <w:tcPr>
            <w:tcW w:w="2520" w:type="dxa"/>
            <w:vAlign w:val="center"/>
          </w:tcPr>
          <w:p w14:paraId="35F24411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2A2A0915" w14:textId="77777777" w:rsidR="000C7F3E" w:rsidRDefault="000C7F3E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教師專長：</w:t>
            </w:r>
          </w:p>
          <w:p w14:paraId="29AB3A5B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5040" w:type="dxa"/>
            <w:vAlign w:val="center"/>
          </w:tcPr>
          <w:p w14:paraId="28EA72BA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憲法、行政法</w:t>
            </w:r>
          </w:p>
        </w:tc>
      </w:tr>
      <w:tr w:rsidR="000C7F3E" w14:paraId="7DD9A2A1" w14:textId="77777777">
        <w:trPr>
          <w:cantSplit/>
          <w:trHeight w:val="540"/>
        </w:trPr>
        <w:tc>
          <w:tcPr>
            <w:tcW w:w="2160" w:type="dxa"/>
            <w:vMerge/>
            <w:vAlign w:val="center"/>
          </w:tcPr>
          <w:p w14:paraId="45AD0692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14:paraId="19E1E9DB" w14:textId="77777777" w:rsidR="000C7F3E" w:rsidRDefault="000C7F3E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學術專長及研究成果與任教科目一致性說明：</w:t>
            </w:r>
          </w:p>
          <w:p w14:paraId="0AD52FBC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5040" w:type="dxa"/>
            <w:vAlign w:val="center"/>
          </w:tcPr>
          <w:p w14:paraId="2F94E31D" w14:textId="731A2C97" w:rsidR="000C7F3E" w:rsidRPr="00853920" w:rsidRDefault="00853920">
            <w:pPr>
              <w:jc w:val="both"/>
              <w:rPr>
                <w:rFonts w:eastAsia="標楷體" w:hAnsi="標楷體"/>
              </w:rPr>
            </w:pP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授課教師專研</w:t>
            </w:r>
            <w:r w:rsidR="0091767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行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政法與憲法，曾先後發表相關</w:t>
            </w:r>
            <w:r w:rsidR="00852F8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領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域</w:t>
            </w:r>
            <w:r w:rsidR="00852F8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論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文，學術專長及研究成果與任教科目完全一致。</w:t>
            </w:r>
          </w:p>
        </w:tc>
      </w:tr>
      <w:tr w:rsidR="000C7F3E" w14:paraId="490C583A" w14:textId="77777777">
        <w:trPr>
          <w:trHeight w:val="492"/>
        </w:trPr>
        <w:tc>
          <w:tcPr>
            <w:tcW w:w="2160" w:type="dxa"/>
            <w:vAlign w:val="center"/>
          </w:tcPr>
          <w:p w14:paraId="2140E530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成績計算方式：</w:t>
            </w:r>
          </w:p>
        </w:tc>
        <w:tc>
          <w:tcPr>
            <w:tcW w:w="7560" w:type="dxa"/>
            <w:gridSpan w:val="2"/>
            <w:vAlign w:val="center"/>
          </w:tcPr>
          <w:p w14:paraId="51A52F17" w14:textId="77777777" w:rsidR="000C7F3E" w:rsidRPr="00DE7A67" w:rsidRDefault="004477E9">
            <w:pPr>
              <w:jc w:val="both"/>
              <w:rPr>
                <w:rFonts w:ascii="標楷體" w:eastAsia="標楷體" w:hAnsi="標楷體"/>
              </w:rPr>
            </w:pPr>
            <w:r w:rsidRPr="00DE7A67">
              <w:rPr>
                <w:rFonts w:ascii="標楷體" w:eastAsia="標楷體" w:hAnsi="標楷體" w:hint="eastAsia"/>
              </w:rPr>
              <w:t>專題報告（含口頭及書面）佔學期總成績</w:t>
            </w:r>
            <w:r w:rsidRPr="00DE7A67">
              <w:rPr>
                <w:rFonts w:eastAsia="標楷體"/>
              </w:rPr>
              <w:t>60</w:t>
            </w:r>
            <w:r w:rsidRPr="00DE7A67">
              <w:rPr>
                <w:rFonts w:eastAsia="標楷體" w:hAnsi="標楷體"/>
              </w:rPr>
              <w:t>％</w:t>
            </w:r>
            <w:r w:rsidRPr="00DE7A67">
              <w:rPr>
                <w:rFonts w:ascii="標楷體" w:eastAsia="標楷體" w:hAnsi="標楷體" w:hint="eastAsia"/>
              </w:rPr>
              <w:t>；評論</w:t>
            </w:r>
            <w:r w:rsidRPr="00DE7A67">
              <w:rPr>
                <w:rFonts w:eastAsia="標楷體"/>
              </w:rPr>
              <w:t>20</w:t>
            </w:r>
            <w:r w:rsidRPr="00DE7A67">
              <w:rPr>
                <w:rFonts w:eastAsia="標楷體" w:hAnsi="標楷體"/>
              </w:rPr>
              <w:t>％</w:t>
            </w:r>
            <w:r w:rsidRPr="00DE7A67">
              <w:rPr>
                <w:rFonts w:ascii="標楷體" w:eastAsia="標楷體" w:hAnsi="標楷體" w:hint="eastAsia"/>
              </w:rPr>
              <w:t>；課堂參與</w:t>
            </w:r>
            <w:r w:rsidRPr="00DE7A67">
              <w:rPr>
                <w:rFonts w:eastAsia="標楷體"/>
              </w:rPr>
              <w:t>20</w:t>
            </w:r>
            <w:r w:rsidRPr="00DE7A67">
              <w:rPr>
                <w:rFonts w:eastAsia="標楷體" w:hAnsi="標楷體"/>
              </w:rPr>
              <w:t>％</w:t>
            </w:r>
          </w:p>
        </w:tc>
      </w:tr>
      <w:tr w:rsidR="000C7F3E" w14:paraId="094704B9" w14:textId="77777777">
        <w:trPr>
          <w:trHeight w:val="528"/>
        </w:trPr>
        <w:tc>
          <w:tcPr>
            <w:tcW w:w="2160" w:type="dxa"/>
            <w:vAlign w:val="center"/>
          </w:tcPr>
          <w:p w14:paraId="79A17EDC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參考書目：</w:t>
            </w:r>
          </w:p>
        </w:tc>
        <w:tc>
          <w:tcPr>
            <w:tcW w:w="7560" w:type="dxa"/>
            <w:gridSpan w:val="2"/>
            <w:vAlign w:val="center"/>
          </w:tcPr>
          <w:p w14:paraId="60513CDA" w14:textId="4584A689" w:rsidR="008E7601" w:rsidRPr="00355860" w:rsidRDefault="008E7601" w:rsidP="008E7601">
            <w:r w:rsidRPr="008E7601">
              <w:rPr>
                <w:rFonts w:hint="eastAsia"/>
              </w:rPr>
              <w:t>林家祺，政府採購法，</w:t>
            </w:r>
            <w:r w:rsidR="00355860">
              <w:rPr>
                <w:rFonts w:hint="eastAsia"/>
              </w:rPr>
              <w:t>5</w:t>
            </w:r>
            <w:r w:rsidRPr="008E7601">
              <w:rPr>
                <w:rFonts w:hint="eastAsia"/>
              </w:rPr>
              <w:t>版，新學林，</w:t>
            </w:r>
            <w:r w:rsidRPr="008E7601">
              <w:t>20</w:t>
            </w:r>
            <w:r w:rsidR="00355860">
              <w:t>22</w:t>
            </w:r>
            <w:r w:rsidRPr="008E7601">
              <w:rPr>
                <w:rFonts w:hint="eastAsia"/>
              </w:rPr>
              <w:t>年</w:t>
            </w:r>
          </w:p>
          <w:p w14:paraId="279868F0" w14:textId="17DE0AEE" w:rsidR="008E7601" w:rsidRPr="00355860" w:rsidRDefault="008E7601" w:rsidP="008E7601">
            <w:r w:rsidRPr="008E7601">
              <w:rPr>
                <w:rFonts w:hint="eastAsia"/>
              </w:rPr>
              <w:t>黃鈺華、蔡佩芳，政府採購法解讀－逐條釋義，</w:t>
            </w:r>
            <w:r w:rsidR="00355860">
              <w:rPr>
                <w:rFonts w:hint="eastAsia"/>
              </w:rPr>
              <w:t>8</w:t>
            </w:r>
            <w:r w:rsidRPr="008E7601">
              <w:rPr>
                <w:rFonts w:hint="eastAsia"/>
              </w:rPr>
              <w:t>版，元照，</w:t>
            </w:r>
            <w:r w:rsidRPr="008E7601">
              <w:t>20</w:t>
            </w:r>
            <w:r w:rsidR="00355860">
              <w:t>2</w:t>
            </w:r>
            <w:r w:rsidRPr="008E7601">
              <w:t>1</w:t>
            </w:r>
            <w:r w:rsidRPr="008E7601">
              <w:rPr>
                <w:rFonts w:hint="eastAsia"/>
              </w:rPr>
              <w:t>年</w:t>
            </w:r>
          </w:p>
          <w:p w14:paraId="1CFE8EB0" w14:textId="0E8CF123" w:rsidR="008E7601" w:rsidRDefault="008E7601" w:rsidP="008E7601">
            <w:r w:rsidRPr="008E7601">
              <w:rPr>
                <w:rFonts w:hint="eastAsia"/>
              </w:rPr>
              <w:t>潘秀菊，政府採購法，修訂</w:t>
            </w:r>
            <w:r w:rsidR="00355860">
              <w:rPr>
                <w:rFonts w:hint="eastAsia"/>
              </w:rPr>
              <w:t>2</w:t>
            </w:r>
            <w:r w:rsidRPr="008E7601">
              <w:rPr>
                <w:rFonts w:hint="eastAsia"/>
              </w:rPr>
              <w:t>版，新學林，</w:t>
            </w:r>
            <w:r w:rsidRPr="008E7601">
              <w:t>2012</w:t>
            </w:r>
            <w:r w:rsidRPr="008E7601">
              <w:rPr>
                <w:rFonts w:hint="eastAsia"/>
              </w:rPr>
              <w:t>年</w:t>
            </w:r>
          </w:p>
          <w:p w14:paraId="10DE9605" w14:textId="0C06438B" w:rsidR="00355860" w:rsidRPr="008E7601" w:rsidRDefault="00355860" w:rsidP="008E7601">
            <w:pPr>
              <w:rPr>
                <w:rFonts w:hint="eastAsia"/>
              </w:rPr>
            </w:pPr>
            <w:r w:rsidRPr="00355860">
              <w:rPr>
                <w:rFonts w:hint="eastAsia"/>
              </w:rPr>
              <w:t>潘秀菊，政府採購履約爭議實務判決評析，新學林，</w:t>
            </w:r>
            <w:r w:rsidRPr="00355860">
              <w:rPr>
                <w:rFonts w:hint="eastAsia"/>
              </w:rPr>
              <w:t>2019</w:t>
            </w:r>
            <w:r w:rsidRPr="00355860">
              <w:rPr>
                <w:rFonts w:hint="eastAsia"/>
              </w:rPr>
              <w:t>年</w:t>
            </w:r>
          </w:p>
          <w:p w14:paraId="6CB4C50F" w14:textId="66D10C67" w:rsidR="008E7601" w:rsidRPr="00355860" w:rsidRDefault="008E7601" w:rsidP="008E7601">
            <w:r w:rsidRPr="008E7601">
              <w:rPr>
                <w:rFonts w:hint="eastAsia"/>
              </w:rPr>
              <w:t>羅昌發，政府採購法與政府採購協定論析，</w:t>
            </w:r>
            <w:r w:rsidR="00355860">
              <w:rPr>
                <w:rFonts w:hint="eastAsia"/>
              </w:rPr>
              <w:t>3</w:t>
            </w:r>
            <w:r w:rsidRPr="008E7601">
              <w:rPr>
                <w:rFonts w:hint="eastAsia"/>
              </w:rPr>
              <w:t>版，元照，</w:t>
            </w:r>
            <w:r w:rsidRPr="008E7601">
              <w:t>2008</w:t>
            </w:r>
            <w:r w:rsidRPr="008E7601">
              <w:rPr>
                <w:rFonts w:hint="eastAsia"/>
              </w:rPr>
              <w:t>年</w:t>
            </w:r>
          </w:p>
          <w:p w14:paraId="438CBD4D" w14:textId="691B49D3" w:rsidR="008F227B" w:rsidRPr="00355860" w:rsidRDefault="008E7601" w:rsidP="003A2980">
            <w:r w:rsidRPr="008E7601">
              <w:rPr>
                <w:rFonts w:hint="eastAsia"/>
              </w:rPr>
              <w:t>謝哲勝</w:t>
            </w:r>
            <w:r w:rsidRPr="008E7601">
              <w:t>/</w:t>
            </w:r>
            <w:r w:rsidRPr="008E7601">
              <w:rPr>
                <w:rFonts w:hint="eastAsia"/>
              </w:rPr>
              <w:t>李金松，政府採購法實用，</w:t>
            </w:r>
            <w:r w:rsidR="00355860">
              <w:rPr>
                <w:rFonts w:hint="eastAsia"/>
              </w:rPr>
              <w:t>3</w:t>
            </w:r>
            <w:r w:rsidR="00355860">
              <w:rPr>
                <w:rFonts w:hint="eastAsia"/>
              </w:rPr>
              <w:t>版，</w:t>
            </w:r>
            <w:r w:rsidRPr="008E7601">
              <w:rPr>
                <w:rFonts w:hint="eastAsia"/>
              </w:rPr>
              <w:t>元照，</w:t>
            </w:r>
            <w:r w:rsidRPr="008E7601">
              <w:t>20</w:t>
            </w:r>
            <w:r w:rsidR="00355860">
              <w:t>22</w:t>
            </w:r>
            <w:r w:rsidRPr="008E7601">
              <w:rPr>
                <w:rFonts w:hint="eastAsia"/>
              </w:rPr>
              <w:t>年</w:t>
            </w:r>
          </w:p>
        </w:tc>
      </w:tr>
      <w:tr w:rsidR="000C7F3E" w14:paraId="1BC757C0" w14:textId="77777777">
        <w:trPr>
          <w:trHeight w:val="492"/>
        </w:trPr>
        <w:tc>
          <w:tcPr>
            <w:tcW w:w="2160" w:type="dxa"/>
          </w:tcPr>
          <w:p w14:paraId="048CE735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備註：</w:t>
            </w:r>
          </w:p>
        </w:tc>
        <w:tc>
          <w:tcPr>
            <w:tcW w:w="7560" w:type="dxa"/>
            <w:gridSpan w:val="2"/>
          </w:tcPr>
          <w:p w14:paraId="2C8E7FFF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71D125C3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7FA298A8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</w:tr>
    </w:tbl>
    <w:p w14:paraId="497E17D2" w14:textId="77777777" w:rsidR="000C7F3E" w:rsidRDefault="000C7F3E">
      <w:pPr>
        <w:rPr>
          <w:rFonts w:eastAsia="標楷體"/>
        </w:rPr>
      </w:pPr>
    </w:p>
    <w:sectPr w:rsidR="000C7F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08B0" w14:textId="77777777" w:rsidR="002A0B0B" w:rsidRDefault="002A0B0B" w:rsidP="00DC1EA2">
      <w:r>
        <w:separator/>
      </w:r>
    </w:p>
  </w:endnote>
  <w:endnote w:type="continuationSeparator" w:id="0">
    <w:p w14:paraId="682FA308" w14:textId="77777777" w:rsidR="002A0B0B" w:rsidRDefault="002A0B0B" w:rsidP="00DC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微軟正黑體"/>
    <w:panose1 w:val="02010601000101010101"/>
    <w:charset w:val="88"/>
    <w:family w:val="auto"/>
    <w:pitch w:val="variable"/>
    <w:sig w:usb0="800002E3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BD11" w14:textId="77777777" w:rsidR="002A0B0B" w:rsidRDefault="002A0B0B" w:rsidP="00DC1EA2">
      <w:r>
        <w:separator/>
      </w:r>
    </w:p>
  </w:footnote>
  <w:footnote w:type="continuationSeparator" w:id="0">
    <w:p w14:paraId="36DA870D" w14:textId="77777777" w:rsidR="002A0B0B" w:rsidRDefault="002A0B0B" w:rsidP="00DC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D0B"/>
    <w:multiLevelType w:val="hybridMultilevel"/>
    <w:tmpl w:val="CBFCFC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212015"/>
    <w:multiLevelType w:val="hybridMultilevel"/>
    <w:tmpl w:val="DBECAEE6"/>
    <w:lvl w:ilvl="0" w:tplc="D80242B0">
      <w:start w:val="1"/>
      <w:numFmt w:val="taiwaneseCountingThousand"/>
      <w:lvlText w:val="%1、"/>
      <w:lvlJc w:val="left"/>
      <w:pPr>
        <w:ind w:left="5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044168F"/>
    <w:multiLevelType w:val="hybridMultilevel"/>
    <w:tmpl w:val="D39E156A"/>
    <w:lvl w:ilvl="0" w:tplc="2D74109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92174C"/>
    <w:multiLevelType w:val="hybridMultilevel"/>
    <w:tmpl w:val="E5DA6986"/>
    <w:lvl w:ilvl="0" w:tplc="D29406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220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C8B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C403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7AF20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BAAE1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A82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4C34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24AD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5874CE"/>
    <w:multiLevelType w:val="hybridMultilevel"/>
    <w:tmpl w:val="06BCB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3882A86"/>
    <w:multiLevelType w:val="hybridMultilevel"/>
    <w:tmpl w:val="38B254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67A7771"/>
    <w:multiLevelType w:val="hybridMultilevel"/>
    <w:tmpl w:val="04907160"/>
    <w:lvl w:ilvl="0" w:tplc="2DAEBB1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num w:numId="1" w16cid:durableId="1910263843">
    <w:abstractNumId w:val="4"/>
  </w:num>
  <w:num w:numId="2" w16cid:durableId="628897026">
    <w:abstractNumId w:val="5"/>
  </w:num>
  <w:num w:numId="3" w16cid:durableId="1347440337">
    <w:abstractNumId w:val="0"/>
  </w:num>
  <w:num w:numId="4" w16cid:durableId="723286704">
    <w:abstractNumId w:val="6"/>
  </w:num>
  <w:num w:numId="5" w16cid:durableId="1417895652">
    <w:abstractNumId w:val="7"/>
  </w:num>
  <w:num w:numId="6" w16cid:durableId="417673830">
    <w:abstractNumId w:val="2"/>
  </w:num>
  <w:num w:numId="7" w16cid:durableId="1195197844">
    <w:abstractNumId w:val="1"/>
  </w:num>
  <w:num w:numId="8" w16cid:durableId="104598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F"/>
    <w:rsid w:val="00053ED7"/>
    <w:rsid w:val="000B16C2"/>
    <w:rsid w:val="000C59DA"/>
    <w:rsid w:val="000C7F3E"/>
    <w:rsid w:val="000E16E9"/>
    <w:rsid w:val="00164EFE"/>
    <w:rsid w:val="001A7550"/>
    <w:rsid w:val="0021757D"/>
    <w:rsid w:val="00286249"/>
    <w:rsid w:val="002A0B0B"/>
    <w:rsid w:val="00303F50"/>
    <w:rsid w:val="0031169E"/>
    <w:rsid w:val="00355860"/>
    <w:rsid w:val="003776F9"/>
    <w:rsid w:val="003A2980"/>
    <w:rsid w:val="003E13DE"/>
    <w:rsid w:val="00445552"/>
    <w:rsid w:val="004477E9"/>
    <w:rsid w:val="004514B4"/>
    <w:rsid w:val="0046394F"/>
    <w:rsid w:val="004744F7"/>
    <w:rsid w:val="00485833"/>
    <w:rsid w:val="004B2967"/>
    <w:rsid w:val="004D68F5"/>
    <w:rsid w:val="004E5B4E"/>
    <w:rsid w:val="004E7567"/>
    <w:rsid w:val="004F7F83"/>
    <w:rsid w:val="00535492"/>
    <w:rsid w:val="005364AC"/>
    <w:rsid w:val="00544EEF"/>
    <w:rsid w:val="00553960"/>
    <w:rsid w:val="00575165"/>
    <w:rsid w:val="005B0A7B"/>
    <w:rsid w:val="005C79E0"/>
    <w:rsid w:val="005E600A"/>
    <w:rsid w:val="0061120A"/>
    <w:rsid w:val="00692797"/>
    <w:rsid w:val="006C0B5B"/>
    <w:rsid w:val="006C0D66"/>
    <w:rsid w:val="006D7DDB"/>
    <w:rsid w:val="006E36EB"/>
    <w:rsid w:val="006E62F2"/>
    <w:rsid w:val="0071790B"/>
    <w:rsid w:val="00724669"/>
    <w:rsid w:val="00733A26"/>
    <w:rsid w:val="007402BB"/>
    <w:rsid w:val="00781434"/>
    <w:rsid w:val="007D395C"/>
    <w:rsid w:val="008358A2"/>
    <w:rsid w:val="00845DE8"/>
    <w:rsid w:val="00852F8B"/>
    <w:rsid w:val="00853920"/>
    <w:rsid w:val="00855AB9"/>
    <w:rsid w:val="00856AA4"/>
    <w:rsid w:val="00872020"/>
    <w:rsid w:val="008E456D"/>
    <w:rsid w:val="008E7601"/>
    <w:rsid w:val="008F00F9"/>
    <w:rsid w:val="008F227B"/>
    <w:rsid w:val="008F24DB"/>
    <w:rsid w:val="00917678"/>
    <w:rsid w:val="00945A62"/>
    <w:rsid w:val="009574AF"/>
    <w:rsid w:val="00966B4F"/>
    <w:rsid w:val="00967214"/>
    <w:rsid w:val="009B42DD"/>
    <w:rsid w:val="009C55DB"/>
    <w:rsid w:val="00A25E1A"/>
    <w:rsid w:val="00A33F09"/>
    <w:rsid w:val="00A669A2"/>
    <w:rsid w:val="00AA593A"/>
    <w:rsid w:val="00AF4838"/>
    <w:rsid w:val="00B556AC"/>
    <w:rsid w:val="00B64153"/>
    <w:rsid w:val="00BB1925"/>
    <w:rsid w:val="00BD49B0"/>
    <w:rsid w:val="00C06E55"/>
    <w:rsid w:val="00C51004"/>
    <w:rsid w:val="00C763E7"/>
    <w:rsid w:val="00C849B1"/>
    <w:rsid w:val="00CB1E12"/>
    <w:rsid w:val="00CB2F23"/>
    <w:rsid w:val="00CB3D54"/>
    <w:rsid w:val="00CB3D55"/>
    <w:rsid w:val="00CC4F9B"/>
    <w:rsid w:val="00CF1C74"/>
    <w:rsid w:val="00D52726"/>
    <w:rsid w:val="00D75E6C"/>
    <w:rsid w:val="00D82508"/>
    <w:rsid w:val="00D8589D"/>
    <w:rsid w:val="00DB3062"/>
    <w:rsid w:val="00DC0CB2"/>
    <w:rsid w:val="00DC1EA2"/>
    <w:rsid w:val="00DE624C"/>
    <w:rsid w:val="00DE7A67"/>
    <w:rsid w:val="00E0458F"/>
    <w:rsid w:val="00E3375F"/>
    <w:rsid w:val="00E40C98"/>
    <w:rsid w:val="00E51784"/>
    <w:rsid w:val="00E534EC"/>
    <w:rsid w:val="00E67BE1"/>
    <w:rsid w:val="00E77587"/>
    <w:rsid w:val="00F16FD0"/>
    <w:rsid w:val="00F35D49"/>
    <w:rsid w:val="00F3746E"/>
    <w:rsid w:val="00F51FF6"/>
    <w:rsid w:val="00FB2C06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FACF7"/>
  <w15:docId w15:val="{B8D1AEDB-3BD3-6D41-910F-C69493EE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95" w:hanging="495"/>
    </w:pPr>
    <w:rPr>
      <w:rFonts w:eastAsia="標楷體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495" w:hanging="495"/>
      <w:jc w:val="both"/>
    </w:pPr>
    <w:rPr>
      <w:rFonts w:eastAsia="標楷體"/>
    </w:rPr>
  </w:style>
  <w:style w:type="paragraph" w:styleId="a7">
    <w:name w:val="Body Text"/>
    <w:basedOn w:val="a"/>
    <w:link w:val="a8"/>
    <w:rsid w:val="00AA593A"/>
    <w:pPr>
      <w:spacing w:after="120"/>
    </w:pPr>
  </w:style>
  <w:style w:type="character" w:customStyle="1" w:styleId="a8">
    <w:name w:val="本文 字元"/>
    <w:basedOn w:val="a0"/>
    <w:link w:val="a7"/>
    <w:rsid w:val="00AA593A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Default">
    <w:name w:val="Default"/>
    <w:rsid w:val="004E5B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yle120">
    <w:name w:val="style120"/>
    <w:basedOn w:val="a0"/>
    <w:rsid w:val="008F227B"/>
  </w:style>
  <w:style w:type="paragraph" w:styleId="a9">
    <w:name w:val="header"/>
    <w:basedOn w:val="a"/>
    <w:link w:val="aa"/>
    <w:rsid w:val="00DC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DC1EA2"/>
    <w:rPr>
      <w:kern w:val="2"/>
    </w:rPr>
  </w:style>
  <w:style w:type="paragraph" w:styleId="ab">
    <w:name w:val="footer"/>
    <w:basedOn w:val="a"/>
    <w:link w:val="ac"/>
    <w:rsid w:val="00DC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DC1EA2"/>
    <w:rPr>
      <w:kern w:val="2"/>
    </w:rPr>
  </w:style>
  <w:style w:type="paragraph" w:styleId="ad">
    <w:name w:val="List Paragraph"/>
    <w:basedOn w:val="a"/>
    <w:uiPriority w:val="34"/>
    <w:qFormat/>
    <w:rsid w:val="004F7F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99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2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2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2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243</Words>
  <Characters>1388</Characters>
  <Application>Microsoft Office Word</Application>
  <DocSecurity>0</DocSecurity>
  <Lines>11</Lines>
  <Paragraphs>3</Paragraphs>
  <ScaleCrop>false</ScaleCrop>
  <Company>ccu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課程教學大綱</dc:title>
  <dc:creator>cculaw</dc:creator>
  <cp:lastModifiedBy>Microsoft Office User</cp:lastModifiedBy>
  <cp:revision>3</cp:revision>
  <cp:lastPrinted>2008-06-25T07:08:00Z</cp:lastPrinted>
  <dcterms:created xsi:type="dcterms:W3CDTF">2025-06-04T09:22:00Z</dcterms:created>
  <dcterms:modified xsi:type="dcterms:W3CDTF">2025-06-04T09:24:00Z</dcterms:modified>
</cp:coreProperties>
</file>