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96F1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574586B2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567"/>
        <w:gridCol w:w="361"/>
        <w:gridCol w:w="108"/>
        <w:gridCol w:w="1375"/>
        <w:gridCol w:w="850"/>
        <w:gridCol w:w="142"/>
        <w:gridCol w:w="1419"/>
        <w:gridCol w:w="706"/>
        <w:gridCol w:w="825"/>
        <w:gridCol w:w="1591"/>
        <w:gridCol w:w="1223"/>
      </w:tblGrid>
      <w:tr w:rsidR="004216F0" w:rsidRPr="003E44EA" w14:paraId="3A5F20B6" w14:textId="77777777" w:rsidTr="00A70ED5">
        <w:trPr>
          <w:cantSplit/>
          <w:jc w:val="center"/>
        </w:trPr>
        <w:tc>
          <w:tcPr>
            <w:tcW w:w="2234" w:type="pct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4D5147" w14:textId="22E1FB6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3F1ADB" w:rsidRPr="003F1ADB">
              <w:rPr>
                <w:rFonts w:ascii="Arial" w:eastAsia="標楷體" w:hAnsi="Arial" w:cs="Arial" w:hint="eastAsia"/>
                <w:szCs w:val="24"/>
                <w:lang w:eastAsia="zh-TW"/>
              </w:rPr>
              <w:t>電子學（一）</w:t>
            </w:r>
          </w:p>
        </w:tc>
        <w:tc>
          <w:tcPr>
            <w:tcW w:w="1020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D8E0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1613D92D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746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57FC" w14:textId="55CC17D2" w:rsidR="00CD6799" w:rsidRPr="003E44EA" w:rsidRDefault="003F1ADB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通訊系</w:t>
            </w:r>
          </w:p>
        </w:tc>
      </w:tr>
      <w:tr w:rsidR="004216F0" w:rsidRPr="003E44EA" w14:paraId="5B41B01C" w14:textId="77777777" w:rsidTr="00A70ED5">
        <w:trPr>
          <w:cantSplit/>
          <w:jc w:val="center"/>
        </w:trPr>
        <w:tc>
          <w:tcPr>
            <w:tcW w:w="2234" w:type="pct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6A880" w14:textId="146348FF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3F1ADB" w:rsidRPr="003F1ADB">
              <w:rPr>
                <w:rFonts w:ascii="Arial" w:eastAsia="標楷體" w:hAnsi="Arial" w:cs="Arial"/>
                <w:szCs w:val="24"/>
                <w:lang w:eastAsia="zh-TW"/>
              </w:rPr>
              <w:t>Electronics (I)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B3427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697CAD88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7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A33CA" w14:textId="241BA415" w:rsidR="00CD6799" w:rsidRPr="003E44EA" w:rsidRDefault="003F1AD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F1ADB">
              <w:rPr>
                <w:rFonts w:ascii="Arial" w:eastAsia="標楷體" w:hAnsi="Arial" w:cs="Arial"/>
                <w:szCs w:val="24"/>
                <w:lang w:eastAsia="zh-TW"/>
              </w:rPr>
              <w:t>4152006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4302002</w:t>
            </w:r>
          </w:p>
        </w:tc>
      </w:tr>
      <w:tr w:rsidR="00CD6799" w:rsidRPr="003E44EA" w14:paraId="71F09E10" w14:textId="77777777" w:rsidTr="0044500B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E1963" w14:textId="6382E2E0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3F1ADB">
              <w:rPr>
                <w:rFonts w:ascii="Arial" w:eastAsia="標楷體" w:hAnsi="Arial" w:cs="Arial" w:hint="eastAsia"/>
                <w:szCs w:val="24"/>
                <w:lang w:eastAsia="zh-TW"/>
              </w:rPr>
              <w:t>陳俊宏</w:t>
            </w:r>
          </w:p>
        </w:tc>
      </w:tr>
      <w:tr w:rsidR="004216F0" w:rsidRPr="003E44EA" w14:paraId="4F84B14A" w14:textId="77777777" w:rsidTr="00A70ED5">
        <w:trPr>
          <w:cantSplit/>
          <w:jc w:val="center"/>
        </w:trPr>
        <w:tc>
          <w:tcPr>
            <w:tcW w:w="6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C75F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34A96626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8317" w14:textId="0BCFC088" w:rsidR="00CD6799" w:rsidRPr="003E44EA" w:rsidRDefault="003F1ADB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E78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79CC7F5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DD6CB" w14:textId="5FE2687F" w:rsidR="00CD6799" w:rsidRPr="003E44EA" w:rsidRDefault="003F1ADB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必修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5E76A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006B93CB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208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1194C2" w14:textId="2F3CF556" w:rsidR="00CD6799" w:rsidRPr="003E44EA" w:rsidRDefault="003F1ADB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大二上</w:t>
            </w:r>
          </w:p>
        </w:tc>
      </w:tr>
      <w:tr w:rsidR="001F26B5" w:rsidRPr="003E44EA" w14:paraId="46D7A2A1" w14:textId="77777777" w:rsidTr="00A70ED5">
        <w:trPr>
          <w:cantSplit/>
          <w:jc w:val="center"/>
        </w:trPr>
        <w:tc>
          <w:tcPr>
            <w:tcW w:w="87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EE2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77E8F643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1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3C5117" w14:textId="06AE3B69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="002D6CAB">
              <w:rPr>
                <w:rFonts w:ascii="新細明體" w:hAnsi="新細明體" w:cs="Arial" w:hint="eastAsia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7FFB6CD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781488F9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26C59295" w14:textId="77777777" w:rsidTr="0044500B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6E329" w14:textId="1A20BBAB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邏輯設計、普通物理、微積分</w:t>
            </w:r>
          </w:p>
        </w:tc>
      </w:tr>
      <w:tr w:rsidR="00CD6799" w:rsidRPr="003E44EA" w14:paraId="69F30963" w14:textId="77777777" w:rsidTr="0044500B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952D2F" w14:textId="3C56D91F"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53DC9">
              <w:rPr>
                <w:rFonts w:ascii="Arial" w:eastAsia="標楷體" w:hAnsi="Arial" w:cs="Arial" w:hint="eastAsia"/>
                <w:szCs w:val="24"/>
                <w:lang w:eastAsia="zh-TW"/>
              </w:rPr>
              <w:t>在學生學習完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邏輯設計與基本物理基礎概念，進一步介紹</w:t>
            </w:r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電子電路中最基本的主動式元件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(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二極體、</w:t>
            </w:r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金氧半場</w:t>
            </w:r>
            <w:proofErr w:type="gramStart"/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效</w:t>
            </w:r>
            <w:proofErr w:type="gramEnd"/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電晶體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)</w:t>
            </w:r>
            <w:r w:rsidR="00C53DC9" w:rsidRPr="004533DF">
              <w:rPr>
                <w:rFonts w:ascii="Arial" w:eastAsia="標楷體" w:cs="Arial" w:hint="eastAsia"/>
                <w:szCs w:val="24"/>
                <w:lang w:eastAsia="zh-TW"/>
              </w:rPr>
              <w:t>與相關應用電路設計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(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放大器、邏輯電路設計</w:t>
            </w:r>
            <w:r w:rsidR="00C53DC9">
              <w:rPr>
                <w:rFonts w:ascii="Arial" w:eastAsia="標楷體" w:cs="Arial" w:hint="eastAsia"/>
                <w:szCs w:val="24"/>
                <w:lang w:eastAsia="zh-TW"/>
              </w:rPr>
              <w:t>)</w:t>
            </w:r>
          </w:p>
        </w:tc>
      </w:tr>
      <w:tr w:rsidR="00576795" w:rsidRPr="003E44EA" w14:paraId="674BF63E" w14:textId="77777777" w:rsidTr="0044500B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38095" w14:textId="77777777" w:rsidR="00C53DC9" w:rsidRDefault="00576795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4E1704CC" w14:textId="5F92D789" w:rsidR="00C53DC9" w:rsidRPr="004533DF" w:rsidRDefault="00C53DC9" w:rsidP="00C53DC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4533DF">
              <w:rPr>
                <w:rFonts w:ascii="Arial" w:eastAsia="標楷體" w:cs="Arial"/>
                <w:szCs w:val="24"/>
                <w:lang w:eastAsia="zh-TW"/>
              </w:rPr>
              <w:t>1.</w:t>
            </w:r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基本電子電路簡介</w:t>
            </w:r>
          </w:p>
          <w:p w14:paraId="641FD515" w14:textId="77777777" w:rsidR="00C53DC9" w:rsidRPr="004533DF" w:rsidRDefault="00C53DC9" w:rsidP="00C53DC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4533DF">
              <w:rPr>
                <w:rFonts w:ascii="Arial" w:eastAsia="標楷體" w:cs="Arial"/>
                <w:szCs w:val="24"/>
                <w:lang w:eastAsia="zh-TW"/>
              </w:rPr>
              <w:t>2.</w:t>
            </w:r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二極體原理與應用</w:t>
            </w:r>
          </w:p>
          <w:p w14:paraId="343E71B4" w14:textId="77777777" w:rsidR="00C53DC9" w:rsidRPr="004533DF" w:rsidRDefault="00C53DC9" w:rsidP="00C53DC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4533DF">
              <w:rPr>
                <w:rFonts w:ascii="Arial" w:eastAsia="標楷體" w:cs="Arial"/>
                <w:szCs w:val="24"/>
                <w:lang w:eastAsia="zh-TW"/>
              </w:rPr>
              <w:t>3.</w:t>
            </w:r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金氧半場</w:t>
            </w:r>
            <w:proofErr w:type="gramStart"/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效</w:t>
            </w:r>
            <w:proofErr w:type="gramEnd"/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電晶體的原理與應用</w:t>
            </w:r>
          </w:p>
          <w:p w14:paraId="5A9CCF85" w14:textId="77777777" w:rsidR="00C53DC9" w:rsidRPr="004533DF" w:rsidRDefault="00C53DC9" w:rsidP="00C53DC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4533DF">
              <w:rPr>
                <w:rFonts w:ascii="Arial" w:eastAsia="標楷體" w:cs="Arial"/>
                <w:szCs w:val="24"/>
                <w:lang w:eastAsia="zh-TW"/>
              </w:rPr>
              <w:t>4.</w:t>
            </w:r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金氧半場</w:t>
            </w:r>
            <w:proofErr w:type="gramStart"/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效</w:t>
            </w:r>
            <w:proofErr w:type="gramEnd"/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電晶體放大器設計</w:t>
            </w:r>
          </w:p>
          <w:p w14:paraId="4CD205F2" w14:textId="77777777" w:rsidR="00C53DC9" w:rsidRDefault="00C53DC9" w:rsidP="00C53DC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 w:rsidRPr="004533DF">
              <w:rPr>
                <w:rFonts w:ascii="Arial" w:eastAsia="標楷體" w:cs="Arial"/>
                <w:szCs w:val="24"/>
                <w:lang w:eastAsia="zh-TW"/>
              </w:rPr>
              <w:t>5.</w:t>
            </w:r>
            <w:r w:rsidRPr="004533DF">
              <w:rPr>
                <w:rFonts w:ascii="Arial" w:eastAsia="標楷體" w:cs="Arial" w:hint="eastAsia"/>
                <w:szCs w:val="24"/>
                <w:lang w:eastAsia="zh-TW"/>
              </w:rPr>
              <w:t>基本數位邏輯電路設計</w:t>
            </w:r>
          </w:p>
          <w:p w14:paraId="2BBC0657" w14:textId="303AEC95" w:rsidR="00576795" w:rsidRPr="003E44EA" w:rsidRDefault="00C53DC9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6.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差動放大器</w:t>
            </w:r>
          </w:p>
        </w:tc>
      </w:tr>
      <w:tr w:rsidR="004216F0" w:rsidRPr="003E44EA" w14:paraId="41A207E6" w14:textId="77777777" w:rsidTr="00A70ED5">
        <w:trPr>
          <w:cantSplit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A307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79A54311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3902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AE939" w14:textId="12582DFE" w:rsidR="00CD6799" w:rsidRPr="003E44EA" w:rsidRDefault="004216F0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t xml:space="preserve">Behzad </w:t>
            </w:r>
            <w:proofErr w:type="spellStart"/>
            <w:r>
              <w:t>Razavi</w:t>
            </w:r>
            <w:proofErr w:type="spellEnd"/>
            <w:r>
              <w:t>, “Fundamentals of Microelectronics,” John Wiley &amp; Sons, 2008, ISBN</w:t>
            </w:r>
            <w:r>
              <w:t>：</w:t>
            </w:r>
            <w:r>
              <w:t>978-0471478466.</w:t>
            </w:r>
          </w:p>
        </w:tc>
      </w:tr>
      <w:tr w:rsidR="004216F0" w:rsidRPr="003E44EA" w14:paraId="146A7BC6" w14:textId="3E606CD1" w:rsidTr="00A70ED5">
        <w:trPr>
          <w:cantSplit/>
          <w:jc w:val="center"/>
        </w:trPr>
        <w:tc>
          <w:tcPr>
            <w:tcW w:w="3650" w:type="pct"/>
            <w:gridSpan w:val="10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6E0" w14:textId="7C65D6F6" w:rsidR="004216F0" w:rsidRPr="003E44EA" w:rsidRDefault="004216F0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76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3D3E" w14:textId="77777777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71CB0422" w14:textId="30BE5B00" w:rsidR="004216F0" w:rsidRPr="003E44EA" w:rsidRDefault="004216F0" w:rsidP="00C53DC9">
            <w:pPr>
              <w:jc w:val="center"/>
              <w:rPr>
                <w:rFonts w:ascii="Arial" w:hAnsi="Arial" w:cs="Arial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58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973B7" w14:textId="77777777" w:rsidR="004216F0" w:rsidRDefault="004216F0" w:rsidP="00C53DC9">
            <w:pPr>
              <w:jc w:val="center"/>
              <w:rPr>
                <w:rFonts w:ascii="Arial" w:eastAsia="標楷體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 w:hint="eastAsia"/>
                <w:szCs w:val="24"/>
                <w:lang w:eastAsia="zh-TW"/>
              </w:rPr>
              <w:t>備註</w:t>
            </w:r>
          </w:p>
          <w:p w14:paraId="143B5C4E" w14:textId="7828696A" w:rsidR="004216F0" w:rsidRPr="003E44EA" w:rsidRDefault="004216F0" w:rsidP="00C53DC9">
            <w:pPr>
              <w:jc w:val="center"/>
              <w:rPr>
                <w:rFonts w:ascii="Arial" w:hAnsi="Arial" w:cs="Arial"/>
                <w:lang w:eastAsia="zh-TW"/>
              </w:rPr>
            </w:pPr>
            <w:r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</w:t>
            </w: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o</w:t>
            </w:r>
            <w:r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mment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</w:t>
            </w:r>
          </w:p>
        </w:tc>
      </w:tr>
      <w:tr w:rsidR="004216F0" w:rsidRPr="003E44EA" w14:paraId="3A6AF86F" w14:textId="22D01FD6" w:rsidTr="00A70ED5">
        <w:trPr>
          <w:cantSplit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124D" w14:textId="77777777" w:rsidR="004216F0" w:rsidRPr="003E44EA" w:rsidRDefault="004216F0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2D99F6BB" w14:textId="77777777" w:rsidR="004216F0" w:rsidRPr="003E44EA" w:rsidRDefault="004216F0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255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7E84" w14:textId="77777777" w:rsidR="004216F0" w:rsidRPr="003E44EA" w:rsidRDefault="004216F0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46E2A8CB" w14:textId="4DDF62B2" w:rsidR="004216F0" w:rsidRPr="003E44EA" w:rsidRDefault="004216F0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26D" w14:textId="77777777" w:rsidR="004216F0" w:rsidRPr="003E44EA" w:rsidRDefault="004216F0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2122F" w14:textId="77777777" w:rsidR="004216F0" w:rsidRPr="003E44EA" w:rsidRDefault="004216F0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427C93E7" w14:textId="3EABD8A5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93F1" w14:textId="4B27C2E5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hAnsi="Arial"/>
                <w:color w:val="000000"/>
                <w:szCs w:val="24"/>
              </w:rPr>
              <w:t>Introduction to Microelectronics 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7265" w14:textId="07A1339D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hAnsi="Arial"/>
                <w:color w:val="000000"/>
                <w:szCs w:val="24"/>
              </w:rPr>
              <w:t xml:space="preserve">Basic Concept </w:t>
            </w:r>
            <w:r>
              <w:rPr>
                <w:rFonts w:ascii="Arial" w:hAnsi="Arial"/>
                <w:color w:val="000000"/>
                <w:szCs w:val="24"/>
              </w:rPr>
              <w:t xml:space="preserve">for </w:t>
            </w:r>
            <w:r w:rsidRPr="004533DF">
              <w:rPr>
                <w:rFonts w:ascii="Arial" w:hAnsi="Arial"/>
                <w:color w:val="000000"/>
                <w:szCs w:val="24"/>
              </w:rPr>
              <w:t xml:space="preserve">Electronics </w:t>
            </w:r>
            <w:r>
              <w:rPr>
                <w:rFonts w:ascii="Arial" w:hAnsi="Arial"/>
                <w:color w:val="000000"/>
                <w:szCs w:val="24"/>
              </w:rPr>
              <w:t>and</w:t>
            </w:r>
            <w:r w:rsidRPr="004533DF">
              <w:rPr>
                <w:rFonts w:ascii="Arial" w:hAnsi="Arial"/>
                <w:color w:val="000000"/>
                <w:szCs w:val="24"/>
              </w:rPr>
              <w:t xml:space="preserve"> Mi</w:t>
            </w:r>
            <w:r w:rsidRPr="004533DF">
              <w:rPr>
                <w:rFonts w:ascii="Arial" w:hAnsi="Arial"/>
                <w:color w:val="000000"/>
                <w:szCs w:val="24"/>
                <w:lang w:eastAsia="zh-TW"/>
              </w:rPr>
              <w:t>cr</w:t>
            </w:r>
            <w:r w:rsidRPr="004533DF">
              <w:rPr>
                <w:rFonts w:ascii="Arial" w:hAnsi="Arial"/>
                <w:color w:val="000000"/>
                <w:szCs w:val="24"/>
              </w:rPr>
              <w:t>oelectronics</w:t>
            </w:r>
            <w:r w:rsidRPr="004533DF">
              <w:rPr>
                <w:rFonts w:ascii="Arial" w:hAnsi="Arial"/>
                <w:color w:val="000000"/>
                <w:szCs w:val="24"/>
              </w:rPr>
              <w:br/>
              <w:t>Examples of Electronics Systems</w:t>
            </w:r>
            <w:r w:rsidRPr="004533DF">
              <w:rPr>
                <w:rFonts w:ascii="Arial" w:hAnsi="Arial"/>
                <w:color w:val="000000"/>
                <w:szCs w:val="24"/>
              </w:rPr>
              <w:br/>
              <w:t xml:space="preserve">Semiconductor Materials and Their </w:t>
            </w:r>
            <w:r>
              <w:rPr>
                <w:rFonts w:ascii="Arial" w:hAnsi="Arial"/>
                <w:color w:val="000000"/>
                <w:szCs w:val="24"/>
              </w:rPr>
              <w:t>application</w:t>
            </w:r>
            <w:r w:rsidRPr="004533DF">
              <w:rPr>
                <w:rFonts w:ascii="Arial" w:hAnsi="Arial"/>
                <w:color w:val="000000"/>
                <w:szCs w:val="24"/>
              </w:rPr>
              <w:br/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4915" w14:textId="287EDACF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2FCA5" w14:textId="77777777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7D30FD3E" w14:textId="2733F210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FC9D" w14:textId="58D3006A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hAnsi="Arial"/>
                <w:color w:val="000000"/>
                <w:szCs w:val="24"/>
              </w:rPr>
              <w:t>Diodes   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C065" w14:textId="5C7EB6F3" w:rsidR="004216F0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The Ideal Diode</w:t>
            </w:r>
          </w:p>
          <w:p w14:paraId="043D7F74" w14:textId="464F30F9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hAnsi="Arial"/>
                <w:color w:val="000000"/>
                <w:szCs w:val="24"/>
              </w:rPr>
              <w:t>PN Junction</w:t>
            </w:r>
            <w:r w:rsidRPr="004533DF">
              <w:rPr>
                <w:rFonts w:ascii="Arial" w:hAnsi="Arial"/>
                <w:color w:val="000000"/>
                <w:szCs w:val="24"/>
              </w:rPr>
              <w:br/>
              <w:t>Reverse Breakdown</w:t>
            </w:r>
          </w:p>
          <w:p w14:paraId="3DB8AD05" w14:textId="2389FC1E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 xml:space="preserve">PN Junction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and Diode </w:t>
            </w: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Example</w:t>
            </w:r>
          </w:p>
          <w:p w14:paraId="7EE0D98A" w14:textId="75734A0D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8BE1" w14:textId="07E18BFB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DA0F94" w14:textId="77777777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65EA5AB6" w14:textId="1F6A352C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6FF" w14:textId="55995C49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Physics of MOS Transistors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506E" w14:textId="211D1FF2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MOSFET Structure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, </w:t>
            </w:r>
            <w:proofErr w:type="gramStart"/>
            <w:r>
              <w:rPr>
                <w:rFonts w:ascii="Arial" w:eastAsia="標楷體" w:hAnsi="Arial" w:cs="Arial"/>
                <w:szCs w:val="24"/>
                <w:lang w:eastAsia="zh-TW"/>
              </w:rPr>
              <w:t>model</w:t>
            </w:r>
            <w:proofErr w:type="gramEnd"/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and operation</w:t>
            </w:r>
          </w:p>
          <w:p w14:paraId="4D91C466" w14:textId="30674C00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CMOS Technology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6CFF" w14:textId="72C3E16A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693CE" w14:textId="77777777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1FC48ED4" w14:textId="5833262C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E6A0" w14:textId="05DB6C07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lastRenderedPageBreak/>
              <w:t>CMOS Amplifier (low-frequency response)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9E02" w14:textId="7777777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MOS Amplifier Topologies</w:t>
            </w:r>
          </w:p>
          <w:p w14:paraId="6BAE763C" w14:textId="7777777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Biasing</w:t>
            </w:r>
          </w:p>
          <w:p w14:paraId="1F14E603" w14:textId="4CE216E1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Common-Source Stage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&amp; </w:t>
            </w: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Common-Gate Stage</w:t>
            </w:r>
          </w:p>
          <w:p w14:paraId="7FC8B41D" w14:textId="7777777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Source Follower</w:t>
            </w:r>
          </w:p>
          <w:p w14:paraId="51B2B11F" w14:textId="7777777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Cascode</w:t>
            </w:r>
            <w:proofErr w:type="spellEnd"/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 xml:space="preserve"> Stage</w:t>
            </w:r>
          </w:p>
          <w:p w14:paraId="606A1BB6" w14:textId="4F41E460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Current Mirrors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0AAE" w14:textId="5FAB996A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4C56E7" w14:textId="204AC77F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4E052752" w14:textId="1E26C4D0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7C8" w14:textId="2DE32938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Digital CMOS Logic Circuits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03DC" w14:textId="7777777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 xml:space="preserve">Digital Circuit </w:t>
            </w:r>
            <w:proofErr w:type="gramStart"/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Design :</w:t>
            </w:r>
            <w:proofErr w:type="gramEnd"/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 xml:space="preserve"> An Overview</w:t>
            </w:r>
          </w:p>
          <w:p w14:paraId="67EE09CD" w14:textId="6BA3E537" w:rsidR="004216F0" w:rsidRPr="004533DF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 xml:space="preserve">Design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and Performance Analysis of </w:t>
            </w: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CMOS Inverter</w:t>
            </w:r>
          </w:p>
          <w:p w14:paraId="7E983E3E" w14:textId="31FAF97B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4533DF">
              <w:rPr>
                <w:rFonts w:ascii="Arial" w:eastAsia="標楷體" w:hAnsi="Arial" w:cs="Arial"/>
                <w:szCs w:val="24"/>
                <w:lang w:eastAsia="zh-TW"/>
              </w:rPr>
              <w:t>CMOS Logic-Gate Circuits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CD35" w14:textId="552965BA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591FC6" w14:textId="77777777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4216F0" w:rsidRPr="003E44EA" w14:paraId="3D294327" w14:textId="38825B5C" w:rsidTr="00A70ED5">
        <w:trPr>
          <w:cantSplit/>
          <w:trHeight w:val="567"/>
          <w:jc w:val="center"/>
        </w:trPr>
        <w:tc>
          <w:tcPr>
            <w:tcW w:w="1098" w:type="pct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500D" w14:textId="0441AEC4" w:rsidR="004216F0" w:rsidRPr="003E44EA" w:rsidRDefault="004216F0" w:rsidP="00C53DC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Difference Amplifier</w:t>
            </w:r>
          </w:p>
        </w:tc>
        <w:tc>
          <w:tcPr>
            <w:tcW w:w="255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48D4" w14:textId="77777777" w:rsidR="004216F0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Noise Consideration</w:t>
            </w:r>
          </w:p>
          <w:p w14:paraId="5F28CC9F" w14:textId="77777777" w:rsidR="004216F0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Common Mode Rejection</w:t>
            </w:r>
          </w:p>
          <w:p w14:paraId="3B3EE746" w14:textId="77777777" w:rsidR="004216F0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DC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Offset</w:t>
            </w:r>
          </w:p>
          <w:p w14:paraId="46CA0235" w14:textId="773B3767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Differential Amplifier with Active Load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8099" w14:textId="303071D4" w:rsidR="004216F0" w:rsidRPr="003E44EA" w:rsidRDefault="004216F0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1.1,2.1,2.2, 4.4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79E7A" w14:textId="77777777" w:rsidR="004216F0" w:rsidRPr="003E44EA" w:rsidRDefault="004216F0" w:rsidP="004216F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53DC9" w:rsidRPr="00711C69" w14:paraId="4D9C2998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01F346" w14:textId="77777777" w:rsidR="00C53DC9" w:rsidRPr="00711C69" w:rsidRDefault="00C53DC9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2CDEC8E8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9CE2526" w14:textId="7BDF7D5A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4741DD6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5A97E79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265B8CD" w14:textId="20A49910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436F904D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9FFAF51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0F58BFE" w14:textId="77777777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70879BE" w14:textId="308698C7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3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FBC515F" w14:textId="403305A2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3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3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5A178E4A" w14:textId="77777777" w:rsidR="00C53DC9" w:rsidRPr="00711C6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4BA9615" w14:textId="77777777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51C7E5F" w14:textId="62F4D260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65379A0B" w14:textId="211D8ACA" w:rsidR="00C53DC9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33D3161" w14:textId="77777777" w:rsidR="00C53DC9" w:rsidRPr="00711C69" w:rsidRDefault="00C53DC9" w:rsidP="00C53DC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C53DC9" w:rsidRPr="00725A9C" w14:paraId="714F17F2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</w:tcBorders>
            <w:shd w:val="clear" w:color="auto" w:fill="auto"/>
          </w:tcPr>
          <w:p w14:paraId="7AF49C1F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15164900" w14:textId="680A0431" w:rsidR="00C53DC9" w:rsidRPr="00725A9C" w:rsidRDefault="00C53DC9" w:rsidP="00C53DC9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新細明體" w:hAnsi="新細明體" w:cs="Arial" w:hint="eastAsia"/>
                <w:lang w:eastAsia="zh-TW"/>
              </w:rPr>
              <w:t>■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12FB42AB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C396067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03437CB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E4D418E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4D8EA7B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0A8614D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6A9A11D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4969CB9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10707C0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25C1207A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07A5FC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77A132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D6FBD53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2BF01E6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4B8D25C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6AEC5C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DFA7690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CA356CA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145737A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06BDEF7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555AD27" w14:textId="77777777" w:rsidR="00C53DC9" w:rsidRPr="00725A9C" w:rsidRDefault="00C53DC9" w:rsidP="00C53DC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2E0A215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EB6F5A4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FA71B7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1E94ADB" w14:textId="77777777" w:rsidR="00C53DC9" w:rsidRPr="00725A9C" w:rsidRDefault="00C53DC9" w:rsidP="00C53DC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DE97113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FA3C49D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8BA854B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69841F2" w14:textId="77777777" w:rsidR="00C53DC9" w:rsidRPr="00725A9C" w:rsidRDefault="00C53DC9" w:rsidP="00C53DC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A26C77E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CBFF9E0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BE1DCB0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2DC55BC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9D1C245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F16BB03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115C4D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30EB358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602E160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78D18BD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AFAD49E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BB6F97" w14:textId="77777777" w:rsidR="00C53DC9" w:rsidRPr="00725A9C" w:rsidRDefault="00C53DC9" w:rsidP="00C53DC9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8B4C48D" w14:textId="77777777" w:rsidR="00C53DC9" w:rsidRPr="001E39FB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9E5471C" w14:textId="77777777" w:rsidR="00C53DC9" w:rsidRPr="001E39FB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BE600F8" w14:textId="77777777" w:rsidR="00C53DC9" w:rsidRPr="001E39FB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1C01769" w14:textId="77777777" w:rsidR="00C53DC9" w:rsidRPr="00725A9C" w:rsidRDefault="00C53DC9" w:rsidP="00C53DC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0256820C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4BC7C5D3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9FD03B9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0A84B969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14A9" w14:textId="77777777" w:rsidR="009539DC" w:rsidRDefault="009539DC" w:rsidP="00177863">
      <w:pPr>
        <w:spacing w:after="0"/>
      </w:pPr>
      <w:r>
        <w:separator/>
      </w:r>
    </w:p>
  </w:endnote>
  <w:endnote w:type="continuationSeparator" w:id="0">
    <w:p w14:paraId="3B516A70" w14:textId="77777777" w:rsidR="009539DC" w:rsidRDefault="009539DC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B9CB" w14:textId="77777777" w:rsidR="009539DC" w:rsidRDefault="009539DC" w:rsidP="00177863">
      <w:pPr>
        <w:spacing w:after="0"/>
      </w:pPr>
      <w:r>
        <w:separator/>
      </w:r>
    </w:p>
  </w:footnote>
  <w:footnote w:type="continuationSeparator" w:id="0">
    <w:p w14:paraId="37E372B6" w14:textId="77777777" w:rsidR="009539DC" w:rsidRDefault="009539DC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99"/>
    <w:rsid w:val="0002016A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2D6CAB"/>
    <w:rsid w:val="00322703"/>
    <w:rsid w:val="003B7DF7"/>
    <w:rsid w:val="003C2242"/>
    <w:rsid w:val="003E44EA"/>
    <w:rsid w:val="003F1ADB"/>
    <w:rsid w:val="004216F0"/>
    <w:rsid w:val="00426918"/>
    <w:rsid w:val="004327EC"/>
    <w:rsid w:val="004411D7"/>
    <w:rsid w:val="0044500B"/>
    <w:rsid w:val="0047343D"/>
    <w:rsid w:val="00562844"/>
    <w:rsid w:val="00576795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539DC"/>
    <w:rsid w:val="0096187C"/>
    <w:rsid w:val="0097144A"/>
    <w:rsid w:val="009B104F"/>
    <w:rsid w:val="00A26B9E"/>
    <w:rsid w:val="00A31B52"/>
    <w:rsid w:val="00A31F8D"/>
    <w:rsid w:val="00A70ED5"/>
    <w:rsid w:val="00A96435"/>
    <w:rsid w:val="00B06D22"/>
    <w:rsid w:val="00B267B9"/>
    <w:rsid w:val="00B85776"/>
    <w:rsid w:val="00BD0110"/>
    <w:rsid w:val="00BE2C32"/>
    <w:rsid w:val="00C200E4"/>
    <w:rsid w:val="00C53DC9"/>
    <w:rsid w:val="00C77A16"/>
    <w:rsid w:val="00C92373"/>
    <w:rsid w:val="00C96749"/>
    <w:rsid w:val="00CB29A6"/>
    <w:rsid w:val="00CC7E42"/>
    <w:rsid w:val="00CD428D"/>
    <w:rsid w:val="00CD6799"/>
    <w:rsid w:val="00CD754D"/>
    <w:rsid w:val="00CF7DAC"/>
    <w:rsid w:val="00D3046F"/>
    <w:rsid w:val="00D46CAA"/>
    <w:rsid w:val="00D628AD"/>
    <w:rsid w:val="00D86410"/>
    <w:rsid w:val="00DC5FDF"/>
    <w:rsid w:val="00EC3741"/>
    <w:rsid w:val="00EE010D"/>
    <w:rsid w:val="00EE2C3C"/>
    <w:rsid w:val="00F47FBF"/>
    <w:rsid w:val="00F848D2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A960C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4176</Characters>
  <Application>Microsoft Office Word</Application>
  <DocSecurity>0</DocSecurity>
  <Lines>34</Lines>
  <Paragraphs>9</Paragraphs>
  <ScaleCrop>false</ScaleCrop>
  <Company>CCU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2024-05-31T01:26:00Z</dcterms:created>
  <dcterms:modified xsi:type="dcterms:W3CDTF">2024-05-31T01:26:00Z</dcterms:modified>
</cp:coreProperties>
</file>