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2C47" w14:textId="77777777" w:rsidR="00501543" w:rsidRPr="00501543" w:rsidRDefault="00501543" w:rsidP="0050154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中正大學課程大綱</w:t>
      </w: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(CCU Course Syllabus)</w:t>
      </w: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</w: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電機工程學系</w:t>
      </w: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(Department of Electrical Engineering)</w:t>
      </w: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840"/>
        <w:gridCol w:w="3024"/>
        <w:gridCol w:w="1333"/>
        <w:gridCol w:w="1423"/>
        <w:gridCol w:w="360"/>
      </w:tblGrid>
      <w:tr w:rsidR="00501543" w:rsidRPr="00501543" w14:paraId="17AA8925" w14:textId="77777777" w:rsidTr="00501543">
        <w:trPr>
          <w:tblCellSpacing w:w="0" w:type="dxa"/>
        </w:trPr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77D8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課程名稱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中文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)(Course Title (Chinese))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786C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電路學（一）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B296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開課單位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(Teaching Unit)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F764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電機工程學系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(Department of Electrical Engineering) </w:t>
            </w:r>
          </w:p>
        </w:tc>
      </w:tr>
      <w:tr w:rsidR="00501543" w:rsidRPr="00501543" w14:paraId="15F87180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C1F1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課程名稱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英文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)(Course Title (English))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2911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Electric Circuit </w:t>
            </w:r>
            <w:proofErr w:type="gramStart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 I</w:t>
            </w:r>
            <w:proofErr w:type="gramEnd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545B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課程代碼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(Course Code)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FA0CB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4152004_01 </w:t>
            </w:r>
          </w:p>
        </w:tc>
      </w:tr>
      <w:tr w:rsidR="00501543" w:rsidRPr="00501543" w14:paraId="226C37C6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7089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授課教師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(Lecturer)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1D244" w14:textId="277E7102" w:rsidR="00501543" w:rsidRPr="00501543" w:rsidRDefault="00D02175" w:rsidP="00501543">
            <w:pPr>
              <w:widowControl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劉祐任</w:t>
            </w:r>
          </w:p>
        </w:tc>
      </w:tr>
      <w:tr w:rsidR="00501543" w:rsidRPr="00501543" w14:paraId="0BE69F6A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45BD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學分數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(Number of Credits)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3B6F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02C7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必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選修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(Mandatory/Elective)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337C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必修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(Mandatory)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1F19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開課年級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(Year)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EFE8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大二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1520B6B2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E655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先修科目或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先備能力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(Prerequisites)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D7E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普通物理、微積分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0E6B59A6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D8A2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課程概述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(Course Introduction)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8E80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本課程會介紹電阻電路、電路分析技術、放大器、電感電容電路、交流電路，以及電功率分析。本課程之學習是其他電機相關課程之基礎。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42861852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F2B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學習目標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(Learning Goals)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F6122" w14:textId="77777777" w:rsidR="00640278" w:rsidRDefault="00501543" w:rsidP="001D520E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D520E">
              <w:rPr>
                <w:rFonts w:ascii="Times New Roman" w:eastAsia="新細明體" w:hAnsi="Times New Roman" w:cs="Times New Roman"/>
                <w:kern w:val="0"/>
                <w:szCs w:val="24"/>
              </w:rPr>
              <w:t>電阻電路分析技術</w:t>
            </w:r>
            <w:r w:rsidR="00640278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、</w:t>
            </w:r>
            <w:proofErr w:type="gramStart"/>
            <w:r w:rsidR="00640278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戴維寧等效分析</w:t>
            </w:r>
            <w:proofErr w:type="gramEnd"/>
          </w:p>
          <w:p w14:paraId="59DDFD5D" w14:textId="77777777" w:rsidR="001D520E" w:rsidRPr="00640278" w:rsidRDefault="00640278" w:rsidP="0064027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01543"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01543"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t>電感電容電路分析技術</w:t>
            </w:r>
          </w:p>
          <w:p w14:paraId="344DB27A" w14:textId="77777777" w:rsidR="00501543" w:rsidRDefault="00501543" w:rsidP="0064027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  <w:r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t>放大器</w:t>
            </w:r>
            <w:r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4.</w:t>
            </w:r>
            <w:r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t>交流電路分析技術</w:t>
            </w:r>
            <w:r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5.</w:t>
            </w:r>
            <w:r w:rsidRPr="00640278">
              <w:rPr>
                <w:rFonts w:ascii="Times New Roman" w:eastAsia="新細明體" w:hAnsi="Times New Roman" w:cs="Times New Roman"/>
                <w:kern w:val="0"/>
                <w:szCs w:val="24"/>
              </w:rPr>
              <w:t>電功率分析</w:t>
            </w:r>
          </w:p>
          <w:p w14:paraId="23C4B60F" w14:textId="77777777" w:rsidR="00197B42" w:rsidRDefault="00197B42" w:rsidP="0064027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. 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一階與二階暫態電路</w:t>
            </w:r>
          </w:p>
          <w:p w14:paraId="4C8918B8" w14:textId="77777777" w:rsidR="00640278" w:rsidRPr="00640278" w:rsidRDefault="00640278" w:rsidP="0064027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01543" w:rsidRPr="00501543" w14:paraId="3F81F990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FD496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教科書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(Textbook)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B4D5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D. J. Irwin and R. M. Nelms, Engineering Circuit Analysis, 10th edition, John Wiley &amp; Son, ISBN:978-0-470-87377-9 </w:t>
            </w:r>
          </w:p>
        </w:tc>
      </w:tr>
    </w:tbl>
    <w:p w14:paraId="784FDAAE" w14:textId="77777777" w:rsidR="00501543" w:rsidRPr="00501543" w:rsidRDefault="00501543" w:rsidP="0050154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</w:r>
      <w:r w:rsidRPr="0050154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</w: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647"/>
        <w:gridCol w:w="953"/>
        <w:gridCol w:w="1647"/>
        <w:gridCol w:w="1367"/>
        <w:gridCol w:w="860"/>
        <w:gridCol w:w="1287"/>
        <w:gridCol w:w="1073"/>
      </w:tblGrid>
      <w:tr w:rsidR="00501543" w:rsidRPr="00501543" w14:paraId="43CCABE3" w14:textId="77777777" w:rsidTr="0050154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54F75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課程大綱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(Course Syllabus)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5F3EC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分配時數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(Number of Hours)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B9C52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核心能力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(Core Capabilities)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8CBBC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(Remarks)</w:t>
            </w:r>
          </w:p>
        </w:tc>
      </w:tr>
      <w:tr w:rsidR="00501543" w:rsidRPr="00501543" w14:paraId="54D4C129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AECF9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單元主題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(Topic)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1C733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內容綱要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(Content)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3D8F3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講授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(Lecture)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6D1EC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示範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(Demonstration)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1717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習作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(Assignment)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2845A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其他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(Others)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C56F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1660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01543" w:rsidRPr="00501543" w14:paraId="24269429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0323D4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The Resistive Circuits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823F00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Ohm</w:t>
            </w:r>
            <w:proofErr w:type="gramStart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’</w:t>
            </w:r>
            <w:proofErr w:type="gramEnd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 Law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Kirchhoff</w:t>
            </w:r>
            <w:proofErr w:type="gramStart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’</w:t>
            </w:r>
            <w:proofErr w:type="gramEnd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 Law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Wye Delta Transformations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7CBAD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87C9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EFEFC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08FF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B1DCA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6BFEB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BC4550E">
                <v:shape id="_x0000_i1026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5FFE349">
                <v:shape id="_x0000_i1027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4BF4242">
                <v:shape id="_x0000_i1028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85DB68B">
                <v:shape id="_x0000_i1029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E30C0CC">
                <v:shape id="_x0000_i1030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F6124D5">
                <v:shape id="_x0000_i1031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CCEC73C">
                <v:shape id="_x0000_i1032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3BE2A0E">
                <v:shape id="_x0000_i1033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1602C3C">
                <v:shape id="_x0000_i1034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18DC8C6">
                <v:shape id="_x0000_i1035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C2B1AB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6936C09E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0EB4B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Circuit Analysis Techniques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37F02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Nodal Analysis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Loop Analysis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Application Example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4E502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2333A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40612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9BDC0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1471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75C18A3">
                <v:shape id="_x0000_i1036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32A14B6">
                <v:shape id="_x0000_i1037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0694863">
                <v:shape id="_x0000_i103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20AAF45">
                <v:shape id="_x0000_i1039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EF2C878">
                <v:shape id="_x0000_i1040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3018E71">
                <v:shape id="_x0000_i1041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DC25FA3">
                <v:shape id="_x0000_i1042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4DBE135">
                <v:shape id="_x0000_i1043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25B84CC">
                <v:shape id="_x0000_i1044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C025815">
                <v:shape id="_x0000_i1045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0F9EC87">
                <v:shape id="_x0000_i1046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311D1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4A3EC4B0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85A7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Operational Amplifier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47F9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Op-Amp Models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Fundamental Op-Amp Circuits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Comparators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FD2BE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4ABC5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EA25E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7EF73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FFF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EF3DB26">
                <v:shape id="_x0000_i1047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C2B0E0F">
                <v:shape id="_x0000_i104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AC71358">
                <v:shape id="_x0000_i1049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23DCBCC">
                <v:shape id="_x0000_i1050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7C006C2">
                <v:shape id="_x0000_i1051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CD01C6A">
                <v:shape id="_x0000_i1052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6DEE379">
                <v:shape id="_x0000_i1053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FC9986A">
                <v:shape id="_x0000_i1054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3E8CCDC">
                <v:shape id="_x0000_i1055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507F028">
                <v:shape id="_x0000_i1056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C951F60">
                <v:shape id="_x0000_i1057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E9ECB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3B31DBFB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0C5FF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Additional Circuit Analysis Techniques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CB54C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Superposition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Thevenin</w:t>
            </w:r>
            <w:proofErr w:type="gramStart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’</w:t>
            </w:r>
            <w:proofErr w:type="gramEnd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 and Norton</w:t>
            </w:r>
            <w:proofErr w:type="gramStart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’</w:t>
            </w:r>
            <w:proofErr w:type="gramEnd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 Theorems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Maximum Power Analysis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F8D3C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A332D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A3345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A387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7342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FE16E7A">
                <v:shape id="_x0000_i1058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6583EE6">
                <v:shape id="_x0000_i1059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271CBB4">
                <v:shape id="_x0000_i1060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2A0A38B">
                <v:shape id="_x0000_i1061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7AEB562">
                <v:shape id="_x0000_i1062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47138AF">
                <v:shape id="_x0000_i1063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698615F">
                <v:shape id="_x0000_i1064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EDC6482">
                <v:shape id="_x0000_i1065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808B7C0">
                <v:shape id="_x0000_i1066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17E2981">
                <v:shape id="_x0000_i1067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00AEACB">
                <v:shape id="_x0000_i1068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7B7C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4B45BBB8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D0F6B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The RLC Circuits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96803C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Capacitors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Inductors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RC Circuits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RC Operational Amplifier Circuits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253E5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9375B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D7C9F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29C15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A8D9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DDE38AD">
                <v:shape id="_x0000_i1069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13110E6">
                <v:shape id="_x0000_i1070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2622F69">
                <v:shape id="_x0000_i1071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BC1792E">
                <v:shape id="_x0000_i1072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852AFBB">
                <v:shape id="_x0000_i1073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72C607E">
                <v:shape id="_x0000_i1074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C7E8728">
                <v:shape id="_x0000_i1075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D13EB04">
                <v:shape id="_x0000_i1076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02BB7FD">
                <v:shape id="_x0000_i1077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83E664F">
                <v:shape id="_x0000_i107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CE7D936">
                <v:shape id="_x0000_i1079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5FFD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5412861A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F540A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Sinusoidal Steady-state Analysis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7E77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First-Order Circuits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Second-Order Circuits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AC Circuits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8B6E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C956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BC1EF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BB18F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9C9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584D7C4">
                <v:shape id="_x0000_i1080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4564A74">
                <v:shape id="_x0000_i1081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D730C39">
                <v:shape id="_x0000_i1082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1A8B681">
                <v:shape id="_x0000_i1083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06E5DDD">
                <v:shape id="_x0000_i1084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513A972">
                <v:shape id="_x0000_i1085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E58632B">
                <v:shape id="_x0000_i1086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FE1198D">
                <v:shape id="_x0000_i1087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99E0127">
                <v:shape id="_x0000_i108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D9F0137">
                <v:shape id="_x0000_i1089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7FEA931">
                <v:shape id="_x0000_i1090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AECD9B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1543" w:rsidRPr="00501543" w14:paraId="7768BB8A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AF88A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Steady-state Power Analysis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98BF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Instantaneous Power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Average Power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Maximum Average Power Transfer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The Power Factor 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Complex Power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3A48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4C00A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7F7FA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12270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2FCC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FADB3B6">
                <v:shape id="_x0000_i1091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5D43113">
                <v:shape id="_x0000_i1092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86B6537">
                <v:shape id="_x0000_i1093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B16DB7A">
                <v:shape id="_x0000_i1094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6EEB1C3">
                <v:shape id="_x0000_i1095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E264288">
                <v:shape id="_x0000_i1096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CD33A32">
                <v:shape id="_x0000_i1097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E6C3B07">
                <v:shape id="_x0000_i1098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9212B20">
                <v:shape id="_x0000_i1099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8802B37">
                <v:shape id="_x0000_i1100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806A67B">
                <v:shape id="_x0000_i1101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73854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</w:tbl>
    <w:p w14:paraId="07EF92D9" w14:textId="77777777" w:rsidR="00501543" w:rsidRPr="00501543" w:rsidRDefault="00501543" w:rsidP="00501543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501543" w:rsidRPr="00501543" w14:paraId="3ACA8A93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E15019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教育目標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(Education Goals)</w:t>
            </w:r>
          </w:p>
        </w:tc>
      </w:tr>
      <w:tr w:rsidR="00501543" w:rsidRPr="00501543" w14:paraId="4C57E474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330BC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1.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一、專業素養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傳授學生電機工程相關知識，配合各種實驗的進行，達到理論與實務相結合之目的。</w:t>
            </w:r>
          </w:p>
        </w:tc>
      </w:tr>
      <w:tr w:rsidR="00501543" w:rsidRPr="00501543" w14:paraId="60CA72ED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E40616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2.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二、問題解析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訓練學生具有分析與解決問題的能力。</w:t>
            </w:r>
          </w:p>
        </w:tc>
      </w:tr>
      <w:tr w:rsidR="00501543" w:rsidRPr="00501543" w14:paraId="2DA548BD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A7CE6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3.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三、團隊合作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訓練學生良好的溝通技巧，並培養分工合作發揮團隊力量的能力。</w:t>
            </w:r>
          </w:p>
        </w:tc>
      </w:tr>
      <w:tr w:rsidR="00501543" w:rsidRPr="00501543" w14:paraId="291A94BA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E44AE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4.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四、產業趨勢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培養學生瞭解國內外相關產業之現狀與需求，並理解專業倫理及社會責任。</w:t>
            </w:r>
          </w:p>
        </w:tc>
      </w:tr>
      <w:tr w:rsidR="00501543" w:rsidRPr="00501543" w14:paraId="70511BF7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C8735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  <w:p w14:paraId="53FEC825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核心能力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(Core Capabilities)</w:t>
            </w:r>
          </w:p>
        </w:tc>
      </w:tr>
      <w:tr w:rsidR="00501543" w:rsidRPr="00501543" w14:paraId="1AE73521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AABB7A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1.1.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瞭解電機工程基礎知識。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Understanding of fundamental knowledges in Electrical Engineering.</w:t>
            </w:r>
          </w:p>
        </w:tc>
      </w:tr>
      <w:tr w:rsidR="00501543" w:rsidRPr="00501543" w14:paraId="6B8CB674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EDE59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1.2.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培養電機工程實作能力。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Ability to practice Electrical Engineering.</w:t>
            </w:r>
          </w:p>
        </w:tc>
      </w:tr>
      <w:tr w:rsidR="00501543" w:rsidRPr="00501543" w14:paraId="1160F192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40649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1.3.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訓練技術報告寫作與簡報的能力。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Ability to write technical reports and make effective presentations.</w:t>
            </w:r>
          </w:p>
        </w:tc>
      </w:tr>
      <w:tr w:rsidR="00501543" w:rsidRPr="00501543" w14:paraId="1E36FC30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201E4B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2.1.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培養分析問題的能力。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Ability to analyze engineering problems.</w:t>
            </w:r>
          </w:p>
        </w:tc>
      </w:tr>
      <w:tr w:rsidR="00501543" w:rsidRPr="00501543" w14:paraId="3DF78A76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75883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2.2.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培養善用資源以解決問題的能力。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Ability to apply resource in problem solving.</w:t>
            </w:r>
          </w:p>
        </w:tc>
      </w:tr>
      <w:tr w:rsidR="00501543" w:rsidRPr="00501543" w14:paraId="5942AF3B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879A9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3.1.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培養溝通與表達的能力。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Ability to communicate and express effectively.</w:t>
            </w:r>
          </w:p>
        </w:tc>
      </w:tr>
      <w:tr w:rsidR="00501543" w:rsidRPr="00501543" w14:paraId="0C489D8B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49477E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3.2.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訓練運用個人專長，與他人合作完成專案計畫。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Ability to contribute effectively as an individual, and as a member or leader in team works.</w:t>
            </w:r>
          </w:p>
        </w:tc>
      </w:tr>
      <w:tr w:rsidR="00501543" w:rsidRPr="00501543" w14:paraId="5678998E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D09F3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4.1.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瞭解國內外相關產業現況。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Understanding of the trend of both domestic and global industry.</w:t>
            </w:r>
          </w:p>
        </w:tc>
      </w:tr>
      <w:tr w:rsidR="00501543" w:rsidRPr="00501543" w14:paraId="1F611EFE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A7CC9A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4.2.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理解工程倫理及社會責任。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Understanding of engineering ethics and social responsibilities.</w:t>
            </w:r>
          </w:p>
        </w:tc>
      </w:tr>
      <w:tr w:rsidR="00501543" w:rsidRPr="00501543" w14:paraId="3F126F7D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EEB13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4.3.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培養良好的資訊能力。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Proficiency in information processing.</w:t>
            </w:r>
          </w:p>
        </w:tc>
      </w:tr>
      <w:tr w:rsidR="00501543" w:rsidRPr="00501543" w14:paraId="1989A05F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4BF1D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4.4. 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培養科技英文能力。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Proficiency in technical English.</w:t>
            </w:r>
          </w:p>
        </w:tc>
      </w:tr>
      <w:tr w:rsidR="00501543" w:rsidRPr="00501543" w14:paraId="7D02DECD" w14:textId="77777777" w:rsidTr="00501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DA192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請尊重智慧財產權，不得非法影印教師指定之教科書籍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(Please respect to the intellectual property rights, do not photocopy the textbooks which assigned by professors.)</w:t>
            </w:r>
          </w:p>
        </w:tc>
      </w:tr>
    </w:tbl>
    <w:p w14:paraId="722A5A2D" w14:textId="77777777" w:rsidR="00501543" w:rsidRPr="00501543" w:rsidRDefault="00501543" w:rsidP="0050154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7"/>
      </w:tblGrid>
      <w:tr w:rsidR="00501543" w:rsidRPr="00501543" w14:paraId="6C93AA36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26C5A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教學要點概述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(Course Details)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</w:tr>
      <w:tr w:rsidR="00501543" w:rsidRPr="00501543" w14:paraId="2903750B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BA9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1. 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教材編選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(Teaching Materials)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22DC428">
                <v:shape id="_x0000_i1102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自編教材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proofErr w:type="spellStart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Self Developed</w:t>
            </w:r>
            <w:proofErr w:type="spellEnd"/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)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0CAF598">
                <v:shape id="_x0000_i1103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教科書作者提供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(Provided by Textbook Authors)</w:t>
            </w:r>
          </w:p>
        </w:tc>
      </w:tr>
      <w:tr w:rsidR="00501543" w:rsidRPr="00501543" w14:paraId="1D7D9BCD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DE02C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2. 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教學方法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(Teaching Method)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53C9180">
                <v:shape id="_x0000_i1104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投影片講述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(Lecture Slides)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FA6A7B4">
                <v:shape id="_x0000_i1105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板書講述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(Blackboard Teaching)</w:t>
            </w:r>
          </w:p>
        </w:tc>
      </w:tr>
      <w:tr w:rsidR="00501543" w:rsidRPr="00501543" w14:paraId="78A3D75F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EDA9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3. 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(Grading Method)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77C73D0">
                <v:shape id="_x0000_i1106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上課點名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(Attendance) 10%,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C73E115">
                <v:shape id="_x0000_i1107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小考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(Quiz) 40%,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48EB965">
                <v:shape id="_x0000_i110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作業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(Assignment) 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26B3E91">
                <v:shape id="_x0000_i1109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程式實作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(Programming) 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74C2993">
                <v:shape id="_x0000_i1110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實習報告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(Technical Report) 0%,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                      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FE3D1A1">
                <v:shape id="_x0000_i1111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專案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(Project) 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21EDF69D">
                <v:shape id="_x0000_i1112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期中考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(Mid-Term Exam) 20%,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11AB8CE">
                <v:shape id="_x0000_i1113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期末考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(Final Exam) 30%,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9309386">
                <v:shape id="_x0000_i1114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期末報告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(Final Report) 0%,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798499C">
                <v:shape id="_x0000_i1115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其它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(Others) 0%</w:t>
            </w:r>
          </w:p>
        </w:tc>
      </w:tr>
      <w:tr w:rsidR="00501543" w:rsidRPr="00501543" w14:paraId="1459EFFE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A4A8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4. 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教學資源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(Teaching Resources)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484C958D">
                <v:shape id="_x0000_i1116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課程網站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(Course Web Site)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D121EAF">
                <v:shape id="_x0000_i1117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教材電子檔供下載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(Downloadable Electronic Materials) 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B2FFEF4">
                <v:shape id="_x0000_i111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實習網站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(Lab Web Site)</w:t>
            </w:r>
          </w:p>
        </w:tc>
      </w:tr>
      <w:tr w:rsidR="00501543" w:rsidRPr="00501543" w14:paraId="370C3061" w14:textId="77777777" w:rsidTr="005015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899AC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5. 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教學相關配合事項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(Other requirements)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</w:tr>
    </w:tbl>
    <w:p w14:paraId="69A8CB5C" w14:textId="77777777" w:rsidR="00501543" w:rsidRPr="00501543" w:rsidRDefault="00501543" w:rsidP="0050154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7744"/>
      </w:tblGrid>
      <w:tr w:rsidR="00501543" w:rsidRPr="00501543" w14:paraId="70CF70D6" w14:textId="77777777" w:rsidTr="0050154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E654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課程目標與教育核心能力相關性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(Relationship between course education goals and core capabilities)          </w:t>
            </w:r>
            <w:r w:rsidRPr="00501543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如有未出現的核心能力，請先按『確定』送出資料</w:t>
            </w:r>
          </w:p>
        </w:tc>
      </w:tr>
      <w:tr w:rsidR="00501543" w:rsidRPr="00501543" w14:paraId="71DF0717" w14:textId="77777777" w:rsidTr="0050154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8B61B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請勾選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(Please select)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7B54DF9B">
                <v:shape id="_x0000_i1119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02133F03">
                <v:shape id="_x0000_i1120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76519C0">
                <v:shape id="_x0000_i1121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C99B56B">
                <v:shape id="_x0000_i1122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FD18C1B">
                <v:shape id="_x0000_i1123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54F8D787">
                <v:shape id="_x0000_i1124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9712949">
                <v:shape id="_x0000_i1125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3.2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549CE28">
                <v:shape id="_x0000_i1126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6B7698F0">
                <v:shape id="_x0000_i1127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4.2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3FD6292C">
                <v:shape id="_x0000_i1128" type="#_x0000_t75" style="width:17.5pt;height:13.05pt">
                  <v:imagedata r:id="rId6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4.3</w:t>
            </w:r>
            <w:r w:rsidR="00000000">
              <w:rPr>
                <w:rFonts w:ascii="Times New Roman" w:eastAsia="新細明體" w:hAnsi="Times New Roman" w:cs="Times New Roman"/>
                <w:kern w:val="0"/>
                <w:szCs w:val="24"/>
              </w:rPr>
              <w:pict w14:anchorId="15F64BBD">
                <v:shape id="_x0000_i1129" type="#_x0000_t75" style="width:17.5pt;height:13.05pt">
                  <v:imagedata r:id="rId5" o:title=""/>
                </v:shape>
              </w:pic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</w:tr>
      <w:tr w:rsidR="00501543" w:rsidRPr="00501543" w14:paraId="2BEA672C" w14:textId="77777777" w:rsidTr="00501543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00308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0FF2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瞭解電機工程基礎知識。</w:t>
            </w: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Understanding of fundamental knowledges in Electrical Engineering.</w:t>
            </w:r>
          </w:p>
        </w:tc>
      </w:tr>
      <w:tr w:rsidR="00501543" w:rsidRPr="00501543" w14:paraId="4889CA90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C63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4436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為何有關：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電路學為電機工程的基礎知識</w:t>
            </w:r>
          </w:p>
        </w:tc>
      </w:tr>
      <w:tr w:rsidR="00501543" w:rsidRPr="00501543" w14:paraId="7E4E6A99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CC67C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76A8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達成指標：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使學生了解所提出的內容綱要</w:t>
            </w:r>
          </w:p>
        </w:tc>
      </w:tr>
      <w:tr w:rsidR="00501543" w:rsidRPr="00501543" w14:paraId="0AB2760E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C5A3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690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評量方法：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藉由小考、期中考、期末考進行評量。及格為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60</w:t>
            </w: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分。</w:t>
            </w:r>
          </w:p>
        </w:tc>
      </w:tr>
      <w:tr w:rsidR="00501543" w:rsidRPr="00501543" w14:paraId="15C77456" w14:textId="77777777" w:rsidTr="00501543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7A22B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5367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培養分析問題的能力。</w:t>
            </w: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Ability to analyze engineering problems.</w:t>
            </w:r>
          </w:p>
        </w:tc>
      </w:tr>
      <w:tr w:rsidR="00501543" w:rsidRPr="00501543" w14:paraId="1551F734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6B97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518B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為何有關：</w:t>
            </w:r>
            <w:r w:rsidR="00631A9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電路學可以培養基本電路分析的能力</w:t>
            </w:r>
          </w:p>
        </w:tc>
      </w:tr>
      <w:tr w:rsidR="00501543" w:rsidRPr="00501543" w14:paraId="0BBB7FF1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54DC0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479A6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達成指標：</w:t>
            </w:r>
            <w:r w:rsidR="00631A9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學生考試及格</w:t>
            </w:r>
          </w:p>
        </w:tc>
      </w:tr>
      <w:tr w:rsidR="00501543" w:rsidRPr="00501543" w14:paraId="2B5E2F95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8019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1CACF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評量方法：</w:t>
            </w:r>
            <w:r w:rsidR="00631A9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二次期中考以及期末考</w:t>
            </w:r>
          </w:p>
        </w:tc>
      </w:tr>
      <w:tr w:rsidR="00501543" w:rsidRPr="00501543" w14:paraId="649D518D" w14:textId="77777777" w:rsidTr="00501543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2C70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99F3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培養善用資源以解決問題的能力。</w:t>
            </w: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 xml:space="preserve"> Ability to apply resource in problem solving.</w:t>
            </w:r>
          </w:p>
        </w:tc>
      </w:tr>
      <w:tr w:rsidR="00501543" w:rsidRPr="00501543" w14:paraId="392E9E3D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E68E4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A9E1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為何有關：</w:t>
            </w:r>
          </w:p>
        </w:tc>
      </w:tr>
      <w:tr w:rsidR="00501543" w:rsidRPr="00501543" w14:paraId="3A13E839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94D25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16D1D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達成指標：</w:t>
            </w:r>
          </w:p>
        </w:tc>
      </w:tr>
      <w:tr w:rsidR="00501543" w:rsidRPr="00501543" w14:paraId="0557D28B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0A1C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A5B2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評量方法：</w:t>
            </w:r>
          </w:p>
        </w:tc>
      </w:tr>
      <w:tr w:rsidR="00501543" w:rsidRPr="00501543" w14:paraId="31CDEE40" w14:textId="77777777" w:rsidTr="00501543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4DD24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675C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瞭解國內外相關產業現況。</w:t>
            </w: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 xml:space="preserve"> Understanding of the trend of both domestic and global industry.</w:t>
            </w:r>
          </w:p>
        </w:tc>
      </w:tr>
      <w:tr w:rsidR="00501543" w:rsidRPr="00501543" w14:paraId="2A059AC0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D149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EB4A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為何有關：</w:t>
            </w:r>
          </w:p>
        </w:tc>
      </w:tr>
      <w:tr w:rsidR="00501543" w:rsidRPr="00501543" w14:paraId="059C8F4F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E8C32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528D7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達成指標：</w:t>
            </w:r>
          </w:p>
        </w:tc>
      </w:tr>
      <w:tr w:rsidR="00501543" w:rsidRPr="00501543" w14:paraId="30A2D089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27CF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0596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評量方法：</w:t>
            </w:r>
          </w:p>
        </w:tc>
      </w:tr>
      <w:tr w:rsidR="00501543" w:rsidRPr="00501543" w14:paraId="026A1AF3" w14:textId="77777777" w:rsidTr="00501543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6E4DE" w14:textId="77777777" w:rsidR="00501543" w:rsidRPr="00501543" w:rsidRDefault="00501543" w:rsidP="005015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7155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培養科技英文能力。</w:t>
            </w:r>
            <w:r w:rsidRPr="00501543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 xml:space="preserve"> Proficiency in technical English.</w:t>
            </w:r>
          </w:p>
        </w:tc>
      </w:tr>
      <w:tr w:rsidR="00501543" w:rsidRPr="00501543" w14:paraId="663E4539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89141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92E3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為何有關：</w:t>
            </w:r>
          </w:p>
        </w:tc>
      </w:tr>
      <w:tr w:rsidR="00501543" w:rsidRPr="00501543" w14:paraId="65DA2F35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28EB8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2214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達成指標：</w:t>
            </w:r>
          </w:p>
        </w:tc>
      </w:tr>
      <w:tr w:rsidR="00501543" w:rsidRPr="00501543" w14:paraId="031E08AA" w14:textId="77777777" w:rsidTr="005015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1EB34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919C3" w14:textId="77777777" w:rsidR="00501543" w:rsidRPr="00501543" w:rsidRDefault="00501543" w:rsidP="0050154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1543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評量方法：</w:t>
            </w:r>
          </w:p>
        </w:tc>
      </w:tr>
    </w:tbl>
    <w:p w14:paraId="323F056D" w14:textId="77777777" w:rsidR="00F83C6E" w:rsidRDefault="00F83C6E"/>
    <w:sectPr w:rsidR="00F83C6E" w:rsidSect="0050154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31E35"/>
    <w:multiLevelType w:val="hybridMultilevel"/>
    <w:tmpl w:val="ED8A7D34"/>
    <w:lvl w:ilvl="0" w:tplc="957E9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84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43"/>
    <w:rsid w:val="00192935"/>
    <w:rsid w:val="00197B42"/>
    <w:rsid w:val="001D520E"/>
    <w:rsid w:val="00501543"/>
    <w:rsid w:val="00631A9C"/>
    <w:rsid w:val="00640278"/>
    <w:rsid w:val="0067309C"/>
    <w:rsid w:val="008447DE"/>
    <w:rsid w:val="00D02175"/>
    <w:rsid w:val="00F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67B6"/>
  <w15:chartTrackingRefBased/>
  <w15:docId w15:val="{2A353F13-20BE-4950-BCD8-FE6054D1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AS-MD780</cp:lastModifiedBy>
  <cp:revision>2</cp:revision>
  <dcterms:created xsi:type="dcterms:W3CDTF">2025-09-03T03:03:00Z</dcterms:created>
  <dcterms:modified xsi:type="dcterms:W3CDTF">2025-09-03T03:03:00Z</dcterms:modified>
</cp:coreProperties>
</file>